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5A81" w14:paraId="6D3DDAA8" w14:textId="77777777" w:rsidTr="0010095E">
        <w:trPr>
          <w:trHeight w:hRule="exact" w:val="1418"/>
        </w:trPr>
        <w:tc>
          <w:tcPr>
            <w:tcW w:w="6804" w:type="dxa"/>
            <w:shd w:val="clear" w:color="auto" w:fill="auto"/>
            <w:vAlign w:val="center"/>
          </w:tcPr>
          <w:p w14:paraId="664502F8" w14:textId="77777777" w:rsidR="00751A4A" w:rsidRPr="001C5A81" w:rsidRDefault="00914073" w:rsidP="0010095E">
            <w:pPr>
              <w:pStyle w:val="EPName"/>
            </w:pPr>
            <w:r w:rsidRPr="001C5A81">
              <w:t>Parlamento Europeu</w:t>
            </w:r>
          </w:p>
          <w:p w14:paraId="008FCCEC" w14:textId="77777777" w:rsidR="00751A4A" w:rsidRPr="001C5A81" w:rsidRDefault="00817416" w:rsidP="00756632">
            <w:pPr>
              <w:pStyle w:val="EPTerm"/>
              <w:rPr>
                <w:rStyle w:val="HideTWBExt"/>
                <w:noProof w:val="0"/>
                <w:vanish w:val="0"/>
                <w:color w:val="auto"/>
              </w:rPr>
            </w:pPr>
            <w:r w:rsidRPr="001C5A81">
              <w:t>2019-2024</w:t>
            </w:r>
          </w:p>
        </w:tc>
        <w:tc>
          <w:tcPr>
            <w:tcW w:w="2268" w:type="dxa"/>
            <w:shd w:val="clear" w:color="auto" w:fill="auto"/>
          </w:tcPr>
          <w:p w14:paraId="27B531A2" w14:textId="77777777" w:rsidR="00751A4A" w:rsidRPr="001C5A81" w:rsidRDefault="00187494" w:rsidP="0010095E">
            <w:pPr>
              <w:pStyle w:val="EPLogo"/>
            </w:pPr>
            <w:r w:rsidRPr="001C5A81">
              <w:rPr>
                <w:noProof/>
                <w:lang w:val="en-GB"/>
              </w:rPr>
              <w:drawing>
                <wp:inline distT="0" distB="0" distL="0" distR="0" wp14:anchorId="17A10864" wp14:editId="17CB9F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FA5D52" w14:textId="77777777" w:rsidR="00D058B8" w:rsidRPr="001C5A81" w:rsidRDefault="00D058B8" w:rsidP="004C5D52">
      <w:pPr>
        <w:pStyle w:val="LineTop"/>
      </w:pPr>
    </w:p>
    <w:p w14:paraId="37DB05CE" w14:textId="77777777" w:rsidR="00680577" w:rsidRPr="001C5A81" w:rsidRDefault="00914073" w:rsidP="00680577">
      <w:pPr>
        <w:pStyle w:val="EPBodyTA1"/>
      </w:pPr>
      <w:r w:rsidRPr="001C5A81">
        <w:t>TEXTOS APROVADOS</w:t>
      </w:r>
    </w:p>
    <w:p w14:paraId="687A82C8" w14:textId="77777777" w:rsidR="00D058B8" w:rsidRPr="001C5A81" w:rsidRDefault="00D058B8" w:rsidP="00D058B8">
      <w:pPr>
        <w:pStyle w:val="LineBottom"/>
      </w:pPr>
    </w:p>
    <w:p w14:paraId="3EF80F6B" w14:textId="1750FBA3" w:rsidR="00914073" w:rsidRPr="001C5A81" w:rsidRDefault="00914073" w:rsidP="00914073">
      <w:pPr>
        <w:pStyle w:val="ATHeading1"/>
      </w:pPr>
      <w:bookmarkStart w:id="0" w:name="TANumber"/>
      <w:r w:rsidRPr="001C5A81">
        <w:t>P9_</w:t>
      </w:r>
      <w:proofErr w:type="gramStart"/>
      <w:r w:rsidRPr="001C5A81">
        <w:t>TA(</w:t>
      </w:r>
      <w:proofErr w:type="gramEnd"/>
      <w:r w:rsidRPr="001C5A81">
        <w:t>2024)</w:t>
      </w:r>
      <w:bookmarkEnd w:id="0"/>
      <w:r w:rsidR="001C5A81" w:rsidRPr="001C5A81">
        <w:t>0163</w:t>
      </w:r>
    </w:p>
    <w:p w14:paraId="4D7450C4" w14:textId="77777777" w:rsidR="00914073" w:rsidRPr="001C5A81" w:rsidRDefault="00914073" w:rsidP="00914073">
      <w:pPr>
        <w:pStyle w:val="ATHeading2"/>
      </w:pPr>
      <w:bookmarkStart w:id="1" w:name="title"/>
      <w:r w:rsidRPr="001C5A81">
        <w:t>Disposições financeiras aplicáveis ao orçamento geral da União (reformulação)</w:t>
      </w:r>
      <w:bookmarkEnd w:id="1"/>
    </w:p>
    <w:p w14:paraId="024B4154" w14:textId="77777777" w:rsidR="00914073" w:rsidRPr="001C5A81" w:rsidRDefault="00914073" w:rsidP="00914073">
      <w:pPr>
        <w:rPr>
          <w:i/>
          <w:vanish/>
        </w:rPr>
      </w:pPr>
      <w:r w:rsidRPr="001C5A81">
        <w:rPr>
          <w:i/>
        </w:rPr>
        <w:fldChar w:fldCharType="begin"/>
      </w:r>
      <w:r w:rsidRPr="001C5A81">
        <w:rPr>
          <w:i/>
        </w:rPr>
        <w:instrText xml:space="preserve"> TC"(</w:instrText>
      </w:r>
      <w:bookmarkStart w:id="2" w:name="DocNumber"/>
      <w:r w:rsidRPr="001C5A81">
        <w:rPr>
          <w:i/>
        </w:rPr>
        <w:instrText>A9-0180/2023</w:instrText>
      </w:r>
      <w:bookmarkEnd w:id="2"/>
      <w:r w:rsidRPr="001C5A81">
        <w:rPr>
          <w:i/>
        </w:rPr>
        <w:instrText xml:space="preserve"> - Relatores: Nils Ušakovs, Monika Hohlmeier)"\l3 \n&gt; \* MERGEFORMAT </w:instrText>
      </w:r>
      <w:r w:rsidRPr="001C5A81">
        <w:rPr>
          <w:i/>
        </w:rPr>
        <w:fldChar w:fldCharType="end"/>
      </w:r>
    </w:p>
    <w:p w14:paraId="1C15E9FE" w14:textId="77777777" w:rsidR="00914073" w:rsidRPr="001C5A81" w:rsidRDefault="00914073" w:rsidP="00914073">
      <w:pPr>
        <w:rPr>
          <w:vanish/>
        </w:rPr>
      </w:pPr>
      <w:bookmarkStart w:id="3" w:name="Commission"/>
      <w:r w:rsidRPr="001C5A81">
        <w:rPr>
          <w:vanish/>
        </w:rPr>
        <w:t>Comissão dos Orçamentos, Comissão do Controlo Orçamental</w:t>
      </w:r>
      <w:bookmarkEnd w:id="3"/>
    </w:p>
    <w:p w14:paraId="0FBE6AC7" w14:textId="77777777" w:rsidR="00914073" w:rsidRPr="001C5A81" w:rsidRDefault="00914073" w:rsidP="00914073">
      <w:pPr>
        <w:rPr>
          <w:vanish/>
        </w:rPr>
      </w:pPr>
      <w:bookmarkStart w:id="4" w:name="PE"/>
      <w:r w:rsidRPr="001C5A81">
        <w:rPr>
          <w:vanish/>
        </w:rPr>
        <w:t>PE740.802</w:t>
      </w:r>
      <w:bookmarkEnd w:id="4"/>
    </w:p>
    <w:p w14:paraId="171312F0" w14:textId="10B517F5" w:rsidR="00914073" w:rsidRPr="001C5A81" w:rsidRDefault="00914073" w:rsidP="00914073">
      <w:pPr>
        <w:pStyle w:val="ATHeading3"/>
      </w:pPr>
      <w:bookmarkStart w:id="5" w:name="Sujet"/>
      <w:r w:rsidRPr="001C5A81">
        <w:t xml:space="preserve">Resolução legislativa do Parlamento Europeu, de </w:t>
      </w:r>
      <w:r w:rsidR="00CD1E3D" w:rsidRPr="001C5A81">
        <w:t xml:space="preserve">14 </w:t>
      </w:r>
      <w:r w:rsidRPr="001C5A81">
        <w:t xml:space="preserve">de </w:t>
      </w:r>
      <w:r w:rsidR="00205D37" w:rsidRPr="001C5A81">
        <w:t xml:space="preserve">março </w:t>
      </w:r>
      <w:r w:rsidRPr="001C5A81">
        <w:t>de 2024, sobre a proposta de regulamento do Parlamento Europeu e do Conselho relativo às disposições financeiras aplicáveis ao orçamento geral da União (reformulação)</w:t>
      </w:r>
      <w:bookmarkEnd w:id="5"/>
      <w:r w:rsidRPr="001C5A81">
        <w:t xml:space="preserve"> </w:t>
      </w:r>
      <w:bookmarkStart w:id="6" w:name="References"/>
      <w:r w:rsidR="00205D37" w:rsidRPr="001C5A81">
        <w:t>(</w:t>
      </w:r>
      <w:proofErr w:type="gramStart"/>
      <w:r w:rsidR="00205D37" w:rsidRPr="001C5A81">
        <w:t>COM(</w:t>
      </w:r>
      <w:proofErr w:type="gramEnd"/>
      <w:r w:rsidR="00205D37" w:rsidRPr="001C5A81">
        <w:t>2022)0223 – C9</w:t>
      </w:r>
      <w:r w:rsidR="00205D37" w:rsidRPr="001C5A81">
        <w:noBreakHyphen/>
      </w:r>
      <w:r w:rsidRPr="001C5A81">
        <w:t>0179/2022 – 2022/0162(COD))</w:t>
      </w:r>
      <w:bookmarkEnd w:id="6"/>
    </w:p>
    <w:p w14:paraId="5478B942" w14:textId="77777777" w:rsidR="009F6588" w:rsidRPr="001C5A81" w:rsidRDefault="009F6588" w:rsidP="009F6588">
      <w:pPr>
        <w:pStyle w:val="NormalBold"/>
      </w:pPr>
      <w:bookmarkStart w:id="7" w:name="TextBodyBegin"/>
      <w:bookmarkEnd w:id="7"/>
      <w:r w:rsidRPr="001C5A81">
        <w:t>(Processo legislativo ordinário – reformulação)</w:t>
      </w:r>
    </w:p>
    <w:p w14:paraId="3667F8A9" w14:textId="77777777" w:rsidR="009F6588" w:rsidRPr="001C5A81" w:rsidRDefault="009F6588" w:rsidP="009F6588">
      <w:pPr>
        <w:pStyle w:val="EPComma"/>
      </w:pPr>
      <w:r w:rsidRPr="001C5A81">
        <w:rPr>
          <w:i/>
          <w:iCs/>
        </w:rPr>
        <w:t>O Parlamento Europeu,</w:t>
      </w:r>
    </w:p>
    <w:p w14:paraId="4DBB4382" w14:textId="7704844E" w:rsidR="009F6588" w:rsidRPr="001C5A81" w:rsidRDefault="009F6588" w:rsidP="009F6588">
      <w:pPr>
        <w:pStyle w:val="NormalHanging12a"/>
      </w:pPr>
      <w:r w:rsidRPr="001C5A81">
        <w:t>–</w:t>
      </w:r>
      <w:r w:rsidRPr="001C5A81">
        <w:tab/>
        <w:t>Tendo em conta a proposta da Comissão ao Parlamento e ao Conselho (</w:t>
      </w:r>
      <w:proofErr w:type="gramStart"/>
      <w:r w:rsidRPr="001C5A81">
        <w:t>COM(</w:t>
      </w:r>
      <w:proofErr w:type="gramEnd"/>
      <w:r w:rsidRPr="001C5A81">
        <w:t>2022)0223),</w:t>
      </w:r>
    </w:p>
    <w:p w14:paraId="2419C372" w14:textId="77777777" w:rsidR="009F6588" w:rsidRPr="001C5A81" w:rsidRDefault="009F6588" w:rsidP="009F6588">
      <w:pPr>
        <w:pStyle w:val="NormalHanging12a"/>
      </w:pPr>
      <w:r w:rsidRPr="001C5A81">
        <w:t>–</w:t>
      </w:r>
      <w:r w:rsidRPr="001C5A81">
        <w:tab/>
        <w:t>Tendo em conta o artigo 294.º, n.º 2, e o artigo 322.º, n.º 1, do Tratado sobre o Funcionamento da União Europeia, assim como o artigo 106.º-A do Tratado que institui a Comunidade Europeia da Energia Atómica, nos termos dos quais a proposta lhe foi apresentada pela Comissão (C9</w:t>
      </w:r>
      <w:r w:rsidRPr="001C5A81">
        <w:noBreakHyphen/>
        <w:t>0179/2022),</w:t>
      </w:r>
    </w:p>
    <w:p w14:paraId="0B6BB180" w14:textId="77777777" w:rsidR="009F6588" w:rsidRPr="001C5A81" w:rsidRDefault="009F6588" w:rsidP="009F6588">
      <w:pPr>
        <w:pStyle w:val="NormalHanging12a"/>
      </w:pPr>
      <w:r w:rsidRPr="001C5A81">
        <w:t>–</w:t>
      </w:r>
      <w:r w:rsidRPr="001C5A81">
        <w:tab/>
        <w:t>Tendo em conta o artigo 294.º, n.º 3 do Tratado sobre o Funcionamento da União Europeia,</w:t>
      </w:r>
    </w:p>
    <w:p w14:paraId="3D85411C" w14:textId="77777777" w:rsidR="009F6588" w:rsidRPr="001C5A81" w:rsidRDefault="009F6588" w:rsidP="009F6588">
      <w:pPr>
        <w:pStyle w:val="NormalHanging12a"/>
      </w:pPr>
      <w:r w:rsidRPr="001C5A81">
        <w:t>–</w:t>
      </w:r>
      <w:r w:rsidRPr="001C5A81">
        <w:tab/>
        <w:t>Tendo em conta o parecer do Tribunal de Contas, de 31 de outubro de 2022</w:t>
      </w:r>
      <w:r w:rsidRPr="001C5A81">
        <w:rPr>
          <w:rStyle w:val="FootnoteReference"/>
        </w:rPr>
        <w:footnoteReference w:id="1"/>
      </w:r>
      <w:r w:rsidRPr="001C5A81">
        <w:t>,</w:t>
      </w:r>
    </w:p>
    <w:p w14:paraId="3C1F9F32" w14:textId="77777777" w:rsidR="009F6588" w:rsidRPr="001C5A81" w:rsidRDefault="009F6588" w:rsidP="009F6588">
      <w:pPr>
        <w:pStyle w:val="NormalHanging12a"/>
      </w:pPr>
      <w:r w:rsidRPr="001C5A81">
        <w:t>–</w:t>
      </w:r>
      <w:r w:rsidRPr="001C5A81">
        <w:tab/>
        <w:t>Tendo em conta o Acordo Interinstitucional, de 28 de novembro de 2001, para um recurso mais estruturado à técnica de reformulação dos atos jurídicos</w:t>
      </w:r>
      <w:r w:rsidRPr="001C5A81">
        <w:rPr>
          <w:rStyle w:val="FootnoteReference"/>
        </w:rPr>
        <w:footnoteReference w:id="2"/>
      </w:r>
      <w:r w:rsidRPr="001C5A81">
        <w:t>,</w:t>
      </w:r>
    </w:p>
    <w:p w14:paraId="242B1AB5" w14:textId="77777777" w:rsidR="009F6588" w:rsidRPr="001C5A81" w:rsidRDefault="009F6588" w:rsidP="009F6588">
      <w:pPr>
        <w:pStyle w:val="NormalHanging12a"/>
      </w:pPr>
      <w:r w:rsidRPr="001C5A81">
        <w:t>–</w:t>
      </w:r>
      <w:r w:rsidRPr="001C5A81">
        <w:tab/>
        <w:t>Tendo em conta a carta que, em 25 de abril de 2023, a Comissão dos Assuntos Jurídicos endereçou à Comissão dos Orçamentos e à Comissão do Controlo Orçamental, nos termos do artigo 110.º, n.º 3, do seu Regimento,</w:t>
      </w:r>
    </w:p>
    <w:p w14:paraId="24AC478E" w14:textId="77777777" w:rsidR="00205D37" w:rsidRPr="001C5A81" w:rsidRDefault="00205D37" w:rsidP="009F6588">
      <w:pPr>
        <w:pStyle w:val="NormalHanging12a"/>
      </w:pPr>
      <w:r w:rsidRPr="001C5A81">
        <w:t>–</w:t>
      </w:r>
      <w:r w:rsidRPr="001C5A81">
        <w:tab/>
        <w:t xml:space="preserve">Tendo em conta o acordo provisório aprovado pelas comissões competentes, nos termos do artigo 74.º, n.º 4, do seu Regimento, e o compromisso assumido pelo representante </w:t>
      </w:r>
      <w:r w:rsidRPr="001C5A81">
        <w:lastRenderedPageBreak/>
        <w:t>do Conselho, em carta de 20 de dezembro de 2023, de aprovar a posição do Parlamento, nos termos do artigo 294.º, n.º 4, do Tratado sobre o Funcionamento da União Europeia,</w:t>
      </w:r>
    </w:p>
    <w:p w14:paraId="0041D61A" w14:textId="77777777" w:rsidR="009F6588" w:rsidRPr="001C5A81" w:rsidRDefault="009F6588" w:rsidP="009F6588">
      <w:pPr>
        <w:pStyle w:val="NormalHanging12a"/>
        <w:rPr>
          <w:szCs w:val="24"/>
        </w:rPr>
      </w:pPr>
      <w:r w:rsidRPr="001C5A81">
        <w:t>–</w:t>
      </w:r>
      <w:r w:rsidRPr="001C5A81">
        <w:tab/>
        <w:t>Tendo em conta as deliberações conjuntas da Comissão dos Orçamentos e da Comissão do Controlo Orçamental, nos termos do artigo 58.º do Regimento,</w:t>
      </w:r>
    </w:p>
    <w:p w14:paraId="78BF49CE" w14:textId="77777777" w:rsidR="009F6588" w:rsidRPr="001C5A81" w:rsidRDefault="009F6588" w:rsidP="009F6588">
      <w:pPr>
        <w:pStyle w:val="NormalHanging12a"/>
      </w:pPr>
      <w:r w:rsidRPr="001C5A81">
        <w:t>–</w:t>
      </w:r>
      <w:r w:rsidRPr="001C5A81">
        <w:tab/>
        <w:t>Tendo em conta os artigos 110.º e 59.º do seu Regimento,</w:t>
      </w:r>
    </w:p>
    <w:p w14:paraId="5D7F640A" w14:textId="77777777" w:rsidR="009F6588" w:rsidRPr="001C5A81" w:rsidRDefault="009F6588" w:rsidP="009F6588">
      <w:pPr>
        <w:pStyle w:val="NormalHanging12a"/>
      </w:pPr>
      <w:r w:rsidRPr="001C5A81">
        <w:t>–</w:t>
      </w:r>
      <w:r w:rsidRPr="001C5A81">
        <w:tab/>
        <w:t>Tendo em conta o parecer da Comissão do Desenvolvimento Regional,</w:t>
      </w:r>
    </w:p>
    <w:p w14:paraId="7B2DB3C3" w14:textId="77777777" w:rsidR="009F6588" w:rsidRPr="001C5A81" w:rsidRDefault="009F6588" w:rsidP="009F6588">
      <w:pPr>
        <w:pStyle w:val="NormalHanging12a"/>
      </w:pPr>
      <w:r w:rsidRPr="001C5A81">
        <w:t>–</w:t>
      </w:r>
      <w:r w:rsidRPr="001C5A81">
        <w:tab/>
        <w:t>Tendo em conta a carta da Comissão da Indústria, da Investigação e da Energia,</w:t>
      </w:r>
    </w:p>
    <w:p w14:paraId="235641C5" w14:textId="77777777" w:rsidR="009F6588" w:rsidRPr="001C5A81" w:rsidRDefault="009F6588" w:rsidP="009F6588">
      <w:pPr>
        <w:pStyle w:val="NormalHanging12a"/>
      </w:pPr>
      <w:r w:rsidRPr="001C5A81">
        <w:t>–</w:t>
      </w:r>
      <w:r w:rsidRPr="001C5A81">
        <w:tab/>
        <w:t>Tendo em conta o relatório da Comissão dos Orçamentos e da Comissão do Controlo Orçamental (A9-0180/2023),</w:t>
      </w:r>
    </w:p>
    <w:p w14:paraId="3F25D4D8" w14:textId="77777777" w:rsidR="009F6588" w:rsidRPr="001C5A81" w:rsidRDefault="009F6588" w:rsidP="009F6588">
      <w:pPr>
        <w:pStyle w:val="NormalHanging12a"/>
      </w:pPr>
      <w:r w:rsidRPr="001C5A81">
        <w:t>A.</w:t>
      </w:r>
      <w:r w:rsidRPr="001C5A81">
        <w:tab/>
        <w:t>Considerando que o Grupo Consultivo dos Serviços Jurídicos do Parlamento Europeu, do Conselho e da Comissão concluiu, no seu parecer, que a proposta da Comissão não contém alterações de fundo para além das que nela foram identificadas como tal e que, no que diz respeito à codificação das disposições inalteradas dos atos precedentes com as referidas alterações, a proposta se cinge à codificação pura e simples dos atos existentes, sem alterações substantivas;</w:t>
      </w:r>
    </w:p>
    <w:p w14:paraId="296337BD" w14:textId="77777777" w:rsidR="009F6588" w:rsidRPr="001C5A81" w:rsidRDefault="009F6588" w:rsidP="009F6588">
      <w:pPr>
        <w:pStyle w:val="NormalHanging12a"/>
      </w:pPr>
      <w:proofErr w:type="gramStart"/>
      <w:r w:rsidRPr="001C5A81">
        <w:t>1.</w:t>
      </w:r>
      <w:r w:rsidRPr="001C5A81">
        <w:tab/>
        <w:t>Aprova</w:t>
      </w:r>
      <w:proofErr w:type="gramEnd"/>
      <w:r w:rsidRPr="001C5A81">
        <w:t xml:space="preserve"> a posição em primeira leitura que se segue, tendo em conta as recomendações do Grupo Consultivo dos Serviços Jurídicos do Parlamento Europeu, do Conselho e da Comissão;</w:t>
      </w:r>
    </w:p>
    <w:p w14:paraId="5E5E1C42" w14:textId="77777777" w:rsidR="00CD1E3D" w:rsidRPr="001C5A81" w:rsidRDefault="00CD1E3D" w:rsidP="009F6588">
      <w:pPr>
        <w:pStyle w:val="NormalHanging12a"/>
      </w:pPr>
      <w:proofErr w:type="gramStart"/>
      <w:r w:rsidRPr="001C5A81">
        <w:t>2.</w:t>
      </w:r>
      <w:r w:rsidRPr="001C5A81">
        <w:tab/>
        <w:t>Aprova</w:t>
      </w:r>
      <w:proofErr w:type="gramEnd"/>
      <w:r w:rsidRPr="001C5A81">
        <w:t xml:space="preserve"> a declaração comum do Parlamento e do Conselho anexa à presente resolução, que será publicada na série C do </w:t>
      </w:r>
      <w:r w:rsidRPr="0077186F">
        <w:rPr>
          <w:i/>
        </w:rPr>
        <w:t>Jornal Oficial da União Europeia</w:t>
      </w:r>
      <w:r w:rsidRPr="001C5A81">
        <w:t>;</w:t>
      </w:r>
    </w:p>
    <w:p w14:paraId="5B6EFE92" w14:textId="77777777" w:rsidR="00CD1E3D" w:rsidRPr="001C5A81" w:rsidRDefault="00CD1E3D" w:rsidP="009F6588">
      <w:pPr>
        <w:pStyle w:val="NormalHanging12a"/>
      </w:pPr>
      <w:proofErr w:type="gramStart"/>
      <w:r w:rsidRPr="001C5A81">
        <w:t>3.</w:t>
      </w:r>
      <w:r w:rsidRPr="001C5A81">
        <w:tab/>
        <w:t>Aprova</w:t>
      </w:r>
      <w:proofErr w:type="gramEnd"/>
      <w:r w:rsidRPr="001C5A81">
        <w:t xml:space="preserve"> a declaração comum do Parlamento, do Conselho e da Comissão anexa à presente resolução, que será publicada na série C do </w:t>
      </w:r>
      <w:r w:rsidRPr="0077186F">
        <w:rPr>
          <w:i/>
        </w:rPr>
        <w:t>Jornal Oficial da União Europeia</w:t>
      </w:r>
      <w:r w:rsidRPr="001C5A81">
        <w:t>;</w:t>
      </w:r>
    </w:p>
    <w:p w14:paraId="4C2904C6" w14:textId="2D94D1DB" w:rsidR="00CD1E3D" w:rsidRPr="001C5A81" w:rsidRDefault="00CD1E3D" w:rsidP="009F6588">
      <w:pPr>
        <w:pStyle w:val="NormalHanging12a"/>
      </w:pPr>
      <w:proofErr w:type="gramStart"/>
      <w:r w:rsidRPr="001C5A81">
        <w:t>4.</w:t>
      </w:r>
      <w:r w:rsidRPr="001C5A81">
        <w:tab/>
        <w:t>Regista</w:t>
      </w:r>
      <w:proofErr w:type="gramEnd"/>
      <w:r w:rsidRPr="001C5A81">
        <w:t xml:space="preserve"> as declarações da Comissão anexas à presente resolução</w:t>
      </w:r>
      <w:r w:rsidR="00F43DD8" w:rsidRPr="001C5A81">
        <w:t>;</w:t>
      </w:r>
    </w:p>
    <w:p w14:paraId="5CA902AF" w14:textId="03548F56" w:rsidR="009F6588" w:rsidRPr="001C5A81" w:rsidRDefault="00CD1E3D" w:rsidP="009F6588">
      <w:pPr>
        <w:pStyle w:val="NormalHanging12a"/>
      </w:pPr>
      <w:r w:rsidRPr="001C5A81">
        <w:t>5</w:t>
      </w:r>
      <w:r w:rsidR="009F6588" w:rsidRPr="001C5A81">
        <w:t>.</w:t>
      </w:r>
      <w:r w:rsidR="009F6588" w:rsidRPr="001C5A81">
        <w:tab/>
        <w:t>Requer à Comissão que lhe submeta de novo a sua proposta, se a substituir, se a alterar substancialmente ou se pretender alterá-la substancialmente;</w:t>
      </w:r>
    </w:p>
    <w:p w14:paraId="5AD8DCD9" w14:textId="5E0B9867" w:rsidR="009F6588" w:rsidRPr="001C5A81" w:rsidRDefault="00CD1E3D" w:rsidP="009F6588">
      <w:pPr>
        <w:pStyle w:val="NormalHanging12a"/>
      </w:pPr>
      <w:proofErr w:type="gramStart"/>
      <w:r w:rsidRPr="001C5A81">
        <w:t>6</w:t>
      </w:r>
      <w:r w:rsidR="009F6588" w:rsidRPr="001C5A81">
        <w:t>.</w:t>
      </w:r>
      <w:r w:rsidR="009F6588" w:rsidRPr="001C5A81">
        <w:tab/>
        <w:t>Encarrega</w:t>
      </w:r>
      <w:proofErr w:type="gramEnd"/>
      <w:r w:rsidR="009F6588" w:rsidRPr="001C5A81">
        <w:t xml:space="preserve"> a sua Presidente de transmitir a posição do Parlamento ao Conselho, à Comissão e aos parlamentos nacionais.</w:t>
      </w:r>
    </w:p>
    <w:p w14:paraId="4D645DAF" w14:textId="77777777" w:rsidR="00D166B7" w:rsidRPr="001C5A81" w:rsidRDefault="00D166B7" w:rsidP="009F6588">
      <w:pPr>
        <w:pStyle w:val="NormalHanging12a"/>
      </w:pPr>
    </w:p>
    <w:p w14:paraId="5AD3922D" w14:textId="77777777" w:rsidR="00D166B7" w:rsidRPr="001C5A81" w:rsidRDefault="00D166B7" w:rsidP="009F6588">
      <w:pPr>
        <w:sectPr w:rsidR="00D166B7" w:rsidRPr="001C5A81" w:rsidSect="007C4057">
          <w:footnotePr>
            <w:numRestart w:val="eachSect"/>
          </w:footnotePr>
          <w:pgSz w:w="11906" w:h="16838" w:code="9"/>
          <w:pgMar w:top="1134" w:right="1418" w:bottom="1418" w:left="1418" w:header="1134" w:footer="567" w:gutter="0"/>
          <w:cols w:space="720"/>
          <w:noEndnote/>
          <w:docGrid w:linePitch="326"/>
        </w:sectPr>
      </w:pPr>
    </w:p>
    <w:p w14:paraId="3900FAE5" w14:textId="64FF1305" w:rsidR="0052704E" w:rsidRPr="001C5A81" w:rsidRDefault="0052704E" w:rsidP="0052704E">
      <w:pPr>
        <w:autoSpaceDE w:val="0"/>
        <w:autoSpaceDN w:val="0"/>
        <w:adjustRightInd w:val="0"/>
        <w:spacing w:after="240"/>
        <w:rPr>
          <w:rFonts w:eastAsia="Calibri"/>
          <w:b/>
          <w:bCs/>
          <w:color w:val="000000"/>
          <w:szCs w:val="24"/>
        </w:rPr>
      </w:pPr>
      <w:r w:rsidRPr="001C5A81">
        <w:rPr>
          <w:rFonts w:eastAsia="Calibri"/>
          <w:b/>
          <w:bCs/>
          <w:color w:val="000000"/>
          <w:szCs w:val="24"/>
        </w:rPr>
        <w:lastRenderedPageBreak/>
        <w:t>P9_TC1-</w:t>
      </w:r>
      <w:proofErr w:type="gramStart"/>
      <w:r w:rsidRPr="001C5A81">
        <w:rPr>
          <w:rFonts w:eastAsia="Calibri"/>
          <w:b/>
          <w:bCs/>
          <w:color w:val="000000"/>
          <w:szCs w:val="24"/>
        </w:rPr>
        <w:t>COD(</w:t>
      </w:r>
      <w:proofErr w:type="gramEnd"/>
      <w:r w:rsidRPr="001C5A81">
        <w:rPr>
          <w:rFonts w:eastAsia="Calibri"/>
          <w:b/>
          <w:bCs/>
          <w:color w:val="000000"/>
          <w:szCs w:val="24"/>
        </w:rPr>
        <w:t>2022)0162</w:t>
      </w:r>
    </w:p>
    <w:p w14:paraId="4C9D528A" w14:textId="57F273FE" w:rsidR="009F6588" w:rsidRPr="001C5A81" w:rsidRDefault="0052704E" w:rsidP="00397A98">
      <w:pPr>
        <w:spacing w:before="120" w:after="120"/>
        <w:rPr>
          <w:rFonts w:eastAsiaTheme="minorHAnsi"/>
          <w:b/>
          <w:i/>
          <w:szCs w:val="22"/>
          <w:lang w:eastAsia="en-US"/>
        </w:rPr>
      </w:pPr>
      <w:r w:rsidRPr="001C5A81">
        <w:rPr>
          <w:b/>
        </w:rPr>
        <w:t>Posição do Parlamento Europeu aprovada em primeira leitura em 14 de março de 2024 tendo em vista a adoção do Regulamento (UE</w:t>
      </w:r>
      <w:r w:rsidR="009C48F8" w:rsidRPr="009C48F8">
        <w:rPr>
          <w:b/>
        </w:rPr>
        <w:t>, Euratom</w:t>
      </w:r>
      <w:r w:rsidRPr="001C5A81">
        <w:rPr>
          <w:b/>
        </w:rPr>
        <w:t xml:space="preserve">) 2024/... do Parlamento Europeu e do Conselho </w:t>
      </w:r>
      <w:r w:rsidR="009F0A8B" w:rsidRPr="001C5A81">
        <w:rPr>
          <w:b/>
        </w:rPr>
        <w:t xml:space="preserve">relativo às </w:t>
      </w:r>
      <w:r w:rsidR="00E10F19">
        <w:rPr>
          <w:b/>
        </w:rPr>
        <w:t>regras</w:t>
      </w:r>
      <w:r w:rsidR="009F0A8B" w:rsidRPr="001C5A81">
        <w:rPr>
          <w:b/>
        </w:rPr>
        <w:t xml:space="preserve"> financeiras aplicáveis ao orçamento geral da União </w:t>
      </w:r>
      <w:bookmarkStart w:id="8" w:name="_GoBack"/>
      <w:bookmarkEnd w:id="8"/>
      <w:r w:rsidR="009F0A8B" w:rsidRPr="001C5A81">
        <w:rPr>
          <w:b/>
        </w:rPr>
        <w:t>(reformulação)</w:t>
      </w:r>
    </w:p>
    <w:p w14:paraId="5BA0CA91" w14:textId="6A76E0B2" w:rsidR="008F0881" w:rsidRPr="00695C84" w:rsidRDefault="00695C84" w:rsidP="006847E0">
      <w:pPr>
        <w:widowControl/>
        <w:rPr>
          <w:rFonts w:eastAsia="Calibri"/>
          <w:i/>
          <w:szCs w:val="24"/>
          <w:lang w:eastAsia="en-US"/>
        </w:rPr>
      </w:pPr>
      <w:r w:rsidRPr="00695C84">
        <w:rPr>
          <w:rFonts w:eastAsia="Calibri"/>
          <w:i/>
          <w:szCs w:val="24"/>
          <w:lang w:eastAsia="en-US"/>
        </w:rPr>
        <w:t>(Uma vez que foi alcançado um acordo entre o Parlamento e o Conselho, a posição do Parlamento corresponde ao texto legislativo final, Regulamento (UE</w:t>
      </w:r>
      <w:r>
        <w:rPr>
          <w:rFonts w:eastAsia="Calibri"/>
          <w:i/>
          <w:szCs w:val="24"/>
          <w:lang w:eastAsia="en-US"/>
        </w:rPr>
        <w:t>, Euratom</w:t>
      </w:r>
      <w:r w:rsidRPr="00695C84">
        <w:rPr>
          <w:rFonts w:eastAsia="Calibri"/>
          <w:i/>
          <w:szCs w:val="24"/>
          <w:lang w:eastAsia="en-US"/>
        </w:rPr>
        <w:t xml:space="preserve">) </w:t>
      </w:r>
      <w:r>
        <w:rPr>
          <w:rFonts w:eastAsia="Calibri"/>
          <w:i/>
          <w:szCs w:val="24"/>
          <w:lang w:eastAsia="en-US"/>
        </w:rPr>
        <w:t>2024/2509</w:t>
      </w:r>
      <w:r w:rsidRPr="00695C84">
        <w:rPr>
          <w:rFonts w:eastAsia="Calibri"/>
          <w:i/>
          <w:szCs w:val="24"/>
          <w:lang w:eastAsia="en-US"/>
        </w:rPr>
        <w:t>.)</w:t>
      </w:r>
    </w:p>
    <w:p w14:paraId="2BDD952D" w14:textId="77777777" w:rsidR="00695C84" w:rsidRPr="001C5A81" w:rsidRDefault="00695C84" w:rsidP="008F0881">
      <w:pPr>
        <w:widowControl/>
        <w:jc w:val="both"/>
        <w:rPr>
          <w:rFonts w:eastAsia="Calibri"/>
          <w:szCs w:val="24"/>
          <w:lang w:eastAsia="en-US"/>
        </w:rPr>
      </w:pPr>
    </w:p>
    <w:p w14:paraId="7A42B904" w14:textId="77777777" w:rsidR="008F0881" w:rsidRPr="001C5A81" w:rsidRDefault="008F0881" w:rsidP="007D7332">
      <w:pPr>
        <w:rPr>
          <w:rFonts w:eastAsiaTheme="minorHAnsi"/>
          <w:szCs w:val="22"/>
          <w:lang w:eastAsia="en-US"/>
        </w:rPr>
        <w:sectPr w:rsidR="008F0881" w:rsidRPr="001C5A81" w:rsidSect="007D7332">
          <w:footerReference w:type="default" r:id="rId9"/>
          <w:footnotePr>
            <w:numRestart w:val="eachSect"/>
          </w:footnotePr>
          <w:pgSz w:w="11906" w:h="16838"/>
          <w:pgMar w:top="1134" w:right="1134" w:bottom="1134" w:left="1134" w:header="709" w:footer="709" w:gutter="0"/>
          <w:cols w:space="708"/>
          <w:docGrid w:linePitch="360"/>
        </w:sectPr>
      </w:pPr>
    </w:p>
    <w:p w14:paraId="45342073" w14:textId="54A1C3BA" w:rsidR="007D7332" w:rsidRPr="001C5A81" w:rsidRDefault="008F0881" w:rsidP="008F0881">
      <w:pPr>
        <w:spacing w:after="360"/>
        <w:jc w:val="right"/>
        <w:rPr>
          <w:rFonts w:eastAsiaTheme="minorHAnsi"/>
          <w:szCs w:val="22"/>
          <w:lang w:eastAsia="en-US"/>
        </w:rPr>
      </w:pPr>
      <w:proofErr w:type="gramStart"/>
      <w:r w:rsidRPr="001C5A81">
        <w:rPr>
          <w:rFonts w:eastAsiaTheme="minorHAnsi"/>
          <w:szCs w:val="22"/>
          <w:lang w:eastAsia="en-US"/>
        </w:rPr>
        <w:lastRenderedPageBreak/>
        <w:t>ANEXO À</w:t>
      </w:r>
      <w:proofErr w:type="gramEnd"/>
      <w:r w:rsidRPr="001C5A81">
        <w:rPr>
          <w:rFonts w:eastAsiaTheme="minorHAnsi"/>
          <w:szCs w:val="22"/>
          <w:lang w:eastAsia="en-US"/>
        </w:rPr>
        <w:t xml:space="preserve"> RESOLUÇÃO LEGISLATIVA</w:t>
      </w:r>
    </w:p>
    <w:p w14:paraId="419CD613" w14:textId="00C691B3" w:rsidR="008F0881" w:rsidRPr="001C5A81" w:rsidRDefault="008F0881" w:rsidP="008F0881">
      <w:pPr>
        <w:spacing w:before="360" w:after="120" w:line="360" w:lineRule="auto"/>
        <w:jc w:val="center"/>
        <w:rPr>
          <w:b/>
          <w:u w:val="single"/>
        </w:rPr>
      </w:pPr>
      <w:r w:rsidRPr="001C5A81">
        <w:rPr>
          <w:b/>
          <w:u w:val="single"/>
        </w:rPr>
        <w:t xml:space="preserve">Declaração comum sobre o tratamento orçamental dos juros ou outros encargos devidos sobre os montantes de multas, sanções pecuniárias ou outras sanções anuladas ou reduzidas, por ocasião da adoção do Regulamento </w:t>
      </w:r>
      <w:r w:rsidR="00695C84">
        <w:rPr>
          <w:b/>
          <w:u w:val="single"/>
        </w:rPr>
        <w:t>(UE, Euratom) 2024/2509</w:t>
      </w:r>
    </w:p>
    <w:p w14:paraId="38CD63A1" w14:textId="1CE4F564" w:rsidR="008F0881" w:rsidRPr="001C5A81" w:rsidRDefault="00F43DD8" w:rsidP="008F0881">
      <w:pPr>
        <w:spacing w:before="120" w:after="120" w:line="360" w:lineRule="auto"/>
      </w:pPr>
      <w:r w:rsidRPr="001C5A81">
        <w:t>«</w:t>
      </w:r>
      <w:r w:rsidR="008F0881" w:rsidRPr="001C5A81">
        <w:t>O Parlamento Europeu e o Conselho acordaram em que durante o período de vigência do atual quadro plurianual, os juros ou outros encargos devidos sobre os montantes de multas, sanções pecuniárias ou outras sanções anuladas ou reduzidas serão registados como receitas negativas. Trata</w:t>
      </w:r>
      <w:r w:rsidR="008F0881" w:rsidRPr="001C5A81">
        <w:noBreakHyphen/>
        <w:t>se de uma exceção à proibição de receitas negativas, que se aplica unicamente a esta situação concreta e imprevisível.</w:t>
      </w:r>
    </w:p>
    <w:p w14:paraId="2DAB952F" w14:textId="3C300DFC" w:rsidR="008F0881" w:rsidRDefault="008F0881" w:rsidP="008F0881">
      <w:pPr>
        <w:spacing w:before="120" w:after="120" w:line="360" w:lineRule="auto"/>
      </w:pPr>
      <w:r w:rsidRPr="001C5A81">
        <w:t>Sem prejuízo das respetivas prerrogativas, o Parlamento Europeu, o Conselho e a Comissão concordaram – com base na experiência adquirida e tendo em conta os desenvolvimentos futuros esperados – em estudar uma solução sustentável de longo prazo, em consonância com a aplicação dos princípios orçamentais do Regulamento Financeiro, tendo em vista o financiamento desses juros ou outros encargos, a aplicar após 2027, nomeadamente no que diz respeito à taxa de juro sobre o montante das coimas ou outras sanções a reembolsar que, numa tal situação, deverá ser paga às empresas beneficiárias a título de compensação adequada.</w:t>
      </w:r>
      <w:r w:rsidR="00F43DD8" w:rsidRPr="001C5A81">
        <w:t>»</w:t>
      </w:r>
    </w:p>
    <w:p w14:paraId="0FE6C6DE" w14:textId="1F7FCE5D" w:rsidR="008F0881" w:rsidRPr="001C5A81" w:rsidRDefault="008F0881" w:rsidP="00695C84">
      <w:pPr>
        <w:spacing w:before="360" w:after="120" w:line="360" w:lineRule="auto"/>
        <w:jc w:val="center"/>
        <w:rPr>
          <w:b/>
          <w:u w:val="single"/>
        </w:rPr>
      </w:pPr>
      <w:r w:rsidRPr="001C5A81">
        <w:rPr>
          <w:b/>
          <w:u w:val="single"/>
        </w:rPr>
        <w:t xml:space="preserve">Declaração comum do Parlamento Europeu, do Conselho e da Comissão sobre a ferramenta única de exploração dos dados e de classificação dos riscos prevista no artigo 36.º do Regulamento Financeiro, por ocasião da adoção do Regulamento </w:t>
      </w:r>
      <w:r w:rsidR="00695C84">
        <w:rPr>
          <w:b/>
          <w:u w:val="single"/>
        </w:rPr>
        <w:t>(UE, Euratom) 2024/2509</w:t>
      </w:r>
    </w:p>
    <w:p w14:paraId="2367E5C0" w14:textId="1652040F" w:rsidR="008F0881" w:rsidRPr="001C5A81" w:rsidRDefault="00F43DD8" w:rsidP="008F0881">
      <w:pPr>
        <w:spacing w:before="120" w:after="120" w:line="360" w:lineRule="auto"/>
      </w:pPr>
      <w:r w:rsidRPr="001C5A81">
        <w:t>«</w:t>
      </w:r>
      <w:r w:rsidR="008F0881" w:rsidRPr="001C5A81">
        <w:t>O Parlamento Europeu, o Conselho e a Comissão («as três instituições») estão cientes da importância de reforçar a proteção dos interesses financeiros da União, tal como reconhecido no Acordo Interinstitucional (AII) de 16 de dezembro de 2020 e conforme estabelece o artigo 325.º do TFUE.</w:t>
      </w:r>
    </w:p>
    <w:p w14:paraId="63E5CBF1" w14:textId="77777777" w:rsidR="008F0881" w:rsidRPr="001C5A81" w:rsidRDefault="008F0881" w:rsidP="008F0881">
      <w:pPr>
        <w:spacing w:before="120" w:after="120" w:line="360" w:lineRule="auto"/>
      </w:pPr>
      <w:r w:rsidRPr="001C5A81">
        <w:t>As três instituições concordam que é necessário continuar a desenvolver a ferramenta em conformidade com as normas em matéria de segurança informática e de proteção de dados. A fim de reduzir os encargos administrativos e evitar custos informáticos desproporcionados para os Estados</w:t>
      </w:r>
      <w:r w:rsidRPr="001C5A81">
        <w:noBreakHyphen/>
        <w:t>Membros e os demais utilizadores, serão tidos em conta os sistemas certificados já existentes nos Estados</w:t>
      </w:r>
      <w:r w:rsidRPr="001C5A81">
        <w:noBreakHyphen/>
        <w:t>Membros.</w:t>
      </w:r>
    </w:p>
    <w:p w14:paraId="01CDCA8D" w14:textId="77777777" w:rsidR="008F0881" w:rsidRPr="001C5A81" w:rsidRDefault="008F0881" w:rsidP="008F0881">
      <w:pPr>
        <w:spacing w:before="120" w:after="120" w:line="360" w:lineRule="auto"/>
      </w:pPr>
      <w:r w:rsidRPr="001C5A81">
        <w:t>As três instituições comprometem</w:t>
      </w:r>
      <w:r w:rsidRPr="001C5A81">
        <w:noBreakHyphen/>
        <w:t>se a cooperar no sentido de continuar a desenvolver a ferramenta. A Comissão confirma que continuará a desenvolver a ferramenta, em colaboração com os seus utilizadores, e a prestar assistência aos Estados</w:t>
      </w:r>
      <w:r w:rsidRPr="001C5A81">
        <w:noBreakHyphen/>
        <w:t>Membros na resolução de todas as eventuais questões técnicas. Os Estados</w:t>
      </w:r>
      <w:r w:rsidRPr="001C5A81">
        <w:noBreakHyphen/>
        <w:t xml:space="preserve">Membros cooperarão com a Comissão, de molde a permitir as </w:t>
      </w:r>
      <w:r w:rsidRPr="001C5A81">
        <w:lastRenderedPageBreak/>
        <w:t>sinergias necessárias com vista à interoperabilidade com os sistemas informáticos e as bases de dados pertinentes.</w:t>
      </w:r>
    </w:p>
    <w:p w14:paraId="65DDD972" w14:textId="16CE4459" w:rsidR="008F0881" w:rsidRDefault="008F0881" w:rsidP="008F0881">
      <w:pPr>
        <w:spacing w:before="120" w:after="120" w:line="360" w:lineRule="auto"/>
      </w:pPr>
      <w:r w:rsidRPr="001C5A81">
        <w:t>Na sequência de uma avaliação, pela Comissão, que estabeleça – com base nos critérios referidos no artigo 36.º, n.º 6, do Regulamento Financeiro – a operacionalidade da ferramenta, as três instituições comprometem</w:t>
      </w:r>
      <w:r w:rsidRPr="001C5A81">
        <w:noBreakHyphen/>
        <w:t>se, sem prejuízo das respetivas competências, a examinar e debater novamente a utilização obrigatória do instrumento durante o período de vigência do quadro financeiro plurianual pós</w:t>
      </w:r>
      <w:r w:rsidRPr="001C5A81">
        <w:noBreakHyphen/>
        <w:t>2027.</w:t>
      </w:r>
      <w:r w:rsidR="00F43DD8" w:rsidRPr="001C5A81">
        <w:t>»</w:t>
      </w:r>
    </w:p>
    <w:p w14:paraId="21F58361" w14:textId="399A9A47" w:rsidR="008F0881" w:rsidRPr="001C5A81" w:rsidRDefault="008F0881" w:rsidP="00695C84">
      <w:pPr>
        <w:spacing w:before="360" w:after="120" w:line="360" w:lineRule="auto"/>
        <w:jc w:val="center"/>
        <w:rPr>
          <w:b/>
          <w:u w:val="single"/>
        </w:rPr>
      </w:pPr>
      <w:r w:rsidRPr="001C5A81">
        <w:rPr>
          <w:b/>
          <w:u w:val="single"/>
        </w:rPr>
        <w:t>Declaração unilateral da Comissão sobre autorizações anuladas, por ocasião da adoção do Regulamento (</w:t>
      </w:r>
      <w:r w:rsidR="00695C84">
        <w:rPr>
          <w:b/>
          <w:u w:val="single"/>
        </w:rPr>
        <w:t>UE, Euratom) 2024/2509</w:t>
      </w:r>
    </w:p>
    <w:p w14:paraId="62BDF49B" w14:textId="3F51E686" w:rsidR="008F0881" w:rsidRDefault="00F43DD8" w:rsidP="008F0881">
      <w:pPr>
        <w:spacing w:before="120" w:after="240" w:line="360" w:lineRule="auto"/>
      </w:pPr>
      <w:r w:rsidRPr="001C5A81">
        <w:t>«</w:t>
      </w:r>
      <w:r w:rsidR="008F0881" w:rsidRPr="001C5A81">
        <w:t>No contexto da preparação do quadro financeiro plurianual pós-2027, a Comissão examinará a questão do alargamento do âmbito da reconstituição das dotações correspondentes a autorizações anuladas. Tal não prejudica a futura proposta da Comissão sobre o quadro financeiro plurianual pós-2027 nem o direito de iniciativa legislativa da Comissão, tal como estabelecido nos Tratados.</w:t>
      </w:r>
      <w:r w:rsidRPr="001C5A81">
        <w:t>»</w:t>
      </w:r>
    </w:p>
    <w:p w14:paraId="2C5DCC61" w14:textId="4387E143" w:rsidR="008F0881" w:rsidRPr="001C5A81" w:rsidRDefault="008F0881" w:rsidP="00695C84">
      <w:pPr>
        <w:spacing w:before="360" w:after="120" w:line="360" w:lineRule="auto"/>
        <w:jc w:val="center"/>
        <w:rPr>
          <w:b/>
          <w:u w:val="single"/>
        </w:rPr>
      </w:pPr>
      <w:r w:rsidRPr="001C5A81">
        <w:rPr>
          <w:b/>
          <w:u w:val="single"/>
        </w:rPr>
        <w:t xml:space="preserve">Declaração unilateral da Comissão sobre o sistema de deteção precoce e de exclusão, por ocasião da adoção do Regulamento </w:t>
      </w:r>
      <w:r w:rsidR="00695C84">
        <w:rPr>
          <w:b/>
          <w:u w:val="single"/>
        </w:rPr>
        <w:t>(UE, Euratom) 2024/2509</w:t>
      </w:r>
    </w:p>
    <w:p w14:paraId="2576788F" w14:textId="716A6B21" w:rsidR="008F0881" w:rsidRPr="001C5A81" w:rsidRDefault="00F43DD8" w:rsidP="008F0881">
      <w:pPr>
        <w:spacing w:before="120" w:after="120" w:line="360" w:lineRule="auto"/>
      </w:pPr>
      <w:r w:rsidRPr="001C5A81">
        <w:t>«</w:t>
      </w:r>
      <w:r w:rsidR="008F0881" w:rsidRPr="001C5A81">
        <w:t xml:space="preserve">A Comissão Europeia reconhece a importância de minimizar os encargos administrativos para as autoridades dos Estados-Membros no contexto do alargamento específico do sistema de deteção precoce e de exclusão (EDES) à gestão partilhada e à gestão direta com os Estados-Membros. </w:t>
      </w:r>
    </w:p>
    <w:p w14:paraId="4CFBDF30" w14:textId="77777777" w:rsidR="008F0881" w:rsidRPr="001C5A81" w:rsidRDefault="008F0881" w:rsidP="008F0881">
      <w:pPr>
        <w:spacing w:before="120" w:after="120" w:line="360" w:lineRule="auto"/>
      </w:pPr>
      <w:r w:rsidRPr="001C5A81">
        <w:t xml:space="preserve">A Comissão está empenhada em elaborar orientações abrangentes e em oferecer sessões de formação aos Estados-Membros sobre a aplicação do EDES e a utilização da sua base de dados. </w:t>
      </w:r>
    </w:p>
    <w:p w14:paraId="75AE1B16" w14:textId="77777777" w:rsidR="008F0881" w:rsidRPr="001C5A81" w:rsidRDefault="008F0881" w:rsidP="008F0881">
      <w:pPr>
        <w:spacing w:before="120" w:after="120" w:line="360" w:lineRule="auto"/>
      </w:pPr>
      <w:r w:rsidRPr="001C5A81">
        <w:t>A Comissão continuará a melhorar a base de dados EDES, nomeadamente permitindo pesquisas de várias entidades e melhorando a configuração da base de dados.</w:t>
      </w:r>
    </w:p>
    <w:p w14:paraId="3352155A" w14:textId="77777777" w:rsidR="008F0881" w:rsidRPr="001C5A81" w:rsidRDefault="008F0881" w:rsidP="008F0881">
      <w:pPr>
        <w:spacing w:before="120" w:after="120" w:line="360" w:lineRule="auto"/>
      </w:pPr>
      <w:r w:rsidRPr="001C5A81">
        <w:t>A Comissão procurará assegurar a interoperabilidade informática entre o EDES e os sistemas nacionais pertinentes, a fim de simplificar o processo e permitir controlos mais rápidos das situações de exclusão de pessoas ou entidades relevantes.</w:t>
      </w:r>
    </w:p>
    <w:p w14:paraId="6F09E8FF" w14:textId="77777777" w:rsidR="008F0881" w:rsidRPr="001C5A81" w:rsidRDefault="008F0881" w:rsidP="008F0881">
      <w:pPr>
        <w:spacing w:before="120" w:after="120" w:line="360" w:lineRule="auto"/>
      </w:pPr>
      <w:r w:rsidRPr="001C5A81">
        <w:t>A Comissão confirma que qualquer pedido de informações adicionais para efeitos do EDES não excederá o estritamente necessário e proporcionado e será tratado em conformidade com as regras aplicáveis em matéria de proteção de dados. Recorde-se que o parecer da Autoridade Europeia para a Proteção de Dados sobre a proposta da Comissão de reformulação do Regulamento Financeiro não suscitou quaisquer preocupações em relação ao EDES.</w:t>
      </w:r>
    </w:p>
    <w:p w14:paraId="114C491B" w14:textId="1A9CCE59" w:rsidR="008F0881" w:rsidRPr="001C5A81" w:rsidRDefault="008F0881" w:rsidP="008F0881">
      <w:pPr>
        <w:spacing w:before="120" w:after="120" w:line="360" w:lineRule="auto"/>
        <w:rPr>
          <w:rFonts w:eastAsiaTheme="minorHAnsi"/>
          <w:szCs w:val="22"/>
          <w:lang w:eastAsia="en-US"/>
        </w:rPr>
      </w:pPr>
      <w:r w:rsidRPr="001C5A81">
        <w:t xml:space="preserve">A Comissão está empenhada em facilitar uma transição harmoniosa para a aplicação do EDES em </w:t>
      </w:r>
      <w:r w:rsidRPr="001C5A81">
        <w:lastRenderedPageBreak/>
        <w:t>plena cooperação com os Estados-Membros.</w:t>
      </w:r>
      <w:r w:rsidR="00F43DD8" w:rsidRPr="001C5A81">
        <w:t>»</w:t>
      </w:r>
    </w:p>
    <w:sectPr w:rsidR="008F0881" w:rsidRPr="001C5A81" w:rsidSect="007D7332">
      <w:footnotePr>
        <w:numRestart w:val="eachSect"/>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2A2F37" w14:textId="77777777" w:rsidR="00914073" w:rsidRPr="007C4057" w:rsidRDefault="00914073">
      <w:r w:rsidRPr="007C4057">
        <w:separator/>
      </w:r>
    </w:p>
  </w:endnote>
  <w:endnote w:type="continuationSeparator" w:id="0">
    <w:p w14:paraId="09E1052F" w14:textId="77777777" w:rsidR="00914073" w:rsidRPr="007C4057" w:rsidRDefault="00914073">
      <w:r w:rsidRPr="007C40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EB86F" w14:textId="77777777" w:rsidR="008F0881" w:rsidRPr="008F0881" w:rsidRDefault="008F0881" w:rsidP="00BA1259">
    <w:pPr>
      <w:pStyle w:val="EPFooter2"/>
      <w:ind w:left="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0ACAD" w14:textId="77777777" w:rsidR="00914073" w:rsidRPr="007C4057" w:rsidRDefault="00914073">
      <w:r w:rsidRPr="007C4057">
        <w:separator/>
      </w:r>
    </w:p>
  </w:footnote>
  <w:footnote w:type="continuationSeparator" w:id="0">
    <w:p w14:paraId="4469D4A5" w14:textId="77777777" w:rsidR="00914073" w:rsidRPr="007C4057" w:rsidRDefault="00914073">
      <w:r w:rsidRPr="007C4057">
        <w:continuationSeparator/>
      </w:r>
    </w:p>
  </w:footnote>
  <w:footnote w:id="1">
    <w:p w14:paraId="7B15F4B9" w14:textId="5578C5D3" w:rsidR="009F6588" w:rsidRPr="00E10F19" w:rsidRDefault="009F6588" w:rsidP="00A07167">
      <w:pPr>
        <w:pStyle w:val="FootnoteText"/>
        <w:ind w:left="851" w:hanging="851"/>
        <w:rPr>
          <w:sz w:val="24"/>
          <w:szCs w:val="24"/>
          <w:lang w:val="da-DK"/>
        </w:rPr>
      </w:pPr>
      <w:r w:rsidRPr="00E10F19">
        <w:rPr>
          <w:rStyle w:val="FootnoteReference"/>
          <w:sz w:val="24"/>
          <w:szCs w:val="24"/>
          <w:lang w:val="pt-PT"/>
        </w:rPr>
        <w:footnoteRef/>
      </w:r>
      <w:r w:rsidR="007C4057" w:rsidRPr="00E10F19">
        <w:rPr>
          <w:sz w:val="24"/>
          <w:szCs w:val="24"/>
          <w:lang w:val="da-DK"/>
        </w:rPr>
        <w:t xml:space="preserve"> </w:t>
      </w:r>
      <w:r w:rsidR="007C4057" w:rsidRPr="00E10F19">
        <w:rPr>
          <w:sz w:val="24"/>
          <w:szCs w:val="24"/>
          <w:lang w:val="da-DK"/>
        </w:rPr>
        <w:tab/>
      </w:r>
      <w:r w:rsidRPr="00E10F19">
        <w:rPr>
          <w:sz w:val="24"/>
          <w:szCs w:val="24"/>
          <w:lang w:val="da-DK"/>
        </w:rPr>
        <w:t>JO C 446 de 24.11.2022, p. 26.</w:t>
      </w:r>
    </w:p>
  </w:footnote>
  <w:footnote w:id="2">
    <w:p w14:paraId="145A58EB" w14:textId="77777777" w:rsidR="009F6588" w:rsidRPr="00E10F19" w:rsidRDefault="009F6588" w:rsidP="00A07167">
      <w:pPr>
        <w:pStyle w:val="FootnoteText"/>
        <w:ind w:left="851" w:hanging="851"/>
        <w:rPr>
          <w:sz w:val="24"/>
          <w:szCs w:val="24"/>
          <w:lang w:val="da-DK"/>
        </w:rPr>
      </w:pPr>
      <w:r w:rsidRPr="00E10F19">
        <w:rPr>
          <w:rStyle w:val="FootnoteReference"/>
          <w:sz w:val="24"/>
          <w:szCs w:val="24"/>
          <w:lang w:val="pt-PT"/>
        </w:rPr>
        <w:footnoteRef/>
      </w:r>
      <w:r w:rsidR="007C4057" w:rsidRPr="00E10F19">
        <w:rPr>
          <w:sz w:val="24"/>
          <w:szCs w:val="24"/>
          <w:lang w:val="da-DK"/>
        </w:rPr>
        <w:t xml:space="preserve"> </w:t>
      </w:r>
      <w:r w:rsidR="007C4057" w:rsidRPr="00E10F19">
        <w:rPr>
          <w:sz w:val="24"/>
          <w:szCs w:val="24"/>
          <w:lang w:val="da-DK"/>
        </w:rPr>
        <w:tab/>
      </w:r>
      <w:r w:rsidRPr="00E10F19">
        <w:rPr>
          <w:sz w:val="24"/>
          <w:szCs w:val="24"/>
          <w:lang w:val="da-DK"/>
        </w:rPr>
        <w:t>JO C 77 de 28.3.2002,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DD4AE054">
      <w:start w:val="1"/>
      <w:numFmt w:val="bullet"/>
      <w:lvlText w:val=""/>
      <w:lvlJc w:val="left"/>
      <w:pPr>
        <w:ind w:left="360" w:hanging="360"/>
      </w:pPr>
      <w:rPr>
        <w:rFonts w:ascii="Symbol" w:hAnsi="Symbol" w:hint="default"/>
      </w:rPr>
    </w:lvl>
    <w:lvl w:ilvl="1" w:tplc="B27257CC" w:tentative="1">
      <w:start w:val="1"/>
      <w:numFmt w:val="bullet"/>
      <w:lvlText w:val="o"/>
      <w:lvlJc w:val="left"/>
      <w:pPr>
        <w:ind w:left="1080" w:hanging="360"/>
      </w:pPr>
      <w:rPr>
        <w:rFonts w:ascii="Courier New" w:hAnsi="Courier New" w:cs="Courier New" w:hint="default"/>
      </w:rPr>
    </w:lvl>
    <w:lvl w:ilvl="2" w:tplc="A49A4734" w:tentative="1">
      <w:start w:val="1"/>
      <w:numFmt w:val="bullet"/>
      <w:lvlText w:val=""/>
      <w:lvlJc w:val="left"/>
      <w:pPr>
        <w:ind w:left="1800" w:hanging="360"/>
      </w:pPr>
      <w:rPr>
        <w:rFonts w:ascii="Wingdings" w:hAnsi="Wingdings" w:hint="default"/>
      </w:rPr>
    </w:lvl>
    <w:lvl w:ilvl="3" w:tplc="F586D472" w:tentative="1">
      <w:start w:val="1"/>
      <w:numFmt w:val="bullet"/>
      <w:lvlText w:val=""/>
      <w:lvlJc w:val="left"/>
      <w:pPr>
        <w:ind w:left="2520" w:hanging="360"/>
      </w:pPr>
      <w:rPr>
        <w:rFonts w:ascii="Symbol" w:hAnsi="Symbol" w:hint="default"/>
      </w:rPr>
    </w:lvl>
    <w:lvl w:ilvl="4" w:tplc="D77A0A14" w:tentative="1">
      <w:start w:val="1"/>
      <w:numFmt w:val="bullet"/>
      <w:lvlText w:val="o"/>
      <w:lvlJc w:val="left"/>
      <w:pPr>
        <w:ind w:left="3240" w:hanging="360"/>
      </w:pPr>
      <w:rPr>
        <w:rFonts w:ascii="Courier New" w:hAnsi="Courier New" w:cs="Courier New" w:hint="default"/>
      </w:rPr>
    </w:lvl>
    <w:lvl w:ilvl="5" w:tplc="17346B48" w:tentative="1">
      <w:start w:val="1"/>
      <w:numFmt w:val="bullet"/>
      <w:lvlText w:val=""/>
      <w:lvlJc w:val="left"/>
      <w:pPr>
        <w:ind w:left="3960" w:hanging="360"/>
      </w:pPr>
      <w:rPr>
        <w:rFonts w:ascii="Wingdings" w:hAnsi="Wingdings" w:hint="default"/>
      </w:rPr>
    </w:lvl>
    <w:lvl w:ilvl="6" w:tplc="385694B8" w:tentative="1">
      <w:start w:val="1"/>
      <w:numFmt w:val="bullet"/>
      <w:lvlText w:val=""/>
      <w:lvlJc w:val="left"/>
      <w:pPr>
        <w:ind w:left="4680" w:hanging="360"/>
      </w:pPr>
      <w:rPr>
        <w:rFonts w:ascii="Symbol" w:hAnsi="Symbol" w:hint="default"/>
      </w:rPr>
    </w:lvl>
    <w:lvl w:ilvl="7" w:tplc="C7E413E2" w:tentative="1">
      <w:start w:val="1"/>
      <w:numFmt w:val="bullet"/>
      <w:lvlText w:val="o"/>
      <w:lvlJc w:val="left"/>
      <w:pPr>
        <w:ind w:left="5400" w:hanging="360"/>
      </w:pPr>
      <w:rPr>
        <w:rFonts w:ascii="Courier New" w:hAnsi="Courier New" w:cs="Courier New" w:hint="default"/>
      </w:rPr>
    </w:lvl>
    <w:lvl w:ilvl="8" w:tplc="05EC83C0"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PT"/>
    <w:docVar w:name="dvnumam" w:val="0"/>
    <w:docVar w:name="dvpe" w:val="740.802"/>
    <w:docVar w:name="dvrapporteur" w:val="Relatores: "/>
    <w:docVar w:name="dvstar" w:val="***I"/>
    <w:docVar w:name="dvtitre" w:val="Resolução legislativa do Parlamento Europeu, de ... de ... de 2024,_x000d__x000a_ sobre a proposta de regulamento do Parlamento Europeu e do Conselho relativo às disposições financeiras aplicáveis ao orçamento geral da União (reformulação)(COM(2022)0223 – C9-0179/2022 – 2022/0162(COD))"/>
  </w:docVars>
  <w:rsids>
    <w:rsidRoot w:val="00914073"/>
    <w:rsid w:val="00002272"/>
    <w:rsid w:val="00064002"/>
    <w:rsid w:val="000677B9"/>
    <w:rsid w:val="000831BA"/>
    <w:rsid w:val="000A42CC"/>
    <w:rsid w:val="000C673B"/>
    <w:rsid w:val="000E7DD9"/>
    <w:rsid w:val="0010095E"/>
    <w:rsid w:val="001100BE"/>
    <w:rsid w:val="00110DCC"/>
    <w:rsid w:val="00125B37"/>
    <w:rsid w:val="00187494"/>
    <w:rsid w:val="001A0A2D"/>
    <w:rsid w:val="001C5A81"/>
    <w:rsid w:val="001C724D"/>
    <w:rsid w:val="001F32AE"/>
    <w:rsid w:val="00205D37"/>
    <w:rsid w:val="00255C2D"/>
    <w:rsid w:val="002767FF"/>
    <w:rsid w:val="00295655"/>
    <w:rsid w:val="002B18FE"/>
    <w:rsid w:val="002B5493"/>
    <w:rsid w:val="002D4FD4"/>
    <w:rsid w:val="00343214"/>
    <w:rsid w:val="0035587A"/>
    <w:rsid w:val="00361C00"/>
    <w:rsid w:val="003673BA"/>
    <w:rsid w:val="00390E46"/>
    <w:rsid w:val="00395FA1"/>
    <w:rsid w:val="00397A98"/>
    <w:rsid w:val="003B65CD"/>
    <w:rsid w:val="003E15D4"/>
    <w:rsid w:val="00411CCE"/>
    <w:rsid w:val="0041666E"/>
    <w:rsid w:val="00421060"/>
    <w:rsid w:val="00434C34"/>
    <w:rsid w:val="00453641"/>
    <w:rsid w:val="00471C19"/>
    <w:rsid w:val="00485CE8"/>
    <w:rsid w:val="004867E3"/>
    <w:rsid w:val="00494A28"/>
    <w:rsid w:val="004C0004"/>
    <w:rsid w:val="004C5D52"/>
    <w:rsid w:val="0050519A"/>
    <w:rsid w:val="005072A1"/>
    <w:rsid w:val="00514517"/>
    <w:rsid w:val="0052704E"/>
    <w:rsid w:val="00531A8F"/>
    <w:rsid w:val="00543682"/>
    <w:rsid w:val="00545827"/>
    <w:rsid w:val="00552295"/>
    <w:rsid w:val="00560270"/>
    <w:rsid w:val="005C2568"/>
    <w:rsid w:val="006037C0"/>
    <w:rsid w:val="006376C1"/>
    <w:rsid w:val="006631B6"/>
    <w:rsid w:val="00673696"/>
    <w:rsid w:val="00680577"/>
    <w:rsid w:val="006847E0"/>
    <w:rsid w:val="00695C84"/>
    <w:rsid w:val="006F74FA"/>
    <w:rsid w:val="00700FAB"/>
    <w:rsid w:val="00731ADD"/>
    <w:rsid w:val="00734777"/>
    <w:rsid w:val="00747932"/>
    <w:rsid w:val="00751A4A"/>
    <w:rsid w:val="00756632"/>
    <w:rsid w:val="00762C74"/>
    <w:rsid w:val="0077186F"/>
    <w:rsid w:val="00786EC0"/>
    <w:rsid w:val="007B28F1"/>
    <w:rsid w:val="007C0855"/>
    <w:rsid w:val="007C4057"/>
    <w:rsid w:val="007D1690"/>
    <w:rsid w:val="007D7332"/>
    <w:rsid w:val="007D76BB"/>
    <w:rsid w:val="007E1F94"/>
    <w:rsid w:val="007E22AD"/>
    <w:rsid w:val="00817416"/>
    <w:rsid w:val="00842779"/>
    <w:rsid w:val="00865F67"/>
    <w:rsid w:val="00881A7B"/>
    <w:rsid w:val="008840E5"/>
    <w:rsid w:val="00887B3E"/>
    <w:rsid w:val="008C2AC6"/>
    <w:rsid w:val="008F0881"/>
    <w:rsid w:val="00914073"/>
    <w:rsid w:val="00930C23"/>
    <w:rsid w:val="0093193B"/>
    <w:rsid w:val="0094495F"/>
    <w:rsid w:val="009509D8"/>
    <w:rsid w:val="00950B64"/>
    <w:rsid w:val="00981893"/>
    <w:rsid w:val="0098765B"/>
    <w:rsid w:val="009C48F8"/>
    <w:rsid w:val="009F0A8B"/>
    <w:rsid w:val="009F6588"/>
    <w:rsid w:val="009F78A4"/>
    <w:rsid w:val="00A03C4C"/>
    <w:rsid w:val="00A07167"/>
    <w:rsid w:val="00A1687D"/>
    <w:rsid w:val="00A43E52"/>
    <w:rsid w:val="00A4678D"/>
    <w:rsid w:val="00A778C7"/>
    <w:rsid w:val="00AB441E"/>
    <w:rsid w:val="00AB6293"/>
    <w:rsid w:val="00AE0928"/>
    <w:rsid w:val="00AF3B82"/>
    <w:rsid w:val="00B12E95"/>
    <w:rsid w:val="00B17430"/>
    <w:rsid w:val="00B21E11"/>
    <w:rsid w:val="00B22876"/>
    <w:rsid w:val="00B558F0"/>
    <w:rsid w:val="00BD48FE"/>
    <w:rsid w:val="00BD7BD8"/>
    <w:rsid w:val="00BE6ADC"/>
    <w:rsid w:val="00C05BFE"/>
    <w:rsid w:val="00C23CD4"/>
    <w:rsid w:val="00C32D10"/>
    <w:rsid w:val="00C61C0C"/>
    <w:rsid w:val="00C80516"/>
    <w:rsid w:val="00C941CB"/>
    <w:rsid w:val="00CC2357"/>
    <w:rsid w:val="00CD1E3D"/>
    <w:rsid w:val="00CF071A"/>
    <w:rsid w:val="00D058B8"/>
    <w:rsid w:val="00D166B7"/>
    <w:rsid w:val="00D26D5B"/>
    <w:rsid w:val="00D33BEE"/>
    <w:rsid w:val="00D52352"/>
    <w:rsid w:val="00D56C11"/>
    <w:rsid w:val="00D834A0"/>
    <w:rsid w:val="00D872DF"/>
    <w:rsid w:val="00D91E21"/>
    <w:rsid w:val="00D94862"/>
    <w:rsid w:val="00DA7FCD"/>
    <w:rsid w:val="00DB15F0"/>
    <w:rsid w:val="00DC5FD2"/>
    <w:rsid w:val="00E0785E"/>
    <w:rsid w:val="00E10F19"/>
    <w:rsid w:val="00E365E1"/>
    <w:rsid w:val="00E820A4"/>
    <w:rsid w:val="00E86446"/>
    <w:rsid w:val="00EB006A"/>
    <w:rsid w:val="00EB4772"/>
    <w:rsid w:val="00ED169E"/>
    <w:rsid w:val="00ED4235"/>
    <w:rsid w:val="00F04346"/>
    <w:rsid w:val="00F075DC"/>
    <w:rsid w:val="00F149E9"/>
    <w:rsid w:val="00F43DD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9B460"/>
  <w15:chartTrackingRefBased/>
  <w15:docId w15:val="{EA36A91A-D907-466D-BD4E-226AE2F7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F6588"/>
    <w:rPr>
      <w:b/>
      <w:kern w:val="28"/>
      <w:sz w:val="28"/>
      <w:lang w:val="fr-FR" w:eastAsia="fr-FR"/>
    </w:rPr>
  </w:style>
  <w:style w:type="character" w:customStyle="1" w:styleId="Heading2Char">
    <w:name w:val="Heading 2 Char"/>
    <w:basedOn w:val="DefaultParagraphFont"/>
    <w:link w:val="Heading2"/>
    <w:uiPriority w:val="9"/>
    <w:semiHidden/>
    <w:rsid w:val="009F6588"/>
    <w:rPr>
      <w:sz w:val="24"/>
      <w:lang w:val="fr-FR" w:eastAsia="fr-FR"/>
    </w:rPr>
  </w:style>
  <w:style w:type="character" w:customStyle="1" w:styleId="Heading3Char">
    <w:name w:val="Heading 3 Char"/>
    <w:basedOn w:val="DefaultParagraphFont"/>
    <w:link w:val="Heading3"/>
    <w:uiPriority w:val="9"/>
    <w:semiHidden/>
    <w:rsid w:val="009F6588"/>
    <w:rPr>
      <w:rFonts w:ascii="Arial" w:hAnsi="Arial"/>
      <w:sz w:val="24"/>
      <w:lang w:val="fr-FR" w:eastAsia="fr-FR"/>
    </w:rPr>
  </w:style>
  <w:style w:type="character" w:customStyle="1" w:styleId="Heading4Char">
    <w:name w:val="Heading 4 Char"/>
    <w:basedOn w:val="DefaultParagraphFont"/>
    <w:link w:val="Heading4"/>
    <w:uiPriority w:val="9"/>
    <w:semiHidden/>
    <w:rsid w:val="009F6588"/>
    <w:rPr>
      <w:sz w:val="24"/>
      <w:lang w:val="en-US" w:eastAsia="fr-FR"/>
    </w:rPr>
  </w:style>
  <w:style w:type="character" w:customStyle="1" w:styleId="Heading5Char">
    <w:name w:val="Heading 5 Char"/>
    <w:basedOn w:val="DefaultParagraphFont"/>
    <w:link w:val="Heading5"/>
    <w:uiPriority w:val="9"/>
    <w:semiHidden/>
    <w:rsid w:val="009F6588"/>
    <w:rPr>
      <w:sz w:val="24"/>
      <w:lang w:val="en-US" w:eastAsia="fr-FR"/>
    </w:rPr>
  </w:style>
  <w:style w:type="character" w:customStyle="1" w:styleId="Heading6Char">
    <w:name w:val="Heading 6 Char"/>
    <w:basedOn w:val="DefaultParagraphFont"/>
    <w:link w:val="Heading6"/>
    <w:uiPriority w:val="9"/>
    <w:semiHidden/>
    <w:rsid w:val="009F6588"/>
    <w:rPr>
      <w:i/>
      <w:sz w:val="22"/>
      <w:lang w:val="pt-PT"/>
    </w:rPr>
  </w:style>
  <w:style w:type="character" w:customStyle="1" w:styleId="Heading7Char">
    <w:name w:val="Heading 7 Char"/>
    <w:basedOn w:val="DefaultParagraphFont"/>
    <w:link w:val="Heading7"/>
    <w:uiPriority w:val="9"/>
    <w:semiHidden/>
    <w:rsid w:val="009F6588"/>
    <w:rPr>
      <w:rFonts w:ascii="Arial" w:hAnsi="Arial"/>
      <w:sz w:val="24"/>
      <w:lang w:val="pt-PT"/>
    </w:rPr>
  </w:style>
  <w:style w:type="character" w:customStyle="1" w:styleId="Heading8Char">
    <w:name w:val="Heading 8 Char"/>
    <w:basedOn w:val="DefaultParagraphFont"/>
    <w:link w:val="Heading8"/>
    <w:uiPriority w:val="9"/>
    <w:semiHidden/>
    <w:rsid w:val="009F6588"/>
    <w:rPr>
      <w:rFonts w:ascii="Arial" w:hAnsi="Arial"/>
      <w:i/>
      <w:sz w:val="24"/>
      <w:lang w:val="pt-PT"/>
    </w:rPr>
  </w:style>
  <w:style w:type="character" w:customStyle="1" w:styleId="Heading9Char">
    <w:name w:val="Heading 9 Char"/>
    <w:basedOn w:val="DefaultParagraphFont"/>
    <w:link w:val="Heading9"/>
    <w:uiPriority w:val="9"/>
    <w:semiHidden/>
    <w:rsid w:val="009F6588"/>
    <w:rPr>
      <w:rFonts w:ascii="Arial" w:hAnsi="Arial"/>
      <w:b/>
      <w:i/>
      <w:sz w:val="18"/>
      <w:lang w:val="pt-PT"/>
    </w:rPr>
  </w:style>
  <w:style w:type="paragraph" w:styleId="TOCHeading">
    <w:name w:val="TOC Heading"/>
    <w:basedOn w:val="Normal"/>
    <w:next w:val="Normal"/>
    <w:uiPriority w:val="39"/>
    <w:unhideWhenUsed/>
    <w:qFormat/>
    <w:rsid w:val="009F6588"/>
    <w:pPr>
      <w:widowControl/>
      <w:spacing w:after="240"/>
    </w:pPr>
    <w:rPr>
      <w:lang w:val="en-GB"/>
    </w:rPr>
  </w:style>
  <w:style w:type="paragraph" w:customStyle="1" w:styleId="PageHeading">
    <w:name w:val="PageHeading"/>
    <w:basedOn w:val="Normal"/>
    <w:rsid w:val="009F6588"/>
    <w:pPr>
      <w:keepNext/>
      <w:spacing w:after="480"/>
      <w:jc w:val="center"/>
    </w:pPr>
    <w:rPr>
      <w:rFonts w:ascii="Arial" w:hAnsi="Arial" w:cs="Arial"/>
      <w:b/>
    </w:rPr>
  </w:style>
  <w:style w:type="paragraph" w:customStyle="1" w:styleId="EPFooter2">
    <w:name w:val="EPFooter2"/>
    <w:basedOn w:val="Normal"/>
    <w:next w:val="Normal"/>
    <w:rsid w:val="009F658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F6588"/>
    <w:pPr>
      <w:spacing w:after="240"/>
    </w:pPr>
  </w:style>
  <w:style w:type="paragraph" w:customStyle="1" w:styleId="TOCPage">
    <w:name w:val="TOC Page"/>
    <w:basedOn w:val="Normal"/>
    <w:next w:val="TOC1"/>
    <w:rsid w:val="009F6588"/>
    <w:pPr>
      <w:keepNext/>
      <w:spacing w:after="240"/>
      <w:jc w:val="right"/>
    </w:pPr>
    <w:rPr>
      <w:rFonts w:ascii="Arial" w:hAnsi="Arial"/>
      <w:b/>
    </w:rPr>
  </w:style>
  <w:style w:type="paragraph" w:customStyle="1" w:styleId="Normal6a">
    <w:name w:val="Normal6a"/>
    <w:basedOn w:val="Normal"/>
    <w:rsid w:val="009F6588"/>
    <w:pPr>
      <w:spacing w:after="120"/>
    </w:pPr>
  </w:style>
  <w:style w:type="paragraph" w:customStyle="1" w:styleId="NormalBold">
    <w:name w:val="NormalBold"/>
    <w:basedOn w:val="Normal"/>
    <w:link w:val="NormalBoldChar"/>
    <w:rsid w:val="009F6588"/>
    <w:rPr>
      <w:b/>
    </w:rPr>
  </w:style>
  <w:style w:type="paragraph" w:customStyle="1" w:styleId="NormalBold12a">
    <w:name w:val="NormalBold12a"/>
    <w:basedOn w:val="Normal"/>
    <w:rsid w:val="009F6588"/>
    <w:pPr>
      <w:spacing w:after="240"/>
    </w:pPr>
    <w:rPr>
      <w:b/>
    </w:rPr>
  </w:style>
  <w:style w:type="paragraph" w:customStyle="1" w:styleId="NormalHanging12a">
    <w:name w:val="NormalHanging12a"/>
    <w:basedOn w:val="Normal"/>
    <w:rsid w:val="009F6588"/>
    <w:pPr>
      <w:spacing w:after="240"/>
      <w:ind w:left="567" w:hanging="567"/>
    </w:pPr>
  </w:style>
  <w:style w:type="paragraph" w:customStyle="1" w:styleId="CoverNormal24a">
    <w:name w:val="CoverNormal24a"/>
    <w:basedOn w:val="Normal"/>
    <w:rsid w:val="009F6588"/>
    <w:pPr>
      <w:spacing w:after="480"/>
      <w:ind w:left="1417"/>
    </w:pPr>
  </w:style>
  <w:style w:type="paragraph" w:customStyle="1" w:styleId="CoverNormal">
    <w:name w:val="CoverNormal"/>
    <w:basedOn w:val="Normal"/>
    <w:rsid w:val="009F6588"/>
    <w:pPr>
      <w:ind w:left="1418"/>
    </w:pPr>
  </w:style>
  <w:style w:type="paragraph" w:customStyle="1" w:styleId="CoverReference">
    <w:name w:val="CoverReference"/>
    <w:basedOn w:val="Normal"/>
    <w:rsid w:val="009F6588"/>
    <w:pPr>
      <w:spacing w:before="1080"/>
      <w:jc w:val="right"/>
    </w:pPr>
    <w:rPr>
      <w:rFonts w:ascii="Arial" w:hAnsi="Arial" w:cs="Arial"/>
      <w:b/>
    </w:rPr>
  </w:style>
  <w:style w:type="paragraph" w:customStyle="1" w:styleId="CoverDocType">
    <w:name w:val="CoverDocType"/>
    <w:basedOn w:val="Normal"/>
    <w:rsid w:val="009F6588"/>
    <w:pPr>
      <w:ind w:left="1418"/>
    </w:pPr>
    <w:rPr>
      <w:rFonts w:ascii="Arial" w:hAnsi="Arial"/>
      <w:b/>
      <w:sz w:val="48"/>
    </w:rPr>
  </w:style>
  <w:style w:type="paragraph" w:customStyle="1" w:styleId="CoverDocType24a">
    <w:name w:val="CoverDocType24a"/>
    <w:basedOn w:val="Normal"/>
    <w:rsid w:val="009F6588"/>
    <w:pPr>
      <w:spacing w:after="480"/>
      <w:ind w:left="1418"/>
    </w:pPr>
    <w:rPr>
      <w:rFonts w:ascii="Arial" w:hAnsi="Arial"/>
      <w:b/>
      <w:sz w:val="48"/>
    </w:rPr>
  </w:style>
  <w:style w:type="paragraph" w:customStyle="1" w:styleId="CoverDate">
    <w:name w:val="CoverDate"/>
    <w:basedOn w:val="Normal"/>
    <w:rsid w:val="009F6588"/>
    <w:pPr>
      <w:spacing w:before="240" w:after="1200"/>
    </w:pPr>
  </w:style>
  <w:style w:type="paragraph" w:styleId="Header">
    <w:name w:val="header"/>
    <w:basedOn w:val="Normal"/>
    <w:link w:val="HeaderChar"/>
    <w:uiPriority w:val="99"/>
    <w:rsid w:val="009F6588"/>
    <w:pPr>
      <w:tabs>
        <w:tab w:val="center" w:pos="4513"/>
        <w:tab w:val="right" w:pos="9026"/>
      </w:tabs>
    </w:pPr>
  </w:style>
  <w:style w:type="character" w:customStyle="1" w:styleId="HeaderChar">
    <w:name w:val="Header Char"/>
    <w:basedOn w:val="DefaultParagraphFont"/>
    <w:link w:val="Header"/>
    <w:uiPriority w:val="99"/>
    <w:rsid w:val="009F6588"/>
    <w:rPr>
      <w:sz w:val="24"/>
      <w:lang w:val="pt-PT"/>
    </w:rPr>
  </w:style>
  <w:style w:type="paragraph" w:customStyle="1" w:styleId="AnnexWPTabs">
    <w:name w:val="AnnexWPTabs"/>
    <w:basedOn w:val="Normal"/>
    <w:rsid w:val="009F6588"/>
    <w:pPr>
      <w:tabs>
        <w:tab w:val="right" w:pos="3686"/>
        <w:tab w:val="left" w:pos="3827"/>
      </w:tabs>
    </w:pPr>
    <w:rPr>
      <w:b/>
    </w:rPr>
  </w:style>
  <w:style w:type="paragraph" w:customStyle="1" w:styleId="AnnexWPDate">
    <w:name w:val="AnnexWPDate"/>
    <w:basedOn w:val="Normal"/>
    <w:rsid w:val="009F6588"/>
    <w:pPr>
      <w:spacing w:before="240" w:after="480"/>
      <w:jc w:val="right"/>
    </w:pPr>
  </w:style>
  <w:style w:type="paragraph" w:customStyle="1" w:styleId="AnnexWPSmall">
    <w:name w:val="AnnexWPSmall"/>
    <w:basedOn w:val="Normal"/>
    <w:rsid w:val="009F6588"/>
    <w:rPr>
      <w:smallCaps/>
      <w:sz w:val="20"/>
    </w:rPr>
  </w:style>
  <w:style w:type="paragraph" w:customStyle="1" w:styleId="AnnexWPDocType">
    <w:name w:val="AnnexWPDocType"/>
    <w:basedOn w:val="Normal"/>
    <w:rsid w:val="009F6588"/>
    <w:pPr>
      <w:spacing w:after="240"/>
      <w:jc w:val="center"/>
    </w:pPr>
    <w:rPr>
      <w:b/>
    </w:rPr>
  </w:style>
  <w:style w:type="paragraph" w:customStyle="1" w:styleId="AnnexWPTitle">
    <w:name w:val="AnnexWPTitle"/>
    <w:basedOn w:val="Normal"/>
    <w:rsid w:val="009F6588"/>
    <w:pPr>
      <w:spacing w:before="480"/>
    </w:pPr>
    <w:rPr>
      <w:b/>
    </w:rPr>
  </w:style>
  <w:style w:type="paragraph" w:customStyle="1" w:styleId="AmJustText">
    <w:name w:val="AmJustText"/>
    <w:basedOn w:val="Normal"/>
    <w:rsid w:val="009F6588"/>
    <w:pPr>
      <w:spacing w:after="240"/>
    </w:pPr>
    <w:rPr>
      <w:i/>
    </w:rPr>
  </w:style>
  <w:style w:type="paragraph" w:customStyle="1" w:styleId="AmCrossRef">
    <w:name w:val="AmCrossRef"/>
    <w:basedOn w:val="Normal"/>
    <w:rsid w:val="009F6588"/>
    <w:pPr>
      <w:spacing w:before="240" w:after="240"/>
      <w:jc w:val="center"/>
    </w:pPr>
    <w:rPr>
      <w:i/>
    </w:rPr>
  </w:style>
  <w:style w:type="paragraph" w:customStyle="1" w:styleId="AmJustTitle">
    <w:name w:val="AmJustTitle"/>
    <w:basedOn w:val="Normal"/>
    <w:next w:val="AmJustText"/>
    <w:rsid w:val="009F6588"/>
    <w:pPr>
      <w:keepNext/>
      <w:spacing w:before="240" w:after="240"/>
      <w:jc w:val="center"/>
    </w:pPr>
    <w:rPr>
      <w:i/>
    </w:rPr>
  </w:style>
  <w:style w:type="paragraph" w:customStyle="1" w:styleId="AmOrLang">
    <w:name w:val="AmOrLang"/>
    <w:basedOn w:val="Normal"/>
    <w:rsid w:val="009F6588"/>
    <w:pPr>
      <w:spacing w:before="240" w:after="240"/>
      <w:jc w:val="right"/>
    </w:pPr>
  </w:style>
  <w:style w:type="paragraph" w:customStyle="1" w:styleId="AmColumnHeading">
    <w:name w:val="AmColumnHeading"/>
    <w:basedOn w:val="Normal"/>
    <w:rsid w:val="009F6588"/>
    <w:pPr>
      <w:spacing w:after="240"/>
      <w:jc w:val="center"/>
    </w:pPr>
    <w:rPr>
      <w:i/>
    </w:rPr>
  </w:style>
  <w:style w:type="paragraph" w:customStyle="1" w:styleId="AmNumberTabs">
    <w:name w:val="AmNumberTabs"/>
    <w:basedOn w:val="Normal"/>
    <w:link w:val="AmNumberTabsChar"/>
    <w:rsid w:val="009F65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F6588"/>
    <w:pPr>
      <w:spacing w:before="240"/>
    </w:pPr>
    <w:rPr>
      <w:b/>
    </w:rPr>
  </w:style>
  <w:style w:type="paragraph" w:customStyle="1" w:styleId="EPBody">
    <w:name w:val="EPBody"/>
    <w:basedOn w:val="Normal"/>
    <w:rsid w:val="009F6588"/>
    <w:pPr>
      <w:jc w:val="center"/>
    </w:pPr>
    <w:rPr>
      <w:rFonts w:ascii="Arial" w:hAnsi="Arial" w:cs="Arial"/>
      <w:i/>
      <w:sz w:val="22"/>
      <w:szCs w:val="22"/>
    </w:rPr>
  </w:style>
  <w:style w:type="paragraph" w:customStyle="1" w:styleId="AnnexWPLogo">
    <w:name w:val="AnnexWPLogo"/>
    <w:basedOn w:val="Normal"/>
    <w:rsid w:val="009F6588"/>
    <w:pPr>
      <w:spacing w:before="120" w:after="120"/>
    </w:pPr>
  </w:style>
  <w:style w:type="paragraph" w:customStyle="1" w:styleId="EPFooter">
    <w:name w:val="EPFooter"/>
    <w:basedOn w:val="Normal"/>
    <w:rsid w:val="009F6588"/>
    <w:pPr>
      <w:tabs>
        <w:tab w:val="center" w:pos="4535"/>
        <w:tab w:val="right" w:pos="9071"/>
      </w:tabs>
      <w:spacing w:before="240" w:after="240"/>
    </w:pPr>
    <w:rPr>
      <w:color w:val="010000"/>
      <w:sz w:val="22"/>
    </w:rPr>
  </w:style>
  <w:style w:type="paragraph" w:customStyle="1" w:styleId="EPComma">
    <w:name w:val="EPComma"/>
    <w:basedOn w:val="Normal"/>
    <w:rsid w:val="009F6588"/>
    <w:pPr>
      <w:spacing w:before="480" w:after="240"/>
    </w:pPr>
  </w:style>
  <w:style w:type="paragraph" w:customStyle="1" w:styleId="Lgendesigne">
    <w:name w:val="Légende signe"/>
    <w:basedOn w:val="Normal"/>
    <w:rsid w:val="009F6588"/>
    <w:pPr>
      <w:tabs>
        <w:tab w:val="right" w:pos="454"/>
        <w:tab w:val="left" w:pos="737"/>
      </w:tabs>
      <w:ind w:left="737" w:hanging="737"/>
    </w:pPr>
    <w:rPr>
      <w:snapToGrid w:val="0"/>
      <w:sz w:val="18"/>
      <w:lang w:eastAsia="en-US"/>
    </w:rPr>
  </w:style>
  <w:style w:type="paragraph" w:customStyle="1" w:styleId="Lgendetitre">
    <w:name w:val="Légende titre"/>
    <w:basedOn w:val="Normal"/>
    <w:rsid w:val="009F6588"/>
    <w:pPr>
      <w:spacing w:before="240" w:after="240"/>
    </w:pPr>
    <w:rPr>
      <w:b/>
      <w:i/>
      <w:snapToGrid w:val="0"/>
      <w:lang w:eastAsia="en-US"/>
    </w:rPr>
  </w:style>
  <w:style w:type="paragraph" w:customStyle="1" w:styleId="Lgendestandard">
    <w:name w:val="Légende standard"/>
    <w:basedOn w:val="Normal"/>
    <w:rsid w:val="009F6588"/>
    <w:rPr>
      <w:sz w:val="18"/>
    </w:rPr>
  </w:style>
  <w:style w:type="paragraph" w:customStyle="1" w:styleId="msonormal0">
    <w:name w:val="msonormal"/>
    <w:basedOn w:val="Normal"/>
    <w:rsid w:val="009F6588"/>
    <w:pPr>
      <w:widowControl/>
      <w:spacing w:before="100" w:beforeAutospacing="1" w:after="100" w:afterAutospacing="1"/>
    </w:pPr>
    <w:rPr>
      <w:szCs w:val="24"/>
    </w:rPr>
  </w:style>
  <w:style w:type="paragraph" w:styleId="Footer">
    <w:name w:val="footer"/>
    <w:basedOn w:val="Normal"/>
    <w:link w:val="FooterChar"/>
    <w:uiPriority w:val="99"/>
    <w:rsid w:val="009F6588"/>
    <w:pPr>
      <w:tabs>
        <w:tab w:val="center" w:pos="4513"/>
        <w:tab w:val="right" w:pos="9026"/>
      </w:tabs>
    </w:pPr>
  </w:style>
  <w:style w:type="character" w:customStyle="1" w:styleId="FooterChar">
    <w:name w:val="Footer Char"/>
    <w:basedOn w:val="DefaultParagraphFont"/>
    <w:link w:val="Footer"/>
    <w:uiPriority w:val="99"/>
    <w:rsid w:val="009F6588"/>
    <w:rPr>
      <w:sz w:val="24"/>
      <w:lang w:val="pt-PT"/>
    </w:rPr>
  </w:style>
  <w:style w:type="character" w:customStyle="1" w:styleId="Normal12Char">
    <w:name w:val="Normal12 Char"/>
    <w:link w:val="Normal12"/>
    <w:locked/>
    <w:rsid w:val="009F6588"/>
    <w:rPr>
      <w:noProof/>
      <w:sz w:val="24"/>
    </w:rPr>
  </w:style>
  <w:style w:type="paragraph" w:customStyle="1" w:styleId="Normal12">
    <w:name w:val="Normal12"/>
    <w:basedOn w:val="Normal"/>
    <w:link w:val="Normal12Char"/>
    <w:rsid w:val="009F6588"/>
    <w:pPr>
      <w:spacing w:after="240"/>
    </w:pPr>
    <w:rPr>
      <w:noProof/>
      <w:lang w:val="en-GB"/>
    </w:rPr>
  </w:style>
  <w:style w:type="paragraph" w:customStyle="1" w:styleId="CommitteeAM">
    <w:name w:val="CommitteeAM"/>
    <w:basedOn w:val="Normal"/>
    <w:rsid w:val="009F6588"/>
    <w:pPr>
      <w:spacing w:before="240" w:after="600"/>
      <w:jc w:val="center"/>
    </w:pPr>
    <w:rPr>
      <w:i/>
    </w:rPr>
  </w:style>
  <w:style w:type="paragraph" w:customStyle="1" w:styleId="ZDateAM">
    <w:name w:val="ZDateAM"/>
    <w:basedOn w:val="Normal"/>
    <w:rsid w:val="009F6588"/>
    <w:pPr>
      <w:tabs>
        <w:tab w:val="right" w:pos="9356"/>
      </w:tabs>
      <w:spacing w:after="480"/>
    </w:pPr>
    <w:rPr>
      <w:noProof/>
    </w:rPr>
  </w:style>
  <w:style w:type="paragraph" w:customStyle="1" w:styleId="ProjRap">
    <w:name w:val="ProjRap"/>
    <w:basedOn w:val="Normal"/>
    <w:rsid w:val="009F6588"/>
    <w:pPr>
      <w:tabs>
        <w:tab w:val="right" w:pos="9356"/>
      </w:tabs>
    </w:pPr>
    <w:rPr>
      <w:b/>
      <w:noProof/>
    </w:rPr>
  </w:style>
  <w:style w:type="paragraph" w:customStyle="1" w:styleId="PELeft">
    <w:name w:val="PELeft"/>
    <w:basedOn w:val="Normal"/>
    <w:rsid w:val="009F6588"/>
    <w:pPr>
      <w:spacing w:before="40" w:after="40"/>
    </w:pPr>
    <w:rPr>
      <w:rFonts w:ascii="Arial" w:hAnsi="Arial" w:cs="Arial"/>
      <w:sz w:val="22"/>
      <w:szCs w:val="22"/>
    </w:rPr>
  </w:style>
  <w:style w:type="paragraph" w:customStyle="1" w:styleId="PERight">
    <w:name w:val="PERight"/>
    <w:basedOn w:val="Normal"/>
    <w:next w:val="Normal"/>
    <w:rsid w:val="009F6588"/>
    <w:pPr>
      <w:jc w:val="right"/>
    </w:pPr>
    <w:rPr>
      <w:rFonts w:ascii="Arial" w:hAnsi="Arial" w:cs="Arial"/>
      <w:sz w:val="22"/>
      <w:szCs w:val="22"/>
    </w:rPr>
  </w:style>
  <w:style w:type="character" w:customStyle="1" w:styleId="Normal6Char">
    <w:name w:val="Normal6 Char"/>
    <w:link w:val="Normal6"/>
    <w:locked/>
    <w:rsid w:val="009F6588"/>
    <w:rPr>
      <w:sz w:val="24"/>
      <w:lang w:val="pt-PT"/>
    </w:rPr>
  </w:style>
  <w:style w:type="paragraph" w:customStyle="1" w:styleId="Normal6">
    <w:name w:val="Normal6"/>
    <w:basedOn w:val="Normal"/>
    <w:link w:val="Normal6Char"/>
    <w:rsid w:val="009F6588"/>
    <w:pPr>
      <w:spacing w:after="120"/>
    </w:pPr>
  </w:style>
  <w:style w:type="character" w:customStyle="1" w:styleId="NormalBoldChar">
    <w:name w:val="NormalBold Char"/>
    <w:link w:val="NormalBold"/>
    <w:locked/>
    <w:rsid w:val="009F6588"/>
    <w:rPr>
      <w:b/>
      <w:sz w:val="24"/>
      <w:lang w:val="pt-PT"/>
    </w:rPr>
  </w:style>
  <w:style w:type="paragraph" w:customStyle="1" w:styleId="Normal12Italic">
    <w:name w:val="Normal12Italic"/>
    <w:basedOn w:val="Normal12"/>
    <w:rsid w:val="009F6588"/>
    <w:rPr>
      <w:i/>
    </w:rPr>
  </w:style>
  <w:style w:type="paragraph" w:customStyle="1" w:styleId="JustificationTitle">
    <w:name w:val="JustificationTitle"/>
    <w:basedOn w:val="Normal"/>
    <w:next w:val="Normal12"/>
    <w:rsid w:val="009F6588"/>
    <w:pPr>
      <w:keepNext/>
      <w:spacing w:before="240" w:after="240"/>
      <w:jc w:val="center"/>
    </w:pPr>
    <w:rPr>
      <w:i/>
      <w:noProof/>
    </w:rPr>
  </w:style>
  <w:style w:type="paragraph" w:customStyle="1" w:styleId="Olang">
    <w:name w:val="Olang"/>
    <w:basedOn w:val="Normal"/>
    <w:rsid w:val="009F6588"/>
    <w:pPr>
      <w:spacing w:before="240" w:after="240"/>
      <w:jc w:val="right"/>
    </w:pPr>
    <w:rPr>
      <w:noProof/>
      <w:szCs w:val="24"/>
    </w:rPr>
  </w:style>
  <w:style w:type="paragraph" w:customStyle="1" w:styleId="ColumnHeading">
    <w:name w:val="ColumnHeading"/>
    <w:basedOn w:val="Normal"/>
    <w:rsid w:val="009F6588"/>
    <w:pPr>
      <w:spacing w:after="240"/>
      <w:jc w:val="center"/>
    </w:pPr>
    <w:rPr>
      <w:i/>
    </w:rPr>
  </w:style>
  <w:style w:type="paragraph" w:customStyle="1" w:styleId="AMNumberTabs0">
    <w:name w:val="AMNumberTabs"/>
    <w:basedOn w:val="Normal"/>
    <w:rsid w:val="009F65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F6588"/>
    <w:pPr>
      <w:spacing w:before="240"/>
      <w:jc w:val="center"/>
    </w:pPr>
    <w:rPr>
      <w:i/>
    </w:rPr>
  </w:style>
  <w:style w:type="character" w:customStyle="1" w:styleId="Footer2Middle">
    <w:name w:val="Footer2Middle"/>
    <w:rsid w:val="009F6588"/>
    <w:rPr>
      <w:rFonts w:ascii="Arial" w:hAnsi="Arial" w:cs="Arial" w:hint="default"/>
      <w:b w:val="0"/>
      <w:bCs w:val="0"/>
      <w:i/>
      <w:iCs w:val="0"/>
      <w:color w:val="C0C0C0"/>
      <w:sz w:val="22"/>
    </w:rPr>
  </w:style>
  <w:style w:type="paragraph" w:customStyle="1" w:styleId="EntPE">
    <w:name w:val="EntPE"/>
    <w:basedOn w:val="Normal12"/>
    <w:rsid w:val="009F6588"/>
    <w:pPr>
      <w:jc w:val="center"/>
    </w:pPr>
    <w:rPr>
      <w:noProof w:val="0"/>
      <w:sz w:val="56"/>
    </w:rPr>
  </w:style>
  <w:style w:type="character" w:styleId="CommentReference">
    <w:name w:val="annotation reference"/>
    <w:basedOn w:val="DefaultParagraphFont"/>
    <w:uiPriority w:val="99"/>
    <w:rsid w:val="009F6588"/>
    <w:rPr>
      <w:sz w:val="16"/>
      <w:szCs w:val="16"/>
    </w:rPr>
  </w:style>
  <w:style w:type="paragraph" w:styleId="CommentText">
    <w:name w:val="annotation text"/>
    <w:basedOn w:val="Normal"/>
    <w:link w:val="CommentTextChar"/>
    <w:uiPriority w:val="99"/>
    <w:qFormat/>
    <w:rsid w:val="009F6588"/>
    <w:rPr>
      <w:sz w:val="20"/>
    </w:rPr>
  </w:style>
  <w:style w:type="character" w:customStyle="1" w:styleId="CommentTextChar">
    <w:name w:val="Comment Text Char"/>
    <w:basedOn w:val="DefaultParagraphFont"/>
    <w:link w:val="CommentText"/>
    <w:uiPriority w:val="99"/>
    <w:qFormat/>
    <w:rsid w:val="009F6588"/>
    <w:rPr>
      <w:lang w:val="pt-PT"/>
    </w:rPr>
  </w:style>
  <w:style w:type="paragraph" w:styleId="CommentSubject">
    <w:name w:val="annotation subject"/>
    <w:basedOn w:val="CommentText"/>
    <w:next w:val="CommentText"/>
    <w:link w:val="CommentSubjectChar"/>
    <w:uiPriority w:val="99"/>
    <w:unhideWhenUsed/>
    <w:rsid w:val="009F6588"/>
    <w:rPr>
      <w:b/>
      <w:bCs/>
    </w:rPr>
  </w:style>
  <w:style w:type="character" w:customStyle="1" w:styleId="CommentSubjectChar">
    <w:name w:val="Comment Subject Char"/>
    <w:basedOn w:val="CommentTextChar"/>
    <w:link w:val="CommentSubject"/>
    <w:uiPriority w:val="99"/>
    <w:rsid w:val="009F6588"/>
    <w:rPr>
      <w:b/>
      <w:bCs/>
      <w:lang w:val="pt-PT"/>
    </w:rPr>
  </w:style>
  <w:style w:type="paragraph" w:styleId="BalloonText">
    <w:name w:val="Balloon Text"/>
    <w:basedOn w:val="Normal"/>
    <w:link w:val="BalloonTextChar"/>
    <w:uiPriority w:val="99"/>
    <w:unhideWhenUsed/>
    <w:rsid w:val="009F6588"/>
    <w:rPr>
      <w:rFonts w:ascii="Segoe UI" w:hAnsi="Segoe UI" w:cs="Segoe UI"/>
      <w:sz w:val="18"/>
      <w:szCs w:val="18"/>
    </w:rPr>
  </w:style>
  <w:style w:type="character" w:customStyle="1" w:styleId="BalloonTextChar">
    <w:name w:val="Balloon Text Char"/>
    <w:basedOn w:val="DefaultParagraphFont"/>
    <w:link w:val="BalloonText"/>
    <w:uiPriority w:val="99"/>
    <w:rsid w:val="009F6588"/>
    <w:rPr>
      <w:rFonts w:ascii="Segoe UI" w:hAnsi="Segoe UI" w:cs="Segoe UI"/>
      <w:sz w:val="18"/>
      <w:szCs w:val="18"/>
      <w:lang w:val="pt-PT"/>
    </w:rPr>
  </w:style>
  <w:style w:type="paragraph" w:styleId="ListParagraph">
    <w:name w:val="List Paragraph"/>
    <w:basedOn w:val="Normal"/>
    <w:uiPriority w:val="34"/>
    <w:qFormat/>
    <w:rsid w:val="009F6588"/>
    <w:pPr>
      <w:widowControl/>
      <w:ind w:left="720"/>
      <w:contextualSpacing/>
      <w:jc w:val="both"/>
    </w:pPr>
    <w:rPr>
      <w:rFonts w:eastAsiaTheme="minorHAnsi"/>
      <w:szCs w:val="24"/>
      <w:lang w:eastAsia="en-US"/>
    </w:rPr>
  </w:style>
  <w:style w:type="character" w:customStyle="1" w:styleId="AmNumberTabsChar">
    <w:name w:val="AmNumberTabs Char"/>
    <w:basedOn w:val="DefaultParagraphFont"/>
    <w:link w:val="AmNumberTabs"/>
    <w:rsid w:val="009F6588"/>
    <w:rPr>
      <w:b/>
      <w:sz w:val="24"/>
      <w:lang w:val="pt-PT"/>
    </w:rPr>
  </w:style>
  <w:style w:type="character" w:customStyle="1" w:styleId="NormalBold12bChar">
    <w:name w:val="NormalBold12b Char"/>
    <w:basedOn w:val="AmNumberTabsChar"/>
    <w:link w:val="NormalBold12b"/>
    <w:rsid w:val="009F6588"/>
    <w:rPr>
      <w:b/>
      <w:sz w:val="24"/>
      <w:lang w:val="pt-PT"/>
    </w:rPr>
  </w:style>
  <w:style w:type="paragraph" w:customStyle="1" w:styleId="PageHeadingNotTOC">
    <w:name w:val="PageHeadingNotTOC"/>
    <w:basedOn w:val="Normal"/>
    <w:rsid w:val="009F6588"/>
    <w:pPr>
      <w:keepNext/>
      <w:spacing w:after="480"/>
      <w:jc w:val="center"/>
    </w:pPr>
    <w:rPr>
      <w:rFonts w:ascii="Arial" w:hAnsi="Arial" w:cs="Arial"/>
      <w:b/>
    </w:rPr>
  </w:style>
  <w:style w:type="paragraph" w:customStyle="1" w:styleId="AmHeadingPA">
    <w:name w:val="AmHeadingPA"/>
    <w:basedOn w:val="Normal"/>
    <w:next w:val="Normal"/>
    <w:rsid w:val="009F6588"/>
    <w:pPr>
      <w:spacing w:before="480" w:after="240"/>
      <w:jc w:val="center"/>
    </w:pPr>
    <w:rPr>
      <w:rFonts w:ascii="Arial" w:hAnsi="Arial"/>
      <w:b/>
      <w:caps/>
      <w:snapToGrid w:val="0"/>
      <w:szCs w:val="24"/>
      <w:lang w:eastAsia="en-US"/>
    </w:rPr>
  </w:style>
  <w:style w:type="character" w:customStyle="1" w:styleId="Sup">
    <w:name w:val="Sup"/>
    <w:uiPriority w:val="1"/>
    <w:qFormat/>
    <w:rsid w:val="009F6588"/>
    <w:rPr>
      <w:vertAlign w:val="superscript"/>
    </w:rPr>
  </w:style>
  <w:style w:type="character" w:styleId="Hyperlink">
    <w:name w:val="Hyperlink"/>
    <w:basedOn w:val="DefaultParagraphFont"/>
    <w:uiPriority w:val="99"/>
    <w:qFormat/>
    <w:rsid w:val="009F6588"/>
    <w:rPr>
      <w:color w:val="0563C1" w:themeColor="hyperlink"/>
      <w:u w:val="single"/>
    </w:rPr>
  </w:style>
  <w:style w:type="paragraph" w:customStyle="1" w:styleId="LetterSalutation">
    <w:name w:val="LetterSalutation"/>
    <w:basedOn w:val="Normal"/>
    <w:rsid w:val="009F6588"/>
    <w:pPr>
      <w:spacing w:before="600" w:after="360"/>
    </w:pPr>
  </w:style>
  <w:style w:type="paragraph" w:customStyle="1" w:styleId="LetterSubject">
    <w:name w:val="LetterSubject"/>
    <w:basedOn w:val="Normal"/>
    <w:rsid w:val="009F6588"/>
    <w:pPr>
      <w:spacing w:before="480"/>
      <w:ind w:left="1134" w:hanging="1134"/>
    </w:pPr>
  </w:style>
  <w:style w:type="paragraph" w:customStyle="1" w:styleId="Normal24a">
    <w:name w:val="Normal24a"/>
    <w:basedOn w:val="Normal"/>
    <w:link w:val="Normal24aChar"/>
    <w:rsid w:val="009F6588"/>
    <w:pPr>
      <w:spacing w:after="480"/>
    </w:pPr>
  </w:style>
  <w:style w:type="character" w:customStyle="1" w:styleId="Normal24aChar">
    <w:name w:val="Normal24a Char"/>
    <w:basedOn w:val="DefaultParagraphFont"/>
    <w:link w:val="Normal24a"/>
    <w:rsid w:val="009F6588"/>
    <w:rPr>
      <w:sz w:val="24"/>
      <w:lang w:val="pt-PT"/>
    </w:rPr>
  </w:style>
  <w:style w:type="paragraph" w:customStyle="1" w:styleId="CoverBold">
    <w:name w:val="CoverBold"/>
    <w:basedOn w:val="Normal"/>
    <w:rsid w:val="009F6588"/>
    <w:pPr>
      <w:ind w:left="1417"/>
    </w:pPr>
    <w:rPr>
      <w:b/>
    </w:rPr>
  </w:style>
  <w:style w:type="paragraph" w:customStyle="1" w:styleId="Normal2">
    <w:name w:val="Normal2"/>
    <w:basedOn w:val="Normal"/>
    <w:qFormat/>
    <w:rsid w:val="009F6588"/>
    <w:pPr>
      <w:spacing w:line="120" w:lineRule="auto"/>
    </w:pPr>
    <w:rPr>
      <w:sz w:val="4"/>
    </w:rPr>
  </w:style>
  <w:style w:type="paragraph" w:customStyle="1" w:styleId="NormalItalic6a">
    <w:name w:val="NormalItalic6a"/>
    <w:basedOn w:val="Normal6a"/>
    <w:qFormat/>
    <w:rsid w:val="009F6588"/>
    <w:rPr>
      <w:i/>
    </w:rPr>
  </w:style>
  <w:style w:type="paragraph" w:customStyle="1" w:styleId="NormalBoldItalic6a">
    <w:name w:val="NormalBoldItalic6a"/>
    <w:basedOn w:val="Normal6a"/>
    <w:qFormat/>
    <w:rsid w:val="009F6588"/>
    <w:rPr>
      <w:b/>
      <w:i/>
    </w:rPr>
  </w:style>
  <w:style w:type="paragraph" w:customStyle="1" w:styleId="NormalBoldItalicCenter6a">
    <w:name w:val="NormalBoldItalicCenter6a"/>
    <w:basedOn w:val="Normal6a"/>
    <w:qFormat/>
    <w:rsid w:val="009F6588"/>
    <w:pPr>
      <w:jc w:val="center"/>
    </w:pPr>
    <w:rPr>
      <w:b/>
      <w:i/>
    </w:rPr>
  </w:style>
  <w:style w:type="paragraph" w:customStyle="1" w:styleId="AnnexRight">
    <w:name w:val="AnnexRight"/>
    <w:basedOn w:val="Normal"/>
    <w:rsid w:val="009F6588"/>
    <w:pPr>
      <w:spacing w:after="480"/>
      <w:jc w:val="right"/>
    </w:pPr>
  </w:style>
  <w:style w:type="paragraph" w:customStyle="1" w:styleId="RollCallSymbols14pt">
    <w:name w:val="RollCallSymbols14pt"/>
    <w:basedOn w:val="Normal"/>
    <w:rsid w:val="009F65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F6588"/>
    <w:pPr>
      <w:tabs>
        <w:tab w:val="center" w:pos="284"/>
        <w:tab w:val="left" w:pos="426"/>
      </w:tabs>
    </w:pPr>
    <w:rPr>
      <w:snapToGrid w:val="0"/>
      <w:lang w:eastAsia="en-US"/>
    </w:rPr>
  </w:style>
  <w:style w:type="paragraph" w:customStyle="1" w:styleId="RollCallVotes">
    <w:name w:val="RollCallVotes"/>
    <w:basedOn w:val="Normal"/>
    <w:rsid w:val="009F6588"/>
    <w:pPr>
      <w:spacing w:before="120" w:after="120"/>
      <w:jc w:val="center"/>
    </w:pPr>
    <w:rPr>
      <w:b/>
      <w:bCs/>
      <w:snapToGrid w:val="0"/>
      <w:sz w:val="16"/>
      <w:lang w:eastAsia="en-US"/>
    </w:rPr>
  </w:style>
  <w:style w:type="paragraph" w:customStyle="1" w:styleId="RollCallTable">
    <w:name w:val="RollCallTable"/>
    <w:basedOn w:val="Normal"/>
    <w:rsid w:val="009F6588"/>
    <w:pPr>
      <w:spacing w:before="120" w:after="120"/>
    </w:pPr>
    <w:rPr>
      <w:snapToGrid w:val="0"/>
      <w:sz w:val="16"/>
      <w:lang w:eastAsia="en-US"/>
    </w:rPr>
  </w:style>
  <w:style w:type="paragraph" w:customStyle="1" w:styleId="LetterSignature66b">
    <w:name w:val="LetterSignature66b"/>
    <w:basedOn w:val="Normal"/>
    <w:next w:val="Normal"/>
    <w:rsid w:val="009F6588"/>
    <w:pPr>
      <w:spacing w:before="1320"/>
    </w:pPr>
  </w:style>
  <w:style w:type="character" w:styleId="FollowedHyperlink">
    <w:name w:val="FollowedHyperlink"/>
    <w:basedOn w:val="DefaultParagraphFont"/>
    <w:uiPriority w:val="99"/>
    <w:rsid w:val="00CD1E3D"/>
    <w:rPr>
      <w:color w:val="954F72" w:themeColor="followedHyperlink"/>
      <w:u w:val="single"/>
    </w:rPr>
  </w:style>
  <w:style w:type="paragraph" w:customStyle="1" w:styleId="AmDocTypeTab">
    <w:name w:val="AmDocTypeTab"/>
    <w:basedOn w:val="Normal"/>
    <w:rsid w:val="009F0A8B"/>
    <w:pPr>
      <w:tabs>
        <w:tab w:val="right" w:pos="9072"/>
      </w:tabs>
    </w:pPr>
    <w:rPr>
      <w:b/>
    </w:rPr>
  </w:style>
  <w:style w:type="paragraph" w:customStyle="1" w:styleId="NormalCenter12a">
    <w:name w:val="NormalCenter12a"/>
    <w:basedOn w:val="Normal"/>
    <w:rsid w:val="009F0A8B"/>
    <w:pPr>
      <w:spacing w:after="240"/>
      <w:jc w:val="center"/>
    </w:pPr>
  </w:style>
  <w:style w:type="paragraph" w:customStyle="1" w:styleId="AmDateTab">
    <w:name w:val="AmDateTab"/>
    <w:basedOn w:val="Normal"/>
    <w:rsid w:val="009F0A8B"/>
    <w:pPr>
      <w:tabs>
        <w:tab w:val="right" w:pos="9072"/>
      </w:tabs>
    </w:pPr>
  </w:style>
  <w:style w:type="paragraph" w:customStyle="1" w:styleId="AmHeadingConsam">
    <w:name w:val="AmHeadingConsam"/>
    <w:basedOn w:val="Normal"/>
    <w:next w:val="NormalCenter12a"/>
    <w:rsid w:val="009F0A8B"/>
    <w:pPr>
      <w:spacing w:before="720" w:after="240"/>
      <w:jc w:val="center"/>
    </w:pPr>
  </w:style>
  <w:style w:type="numbering" w:customStyle="1" w:styleId="NoList1">
    <w:name w:val="No List1"/>
    <w:next w:val="NoList"/>
    <w:uiPriority w:val="99"/>
    <w:semiHidden/>
    <w:unhideWhenUsed/>
    <w:rsid w:val="009F0A8B"/>
  </w:style>
  <w:style w:type="paragraph" w:customStyle="1" w:styleId="Title1">
    <w:name w:val="Title1"/>
    <w:basedOn w:val="Normal"/>
    <w:next w:val="Normal"/>
    <w:uiPriority w:val="10"/>
    <w:qFormat/>
    <w:rsid w:val="009F0A8B"/>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9F0A8B"/>
    <w:rPr>
      <w:rFonts w:ascii="Arial" w:hAnsi="Arial" w:cs="Arial"/>
      <w:b/>
      <w:bCs/>
      <w:kern w:val="28"/>
      <w:sz w:val="32"/>
      <w:szCs w:val="32"/>
    </w:rPr>
  </w:style>
  <w:style w:type="paragraph" w:customStyle="1" w:styleId="Subtitle1">
    <w:name w:val="Subtitle1"/>
    <w:basedOn w:val="Normal"/>
    <w:next w:val="Normal"/>
    <w:uiPriority w:val="11"/>
    <w:qFormat/>
    <w:rsid w:val="009F0A8B"/>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9F0A8B"/>
    <w:rPr>
      <w:rFonts w:ascii="Arial" w:hAnsi="Arial" w:cs="Arial"/>
      <w:sz w:val="24"/>
      <w:szCs w:val="24"/>
    </w:rPr>
  </w:style>
  <w:style w:type="character" w:styleId="Strong">
    <w:name w:val="Strong"/>
    <w:basedOn w:val="DefaultParagraphFont"/>
    <w:uiPriority w:val="22"/>
    <w:qFormat/>
    <w:rsid w:val="009F0A8B"/>
    <w:rPr>
      <w:b/>
      <w:bCs/>
    </w:rPr>
  </w:style>
  <w:style w:type="character" w:customStyle="1" w:styleId="Emphasis1">
    <w:name w:val="Emphasis1"/>
    <w:basedOn w:val="DefaultParagraphFont"/>
    <w:uiPriority w:val="20"/>
    <w:qFormat/>
    <w:rsid w:val="009F0A8B"/>
    <w:rPr>
      <w:rFonts w:ascii="Calibri" w:hAnsi="Calibri"/>
      <w:b/>
      <w:i/>
      <w:iCs/>
    </w:rPr>
  </w:style>
  <w:style w:type="paragraph" w:styleId="NoSpacing">
    <w:name w:val="No Spacing"/>
    <w:basedOn w:val="Normal"/>
    <w:uiPriority w:val="1"/>
    <w:qFormat/>
    <w:rsid w:val="009F0A8B"/>
    <w:pPr>
      <w:widowControl/>
      <w:jc w:val="both"/>
    </w:pPr>
    <w:rPr>
      <w:rFonts w:eastAsia="Calibri"/>
      <w:szCs w:val="32"/>
      <w:lang w:eastAsia="en-US"/>
    </w:rPr>
  </w:style>
  <w:style w:type="paragraph" w:styleId="Quote">
    <w:name w:val="Quote"/>
    <w:basedOn w:val="Normal"/>
    <w:next w:val="Normal"/>
    <w:link w:val="QuoteChar"/>
    <w:uiPriority w:val="29"/>
    <w:qFormat/>
    <w:rsid w:val="009F0A8B"/>
    <w:pPr>
      <w:widowControl/>
      <w:jc w:val="both"/>
    </w:pPr>
    <w:rPr>
      <w:rFonts w:eastAsia="Calibri"/>
      <w:i/>
      <w:szCs w:val="24"/>
      <w:lang w:eastAsia="en-US"/>
    </w:rPr>
  </w:style>
  <w:style w:type="character" w:customStyle="1" w:styleId="QuoteChar">
    <w:name w:val="Quote Char"/>
    <w:basedOn w:val="DefaultParagraphFont"/>
    <w:link w:val="Quote"/>
    <w:uiPriority w:val="29"/>
    <w:rsid w:val="009F0A8B"/>
    <w:rPr>
      <w:rFonts w:eastAsia="Calibri"/>
      <w:i/>
      <w:sz w:val="24"/>
      <w:szCs w:val="24"/>
      <w:lang w:val="pt-PT" w:eastAsia="en-US"/>
    </w:rPr>
  </w:style>
  <w:style w:type="paragraph" w:styleId="IntenseQuote">
    <w:name w:val="Intense Quote"/>
    <w:basedOn w:val="Normal"/>
    <w:next w:val="Normal"/>
    <w:link w:val="IntenseQuoteChar"/>
    <w:uiPriority w:val="30"/>
    <w:qFormat/>
    <w:rsid w:val="009F0A8B"/>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9F0A8B"/>
    <w:rPr>
      <w:rFonts w:eastAsia="Calibri"/>
      <w:b/>
      <w:i/>
      <w:sz w:val="24"/>
      <w:szCs w:val="22"/>
      <w:lang w:val="pt-PT" w:eastAsia="en-US"/>
    </w:rPr>
  </w:style>
  <w:style w:type="character" w:customStyle="1" w:styleId="SubtleEmphasis1">
    <w:name w:val="Subtle Emphasis1"/>
    <w:uiPriority w:val="19"/>
    <w:qFormat/>
    <w:rsid w:val="009F0A8B"/>
    <w:rPr>
      <w:i/>
      <w:color w:val="5A5A5A"/>
    </w:rPr>
  </w:style>
  <w:style w:type="character" w:styleId="IntenseEmphasis">
    <w:name w:val="Intense Emphasis"/>
    <w:basedOn w:val="DefaultParagraphFont"/>
    <w:uiPriority w:val="21"/>
    <w:qFormat/>
    <w:rsid w:val="009F0A8B"/>
    <w:rPr>
      <w:b/>
      <w:i/>
      <w:sz w:val="24"/>
      <w:szCs w:val="24"/>
      <w:u w:val="single"/>
    </w:rPr>
  </w:style>
  <w:style w:type="character" w:styleId="SubtleReference">
    <w:name w:val="Subtle Reference"/>
    <w:basedOn w:val="DefaultParagraphFont"/>
    <w:uiPriority w:val="31"/>
    <w:qFormat/>
    <w:rsid w:val="009F0A8B"/>
    <w:rPr>
      <w:sz w:val="24"/>
      <w:szCs w:val="24"/>
      <w:u w:val="single"/>
    </w:rPr>
  </w:style>
  <w:style w:type="character" w:styleId="IntenseReference">
    <w:name w:val="Intense Reference"/>
    <w:basedOn w:val="DefaultParagraphFont"/>
    <w:uiPriority w:val="32"/>
    <w:qFormat/>
    <w:rsid w:val="009F0A8B"/>
    <w:rPr>
      <w:b/>
      <w:sz w:val="24"/>
      <w:u w:val="single"/>
    </w:rPr>
  </w:style>
  <w:style w:type="character" w:customStyle="1" w:styleId="BookTitle1">
    <w:name w:val="Book Title1"/>
    <w:basedOn w:val="DefaultParagraphFont"/>
    <w:uiPriority w:val="33"/>
    <w:qFormat/>
    <w:rsid w:val="009F0A8B"/>
    <w:rPr>
      <w:rFonts w:ascii="Calibri Light" w:eastAsia="Times New Roman" w:hAnsi="Calibri Light"/>
      <w:b/>
      <w:i/>
      <w:sz w:val="24"/>
      <w:szCs w:val="24"/>
    </w:rPr>
  </w:style>
  <w:style w:type="paragraph" w:customStyle="1" w:styleId="Typedudocument">
    <w:name w:val="Type du document"/>
    <w:basedOn w:val="Normal"/>
    <w:next w:val="Normal"/>
    <w:rsid w:val="009F0A8B"/>
    <w:pPr>
      <w:widowControl/>
      <w:spacing w:before="360" w:line="360" w:lineRule="auto"/>
      <w:jc w:val="center"/>
    </w:pPr>
    <w:rPr>
      <w:rFonts w:eastAsia="Calibri"/>
      <w:b/>
      <w:szCs w:val="22"/>
      <w:lang w:eastAsia="en-US"/>
    </w:rPr>
  </w:style>
  <w:style w:type="paragraph" w:customStyle="1" w:styleId="SectionTitle">
    <w:name w:val="SectionTitle"/>
    <w:basedOn w:val="Normal"/>
    <w:next w:val="Heading1"/>
    <w:rsid w:val="009F0A8B"/>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9F0A8B"/>
    <w:pPr>
      <w:keepNext/>
      <w:widowControl/>
      <w:spacing w:before="360" w:after="120"/>
      <w:jc w:val="center"/>
    </w:pPr>
    <w:rPr>
      <w:rFonts w:eastAsia="Calibri"/>
      <w:i/>
      <w:szCs w:val="22"/>
      <w:lang w:eastAsia="en-US"/>
    </w:rPr>
  </w:style>
  <w:style w:type="paragraph" w:customStyle="1" w:styleId="Point0">
    <w:name w:val="Point 0"/>
    <w:basedOn w:val="Normal"/>
    <w:rsid w:val="009F0A8B"/>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9F0A8B"/>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9F0A8B"/>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9F0A8B"/>
    <w:pPr>
      <w:widowControl/>
      <w:spacing w:before="120" w:after="120"/>
      <w:jc w:val="center"/>
    </w:pPr>
    <w:rPr>
      <w:rFonts w:eastAsia="Calibri"/>
      <w:szCs w:val="22"/>
      <w:lang w:eastAsia="en-US"/>
    </w:rPr>
  </w:style>
  <w:style w:type="paragraph" w:customStyle="1" w:styleId="NormalLeft">
    <w:name w:val="Normal Left"/>
    <w:basedOn w:val="Normal"/>
    <w:rsid w:val="009F0A8B"/>
    <w:pPr>
      <w:widowControl/>
      <w:spacing w:before="120" w:after="120"/>
    </w:pPr>
    <w:rPr>
      <w:rFonts w:eastAsia="Calibri"/>
      <w:szCs w:val="22"/>
      <w:lang w:eastAsia="en-US"/>
    </w:rPr>
  </w:style>
  <w:style w:type="paragraph" w:styleId="Revision">
    <w:name w:val="Revision"/>
    <w:hidden/>
    <w:uiPriority w:val="99"/>
    <w:semiHidden/>
    <w:rsid w:val="009F0A8B"/>
    <w:rPr>
      <w:rFonts w:eastAsia="Calibri"/>
      <w:sz w:val="24"/>
      <w:szCs w:val="24"/>
      <w:lang w:val="pt-PT" w:eastAsia="en-US"/>
    </w:rPr>
  </w:style>
  <w:style w:type="paragraph" w:styleId="NormalWeb">
    <w:name w:val="Normal (Web)"/>
    <w:basedOn w:val="Normal"/>
    <w:uiPriority w:val="99"/>
    <w:unhideWhenUsed/>
    <w:rsid w:val="009F0A8B"/>
    <w:pPr>
      <w:widowControl/>
      <w:spacing w:before="100" w:beforeAutospacing="1" w:after="100" w:afterAutospacing="1"/>
    </w:pPr>
    <w:rPr>
      <w:szCs w:val="24"/>
      <w:lang w:eastAsia="pl-PL"/>
    </w:rPr>
  </w:style>
  <w:style w:type="paragraph" w:customStyle="1" w:styleId="xl65">
    <w:name w:val="xl65"/>
    <w:basedOn w:val="Normal"/>
    <w:rsid w:val="009F0A8B"/>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rsid w:val="009F0A8B"/>
    <w:pPr>
      <w:widowControl/>
      <w:pBdr>
        <w:right w:val="single" w:sz="4" w:space="0" w:color="auto"/>
      </w:pBdr>
      <w:spacing w:before="100" w:beforeAutospacing="1" w:after="100" w:afterAutospacing="1"/>
    </w:pPr>
    <w:rPr>
      <w:szCs w:val="24"/>
      <w:lang w:eastAsia="en-IE"/>
    </w:rPr>
  </w:style>
  <w:style w:type="paragraph" w:styleId="Title">
    <w:name w:val="Title"/>
    <w:basedOn w:val="Normal"/>
    <w:next w:val="Normal"/>
    <w:link w:val="TitleChar"/>
    <w:uiPriority w:val="10"/>
    <w:qFormat/>
    <w:rsid w:val="009F0A8B"/>
    <w:pPr>
      <w:contextualSpacing/>
    </w:pPr>
    <w:rPr>
      <w:rFonts w:ascii="Arial" w:hAnsi="Arial" w:cs="Arial"/>
      <w:b/>
      <w:bCs/>
      <w:kern w:val="28"/>
      <w:sz w:val="32"/>
      <w:szCs w:val="32"/>
      <w:lang w:val="en-GB"/>
    </w:rPr>
  </w:style>
  <w:style w:type="character" w:customStyle="1" w:styleId="TitleChar1">
    <w:name w:val="Title Char1"/>
    <w:basedOn w:val="DefaultParagraphFont"/>
    <w:rsid w:val="009F0A8B"/>
    <w:rPr>
      <w:rFonts w:asciiTheme="majorHAnsi" w:eastAsiaTheme="majorEastAsia" w:hAnsiTheme="majorHAnsi" w:cstheme="majorBidi"/>
      <w:spacing w:val="-10"/>
      <w:kern w:val="28"/>
      <w:sz w:val="56"/>
      <w:szCs w:val="56"/>
      <w:lang w:val="pt-PT"/>
    </w:rPr>
  </w:style>
  <w:style w:type="paragraph" w:styleId="Subtitle">
    <w:name w:val="Subtitle"/>
    <w:basedOn w:val="Normal"/>
    <w:next w:val="Normal"/>
    <w:link w:val="SubtitleChar"/>
    <w:uiPriority w:val="11"/>
    <w:qFormat/>
    <w:rsid w:val="009F0A8B"/>
    <w:pPr>
      <w:numPr>
        <w:ilvl w:val="1"/>
      </w:numPr>
      <w:spacing w:after="160"/>
    </w:pPr>
    <w:rPr>
      <w:rFonts w:ascii="Arial" w:hAnsi="Arial" w:cs="Arial"/>
      <w:szCs w:val="24"/>
      <w:lang w:val="en-GB"/>
    </w:rPr>
  </w:style>
  <w:style w:type="character" w:customStyle="1" w:styleId="SubtitleChar1">
    <w:name w:val="Subtitle Char1"/>
    <w:basedOn w:val="DefaultParagraphFont"/>
    <w:rsid w:val="009F0A8B"/>
    <w:rPr>
      <w:rFonts w:asciiTheme="minorHAnsi" w:eastAsiaTheme="minorEastAsia" w:hAnsiTheme="minorHAnsi" w:cstheme="minorBidi"/>
      <w:color w:val="5A5A5A" w:themeColor="text1" w:themeTint="A5"/>
      <w:spacing w:val="15"/>
      <w:sz w:val="22"/>
      <w:szCs w:val="22"/>
      <w:lang w:val="pt-PT"/>
    </w:rPr>
  </w:style>
  <w:style w:type="character" w:styleId="Emphasis">
    <w:name w:val="Emphasis"/>
    <w:basedOn w:val="DefaultParagraphFont"/>
    <w:qFormat/>
    <w:rsid w:val="009F0A8B"/>
    <w:rPr>
      <w:i/>
      <w:iCs/>
    </w:rPr>
  </w:style>
  <w:style w:type="character" w:styleId="SubtleEmphasis">
    <w:name w:val="Subtle Emphasis"/>
    <w:basedOn w:val="DefaultParagraphFont"/>
    <w:uiPriority w:val="19"/>
    <w:qFormat/>
    <w:rsid w:val="009F0A8B"/>
    <w:rPr>
      <w:i/>
      <w:iCs/>
      <w:color w:val="404040" w:themeColor="text1" w:themeTint="BF"/>
    </w:rPr>
  </w:style>
  <w:style w:type="character" w:styleId="BookTitle">
    <w:name w:val="Book Title"/>
    <w:basedOn w:val="DefaultParagraphFont"/>
    <w:uiPriority w:val="33"/>
    <w:qFormat/>
    <w:rsid w:val="009F0A8B"/>
    <w:rPr>
      <w:b/>
      <w:bCs/>
      <w:i/>
      <w:iCs/>
      <w:spacing w:val="5"/>
    </w:rPr>
  </w:style>
  <w:style w:type="paragraph" w:customStyle="1" w:styleId="HeadingDocType24a">
    <w:name w:val="HeadingDocType24a"/>
    <w:basedOn w:val="Normal"/>
    <w:rsid w:val="00E10F19"/>
    <w:pPr>
      <w:spacing w:after="480"/>
      <w:jc w:val="center"/>
    </w:pPr>
    <w:rPr>
      <w:rFonts w:ascii="Arial" w:hAnsi="Arial"/>
      <w:b/>
      <w:sz w:val="48"/>
    </w:rPr>
  </w:style>
  <w:style w:type="paragraph" w:customStyle="1" w:styleId="HeadingReferenceERCO">
    <w:name w:val="HeadingReferenceERCO"/>
    <w:basedOn w:val="Normal"/>
    <w:rsid w:val="00E10F19"/>
    <w:pPr>
      <w:spacing w:before="360" w:after="240"/>
      <w:jc w:val="right"/>
    </w:pPr>
    <w:rPr>
      <w:rFonts w:ascii="Arial" w:hAnsi="Arial"/>
      <w:b/>
    </w:rPr>
  </w:style>
  <w:style w:type="paragraph" w:customStyle="1" w:styleId="NormalCenter">
    <w:name w:val="NormalCenter"/>
    <w:basedOn w:val="Normal"/>
    <w:rsid w:val="00E10F19"/>
    <w:pPr>
      <w:jc w:val="center"/>
    </w:pPr>
  </w:style>
  <w:style w:type="paragraph" w:customStyle="1" w:styleId="LineSingle">
    <w:name w:val="LineSingle"/>
    <w:basedOn w:val="Normal"/>
    <w:next w:val="Normal"/>
    <w:rsid w:val="00E10F19"/>
    <w:pPr>
      <w:pBdr>
        <w:bottom w:val="single" w:sz="4" w:space="1" w:color="auto"/>
      </w:pBdr>
      <w:spacing w:after="240"/>
    </w:pPr>
  </w:style>
  <w:style w:type="paragraph" w:customStyle="1" w:styleId="HeadingDate">
    <w:name w:val="HeadingDate"/>
    <w:basedOn w:val="Normal"/>
    <w:rsid w:val="00E10F19"/>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AEACF-55CD-4188-8C7D-39C8B7EA6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2024-11-29T09:47:00Z</dcterms:created>
  <dcterms:modified xsi:type="dcterms:W3CDTF">2024-11-29T09:47:00Z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P9_TA(2024)0163_</vt:lpwstr>
  </property>
  <property fmtid="{D5CDD505-2E9C-101B-9397-08002B2CF9AE}" pid="4" name="&lt;Type&gt;">
    <vt:lpwstr>RR</vt:lpwstr>
  </property>
</Properties>
</file>