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36222">
        <w:trPr>
          <w:trHeight w:hRule="exact" w:val="1418"/>
        </w:trPr>
        <w:tc>
          <w:tcPr>
            <w:tcW w:w="6804" w:type="dxa"/>
            <w:shd w:val="clear" w:color="auto" w:fill="auto"/>
            <w:vAlign w:val="center"/>
          </w:tcPr>
          <w:p w:rsidR="00536222" w:rsidRDefault="00082F3C">
            <w:pPr>
              <w:pStyle w:val="EPName"/>
            </w:pPr>
            <w:r>
              <w:t>Európsky parlament</w:t>
            </w:r>
          </w:p>
          <w:p w:rsidR="00536222" w:rsidRDefault="00082F3C">
            <w:pPr>
              <w:pStyle w:val="EPTerm"/>
              <w:rPr>
                <w:rStyle w:val="HideTWBExt"/>
                <w:noProof w:val="0"/>
                <w:vanish w:val="0"/>
                <w:color w:val="auto"/>
              </w:rPr>
            </w:pPr>
            <w:r>
              <w:t>2019-2024</w:t>
            </w:r>
          </w:p>
        </w:tc>
        <w:tc>
          <w:tcPr>
            <w:tcW w:w="2268" w:type="dxa"/>
            <w:shd w:val="clear" w:color="auto" w:fill="auto"/>
          </w:tcPr>
          <w:p w:rsidR="00536222" w:rsidRDefault="00082F3C">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36222" w:rsidRDefault="00536222">
      <w:pPr>
        <w:pStyle w:val="LineTop"/>
      </w:pPr>
    </w:p>
    <w:p w:rsidR="00536222" w:rsidRDefault="00082F3C">
      <w:pPr>
        <w:pStyle w:val="EPBodyTA1"/>
      </w:pPr>
      <w:r>
        <w:t>PRIJATÉ TEXTY</w:t>
      </w:r>
    </w:p>
    <w:p w:rsidR="00536222" w:rsidRDefault="00536222">
      <w:pPr>
        <w:pStyle w:val="LineBottom"/>
      </w:pPr>
    </w:p>
    <w:p w:rsidR="00536222" w:rsidRDefault="00082F3C">
      <w:pPr>
        <w:pStyle w:val="ATHeading1"/>
      </w:pPr>
      <w:bookmarkStart w:id="0" w:name="TANumber"/>
      <w:r>
        <w:t>P9_TA(2024)0163</w:t>
      </w:r>
      <w:bookmarkEnd w:id="0"/>
    </w:p>
    <w:p w:rsidR="00536222" w:rsidRDefault="00082F3C">
      <w:pPr>
        <w:pStyle w:val="ATHeading2"/>
      </w:pPr>
      <w:bookmarkStart w:id="1" w:name="title"/>
      <w:r>
        <w:t>Rozpočtové pravidlá, ktoré sa vzťahujú na všeobecný rozpočet Únie (prepracované znenie)</w:t>
      </w:r>
      <w:bookmarkEnd w:id="1"/>
    </w:p>
    <w:p w:rsidR="00536222" w:rsidRDefault="00082F3C">
      <w:pPr>
        <w:rPr>
          <w:i/>
          <w:vanish/>
        </w:rPr>
      </w:pPr>
      <w:r>
        <w:rPr>
          <w:i/>
        </w:rPr>
        <w:fldChar w:fldCharType="begin"/>
      </w:r>
      <w:r>
        <w:rPr>
          <w:i/>
        </w:rPr>
        <w:instrText xml:space="preserve"> TC"(</w:instrText>
      </w:r>
      <w:bookmarkStart w:id="2" w:name="DocNumber"/>
      <w:r>
        <w:rPr>
          <w:i/>
        </w:rPr>
        <w:instrText>A9-0180/2023</w:instrText>
      </w:r>
      <w:bookmarkEnd w:id="2"/>
      <w:r>
        <w:rPr>
          <w:i/>
        </w:rPr>
        <w:instrText xml:space="preserve"> - Spravodajcovia: </w:instrText>
      </w:r>
      <w:proofErr w:type="spellStart"/>
      <w:r>
        <w:rPr>
          <w:i/>
        </w:rPr>
        <w:instrText>Nils</w:instrText>
      </w:r>
      <w:proofErr w:type="spellEnd"/>
      <w:r>
        <w:rPr>
          <w:i/>
        </w:rPr>
        <w:instrText xml:space="preserve"> </w:instrText>
      </w:r>
      <w:proofErr w:type="spellStart"/>
      <w:r>
        <w:rPr>
          <w:i/>
        </w:rPr>
        <w:instrText>Ušakovs</w:instrText>
      </w:r>
      <w:proofErr w:type="spellEnd"/>
      <w:r>
        <w:rPr>
          <w:i/>
        </w:rPr>
        <w:instrText xml:space="preserve">, Monika </w:instrText>
      </w:r>
      <w:proofErr w:type="spellStart"/>
      <w:r>
        <w:rPr>
          <w:i/>
        </w:rPr>
        <w:instrText>Hohlmeier</w:instrText>
      </w:r>
      <w:proofErr w:type="spellEnd"/>
      <w:r>
        <w:rPr>
          <w:i/>
        </w:rPr>
        <w:instrText xml:space="preserve">)"\l3 \n&gt; \* MERGEFORMAT </w:instrText>
      </w:r>
      <w:r>
        <w:rPr>
          <w:i/>
        </w:rPr>
        <w:fldChar w:fldCharType="end"/>
      </w:r>
    </w:p>
    <w:p w:rsidR="00536222" w:rsidRDefault="00082F3C">
      <w:pPr>
        <w:rPr>
          <w:vanish/>
        </w:rPr>
      </w:pPr>
      <w:bookmarkStart w:id="3" w:name="Commission"/>
      <w:r>
        <w:rPr>
          <w:vanish/>
        </w:rPr>
        <w:t>Výbor pre</w:t>
      </w:r>
      <w:r>
        <w:rPr>
          <w:vanish/>
        </w:rPr>
        <w:t xml:space="preserve"> rozpočet</w:t>
      </w:r>
      <w:bookmarkEnd w:id="3"/>
      <w:r>
        <w:rPr>
          <w:vanish/>
        </w:rPr>
        <w:t xml:space="preserve"> a Výboru pre kontrolu rozpočtu</w:t>
      </w:r>
    </w:p>
    <w:p w:rsidR="00536222" w:rsidRDefault="00082F3C">
      <w:pPr>
        <w:rPr>
          <w:vanish/>
        </w:rPr>
      </w:pPr>
      <w:bookmarkStart w:id="4" w:name="PE"/>
      <w:r>
        <w:rPr>
          <w:vanish/>
        </w:rPr>
        <w:t>PE740.802</w:t>
      </w:r>
      <w:bookmarkEnd w:id="4"/>
    </w:p>
    <w:p w:rsidR="00536222" w:rsidRDefault="00082F3C">
      <w:pPr>
        <w:pStyle w:val="ATHeading3"/>
      </w:pPr>
      <w:bookmarkStart w:id="5" w:name="Sujet"/>
      <w:r>
        <w:t>Legislatívne uznesenie Európskeho parlamentu zo 14. marca 2024 o návrhu nariadenia Európskeho parlamentu a Rady o rozpočtových pravidlách, ktoré sa vzťahujú na všeobecný rozpočet Únie (prepracované znenie)</w:t>
      </w:r>
      <w:bookmarkEnd w:id="5"/>
      <w:r>
        <w:t xml:space="preserve"> </w:t>
      </w:r>
      <w:bookmarkStart w:id="6" w:name="References"/>
      <w:r>
        <w:t>(COM(2022)0223 – C9-0179/2022 – 2022/0162(COD))</w:t>
      </w:r>
      <w:bookmarkEnd w:id="6"/>
    </w:p>
    <w:p w:rsidR="00536222" w:rsidRDefault="00082F3C">
      <w:pPr>
        <w:pStyle w:val="NormalBold"/>
      </w:pPr>
      <w:bookmarkStart w:id="7" w:name="TextBodyBegin"/>
      <w:bookmarkEnd w:id="7"/>
      <w:r>
        <w:t>(Riadny legislatívny postup – prepracovanie)</w:t>
      </w:r>
    </w:p>
    <w:p w:rsidR="00536222" w:rsidRDefault="00082F3C">
      <w:pPr>
        <w:pStyle w:val="EPComma"/>
      </w:pPr>
      <w:r>
        <w:rPr>
          <w:i/>
        </w:rPr>
        <w:t>Európsky parlament</w:t>
      </w:r>
      <w:r>
        <w:t>,</w:t>
      </w:r>
    </w:p>
    <w:p w:rsidR="00536222" w:rsidRDefault="00082F3C">
      <w:pPr>
        <w:pStyle w:val="NormalHanging12a"/>
      </w:pPr>
      <w:r>
        <w:t>–</w:t>
      </w:r>
      <w:r>
        <w:tab/>
        <w:t>so zreteľom na návrh Komisie pre Európsky parlament a Radu (COM(2022)0223),</w:t>
      </w:r>
    </w:p>
    <w:p w:rsidR="00536222" w:rsidRDefault="00082F3C">
      <w:pPr>
        <w:pStyle w:val="NormalHanging12a"/>
      </w:pPr>
      <w:r>
        <w:t>–</w:t>
      </w:r>
      <w:r>
        <w:tab/>
        <w:t>so zreteľom na článok 294 ods. 2 a článok 322 ods. 1 Zmluvy o </w:t>
      </w:r>
      <w:r>
        <w:t>fungovaní Európskej únie, ako aj na článok 106a Zmluvy o založení Európskeho spoločenstva pre atómovú energiu, v súlade s ktorými Komisia predložila návrh Európskemu parlamentu (C9</w:t>
      </w:r>
      <w:r>
        <w:noBreakHyphen/>
        <w:t>0179/2022),</w:t>
      </w:r>
    </w:p>
    <w:p w:rsidR="00536222" w:rsidRDefault="00082F3C">
      <w:pPr>
        <w:pStyle w:val="NormalHanging12a"/>
      </w:pPr>
      <w:r>
        <w:t>–</w:t>
      </w:r>
      <w:r>
        <w:tab/>
        <w:t>so zreteľom na článok 294 ods. 3 Zmluvy o fungovaní Európskej</w:t>
      </w:r>
      <w:r>
        <w:t xml:space="preserve"> únie,</w:t>
      </w:r>
    </w:p>
    <w:p w:rsidR="00536222" w:rsidRDefault="00082F3C">
      <w:pPr>
        <w:pStyle w:val="NormalHanging12a"/>
      </w:pPr>
      <w:r>
        <w:t>–</w:t>
      </w:r>
      <w:r>
        <w:tab/>
        <w:t>so zreteľom na stanovisko Dvora audítorov z 31. októbra 2022</w:t>
      </w:r>
      <w:r>
        <w:rPr>
          <w:rStyle w:val="FootnoteReference"/>
        </w:rPr>
        <w:footnoteReference w:id="1"/>
      </w:r>
      <w:r>
        <w:t>,</w:t>
      </w:r>
    </w:p>
    <w:p w:rsidR="00536222" w:rsidRDefault="00082F3C">
      <w:pPr>
        <w:pStyle w:val="NormalHanging12a"/>
      </w:pPr>
      <w:r>
        <w:t>–</w:t>
      </w:r>
      <w:r>
        <w:tab/>
        <w:t xml:space="preserve">so zreteľom na </w:t>
      </w:r>
      <w:proofErr w:type="spellStart"/>
      <w:r>
        <w:t>Medziinštitucionálnu</w:t>
      </w:r>
      <w:proofErr w:type="spellEnd"/>
      <w:r>
        <w:t xml:space="preserve"> dohodu z 28. novembra 2001 o systematickejšom používaní techniky prepracovania právnych aktov</w:t>
      </w:r>
      <w:r>
        <w:rPr>
          <w:rStyle w:val="FootnoteReference"/>
        </w:rPr>
        <w:footnoteReference w:id="2"/>
      </w:r>
      <w:r>
        <w:t>,</w:t>
      </w:r>
    </w:p>
    <w:p w:rsidR="00536222" w:rsidRDefault="00082F3C">
      <w:pPr>
        <w:pStyle w:val="NormalHanging12a"/>
      </w:pPr>
      <w:r>
        <w:t>–</w:t>
      </w:r>
      <w:r>
        <w:tab/>
        <w:t>so zreteľom na list Výboru pre právne veci z 25.</w:t>
      </w:r>
      <w:r>
        <w:t xml:space="preserve"> apríla 2023 adresovaný Výboru pre rozpočet a Výboru pre kontrolu rozpočtu v súlade s článkom 110 ods. 3 rokovacieho poriadku,</w:t>
      </w:r>
    </w:p>
    <w:p w:rsidR="00536222" w:rsidRDefault="00082F3C">
      <w:pPr>
        <w:pStyle w:val="NormalHanging12a"/>
      </w:pPr>
      <w:r>
        <w:t>–</w:t>
      </w:r>
      <w:r>
        <w:tab/>
        <w:t>so zreteľom na predbežnú dohodu schválenú gestorským výborom podľa článku 74 ods. 4 rokovacieho poriadku, a na záväzok zástupcu</w:t>
      </w:r>
      <w:r>
        <w:t xml:space="preserve"> Rady, vyjadrený v liste z 20. decembra 2023, schváliť pozíciu Európskeho parlamentu v súlade s článkom 294 </w:t>
      </w:r>
      <w:r>
        <w:lastRenderedPageBreak/>
        <w:t>ods. 4 Zmluvy o fungovaní Európskej únie,</w:t>
      </w:r>
    </w:p>
    <w:p w:rsidR="00536222" w:rsidRDefault="00082F3C">
      <w:pPr>
        <w:pStyle w:val="NormalHanging12a"/>
        <w:rPr>
          <w:szCs w:val="24"/>
        </w:rPr>
      </w:pPr>
      <w:r>
        <w:t>–</w:t>
      </w:r>
      <w:r>
        <w:tab/>
        <w:t>so zreteľom na spoločné rokovania Výboru pre rozpočet a Výboru pre kontrolu rozpočtu podľa článku 58 rok</w:t>
      </w:r>
      <w:r>
        <w:t>ovacieho poriadku,</w:t>
      </w:r>
    </w:p>
    <w:p w:rsidR="00536222" w:rsidRDefault="00082F3C">
      <w:pPr>
        <w:pStyle w:val="NormalHanging12a"/>
      </w:pPr>
      <w:r>
        <w:t>–</w:t>
      </w:r>
      <w:r>
        <w:tab/>
        <w:t>so zreteľom na články 110 a 59 rokovacieho poriadku,</w:t>
      </w:r>
    </w:p>
    <w:p w:rsidR="00536222" w:rsidRDefault="00082F3C">
      <w:pPr>
        <w:pStyle w:val="NormalHanging12a"/>
      </w:pPr>
      <w:r>
        <w:t>–</w:t>
      </w:r>
      <w:r>
        <w:tab/>
        <w:t>so zreteľom na stanovisko Výboru pre regionálny rozvoj,</w:t>
      </w:r>
    </w:p>
    <w:p w:rsidR="00536222" w:rsidRDefault="00082F3C">
      <w:pPr>
        <w:pStyle w:val="NormalHanging12a"/>
      </w:pPr>
      <w:r>
        <w:t>–</w:t>
      </w:r>
      <w:r>
        <w:tab/>
        <w:t>so zreteľom na list Výboru pre priemysel, výskum a energetiku,</w:t>
      </w:r>
    </w:p>
    <w:p w:rsidR="00536222" w:rsidRDefault="00082F3C">
      <w:pPr>
        <w:pStyle w:val="NormalHanging12a"/>
      </w:pPr>
      <w:r>
        <w:t>–</w:t>
      </w:r>
      <w:r>
        <w:tab/>
        <w:t>so zreteľom na správu Výboru pre rozpočet a Výboru pre ko</w:t>
      </w:r>
      <w:r>
        <w:t>ntrolu rozpočtu (A9-0180/2023),</w:t>
      </w:r>
    </w:p>
    <w:p w:rsidR="00536222" w:rsidRDefault="00082F3C">
      <w:pPr>
        <w:pStyle w:val="NormalHanging12a"/>
      </w:pPr>
      <w:r>
        <w:t>A.</w:t>
      </w:r>
      <w:r>
        <w:tab/>
        <w:t>keďže podľa stanoviska konzultačnej pracovnej skupiny právnych služieb Európskeho parlamentu, Rady a Komisie návrh Komisie neobsahuje žiadne zásadné zmeny okrem tých, ktoré sú ako také označené v návrhu, a keďže, pokiaľ i</w:t>
      </w:r>
      <w:r>
        <w:t>de o kodifikáciu nezmenených ustanovení skorších aktov spolu s uvedenými zmenami, predmetom návrhu je iba jasná a jednoduchá kodifikácia platných aktov bez zmeny ich podstaty;</w:t>
      </w:r>
    </w:p>
    <w:p w:rsidR="00536222" w:rsidRDefault="00082F3C">
      <w:pPr>
        <w:pStyle w:val="NormalHanging12a"/>
      </w:pPr>
      <w:r>
        <w:t>1.</w:t>
      </w:r>
      <w:r>
        <w:tab/>
        <w:t>prijíma nasledujúcu pozíciu v prvom čítaní, pričom berie do úvahy odporúčania</w:t>
      </w:r>
      <w:r>
        <w:t xml:space="preserve"> konzultačnej pracovnej skupiny právnych služieb Európskeho parlamentu, Rady a Komisie;</w:t>
      </w:r>
    </w:p>
    <w:p w:rsidR="00536222" w:rsidRDefault="00082F3C">
      <w:pPr>
        <w:pStyle w:val="NormalHanging12a"/>
      </w:pPr>
      <w:r>
        <w:t xml:space="preserve">2. </w:t>
      </w:r>
      <w:r>
        <w:tab/>
        <w:t xml:space="preserve">schvaľuje spoločné vyhlásenie Európskeho parlamentu a Rady uvedené v prílohe k tomuto uzneseniu, ktoré bude uverejnené v sérii C </w:t>
      </w:r>
      <w:r>
        <w:rPr>
          <w:i/>
        </w:rPr>
        <w:t>Úradného vestníka Európskej únie</w:t>
      </w:r>
      <w:r>
        <w:t>;</w:t>
      </w:r>
    </w:p>
    <w:p w:rsidR="00536222" w:rsidRDefault="00082F3C">
      <w:pPr>
        <w:pStyle w:val="NormalHanging12a"/>
      </w:pPr>
      <w:r>
        <w:t>3</w:t>
      </w:r>
      <w:r>
        <w:t xml:space="preserve">. </w:t>
      </w:r>
      <w:r>
        <w:tab/>
        <w:t xml:space="preserve">schvaľuje spoločné vyhlásenie Európskeho parlamentu, Rady a Komisie uvedené v prílohe k tomuto uzneseniu, ktoré bude uverejnené v sérii C </w:t>
      </w:r>
      <w:r>
        <w:rPr>
          <w:i/>
        </w:rPr>
        <w:t>Úradného vestníka Európskej únie</w:t>
      </w:r>
      <w:r>
        <w:t>;</w:t>
      </w:r>
    </w:p>
    <w:p w:rsidR="00536222" w:rsidRDefault="00082F3C">
      <w:pPr>
        <w:pStyle w:val="NormalHanging12a"/>
      </w:pPr>
      <w:r>
        <w:t xml:space="preserve">4. </w:t>
      </w:r>
      <w:r>
        <w:tab/>
        <w:t>berie na vedomie vyhlásenia Komisie uvedené v prílohe k tomuto uzneseniu;</w:t>
      </w:r>
    </w:p>
    <w:p w:rsidR="00536222" w:rsidRDefault="00082F3C">
      <w:pPr>
        <w:pStyle w:val="NormalHanging12a"/>
      </w:pPr>
      <w:r>
        <w:t>5.</w:t>
      </w:r>
      <w:r>
        <w:tab/>
      </w:r>
      <w:r>
        <w:t>žiada Komisiu, aby mu vec znovu predložila, ak nahrádza, podstatne mení alebo má v úmysle podstatne zmeniť svoj návrh;</w:t>
      </w:r>
    </w:p>
    <w:p w:rsidR="00536222" w:rsidRDefault="00082F3C">
      <w:pPr>
        <w:pStyle w:val="NormalHanging12a"/>
      </w:pPr>
      <w:r>
        <w:t>6.</w:t>
      </w:r>
      <w:r>
        <w:tab/>
        <w:t>poveruje svoju predsedníčku, aby postúpila túto pozíciu Rade, Komisii a národným parlamentom.</w:t>
      </w:r>
    </w:p>
    <w:p w:rsidR="00536222" w:rsidRDefault="00536222">
      <w:pPr>
        <w:widowControl/>
        <w:sectPr w:rsidR="00536222">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36222" w:rsidRDefault="00082F3C">
      <w:pPr>
        <w:pStyle w:val="Institutionquiagit"/>
        <w:keepNext w:val="0"/>
        <w:spacing w:before="120"/>
        <w:jc w:val="left"/>
        <w:outlineLvl w:val="0"/>
        <w:rPr>
          <w:b/>
        </w:rPr>
      </w:pPr>
      <w:r>
        <w:rPr>
          <w:b/>
        </w:rPr>
        <w:lastRenderedPageBreak/>
        <w:t>P9_TC1-COD(2022)0162</w:t>
      </w:r>
    </w:p>
    <w:p w:rsidR="00536222" w:rsidRDefault="00082F3C">
      <w:pPr>
        <w:widowControl/>
        <w:rPr>
          <w:b/>
        </w:rPr>
      </w:pPr>
      <w:r>
        <w:rPr>
          <w:b/>
        </w:rPr>
        <w:t xml:space="preserve">Pozícia Európskeho parlamentu prijatá v prvom čítaní 14. marca 2024 na účely prijatia nariadenia Európskeho parlamentu a Rady (EÚ, </w:t>
      </w:r>
      <w:proofErr w:type="spellStart"/>
      <w:r>
        <w:rPr>
          <w:b/>
        </w:rPr>
        <w:t>Euratom</w:t>
      </w:r>
      <w:proofErr w:type="spellEnd"/>
      <w:r>
        <w:rPr>
          <w:b/>
        </w:rPr>
        <w:t xml:space="preserve">) 2024/... o rozpočtových pravidlách, ktoré sa vzťahujú na všeobecný rozpočet Únie (prepracované </w:t>
      </w:r>
      <w:r>
        <w:rPr>
          <w:b/>
        </w:rPr>
        <w:t>znenie)</w:t>
      </w:r>
    </w:p>
    <w:p w:rsidR="00536222" w:rsidRDefault="00536222">
      <w:pPr>
        <w:rPr>
          <w:i/>
          <w:iCs/>
        </w:rPr>
      </w:pPr>
    </w:p>
    <w:p w:rsidR="00536222" w:rsidRDefault="00082F3C">
      <w:r>
        <w:rPr>
          <w:i/>
          <w:iCs/>
        </w:rPr>
        <w:t>(Keďže bola dosiahnutá dohoda medzi Európskym parlamentom a Radou, pozícia Európskeho parlamentu zodpovedá záverečnému legislatívnemu aktu, nariadeniu (EÚ</w:t>
      </w:r>
      <w:r w:rsidRPr="00082F3C">
        <w:rPr>
          <w:i/>
          <w:iCs/>
        </w:rPr>
        <w:t>, Euratom</w:t>
      </w:r>
      <w:bookmarkStart w:id="8" w:name="_GoBack"/>
      <w:bookmarkEnd w:id="8"/>
      <w:r>
        <w:rPr>
          <w:i/>
          <w:iCs/>
        </w:rPr>
        <w:t>) 2024/2509.)</w:t>
      </w:r>
    </w:p>
    <w:p w:rsidR="00536222" w:rsidRDefault="00536222"/>
    <w:p w:rsidR="00536222" w:rsidRDefault="00082F3C">
      <w:pPr>
        <w:widowControl/>
        <w:rPr>
          <w:b/>
        </w:rPr>
      </w:pPr>
      <w:r>
        <w:rPr>
          <w:b/>
        </w:rPr>
        <w:br w:type="page"/>
      </w:r>
    </w:p>
    <w:p w:rsidR="00536222" w:rsidRDefault="00082F3C">
      <w:pPr>
        <w:widowControl/>
        <w:spacing w:after="200" w:line="276" w:lineRule="auto"/>
        <w:jc w:val="right"/>
        <w:rPr>
          <w:rFonts w:eastAsiaTheme="minorHAnsi"/>
          <w:szCs w:val="24"/>
          <w:lang w:eastAsia="en-US"/>
        </w:rPr>
      </w:pPr>
      <w:r>
        <w:rPr>
          <w:rFonts w:eastAsiaTheme="minorHAnsi"/>
          <w:szCs w:val="24"/>
          <w:lang w:eastAsia="en-US"/>
        </w:rPr>
        <w:lastRenderedPageBreak/>
        <w:t>PRÍLOHA K LEGISLATÍVNEMU UZNESENIU</w:t>
      </w:r>
    </w:p>
    <w:p w:rsidR="00536222" w:rsidRDefault="00536222">
      <w:pPr>
        <w:widowControl/>
        <w:spacing w:after="200" w:line="276" w:lineRule="auto"/>
        <w:jc w:val="right"/>
        <w:rPr>
          <w:rFonts w:eastAsiaTheme="minorHAnsi"/>
          <w:szCs w:val="24"/>
          <w:lang w:eastAsia="en-US"/>
        </w:rPr>
      </w:pPr>
    </w:p>
    <w:p w:rsidR="00536222" w:rsidRDefault="00082F3C">
      <w:pPr>
        <w:spacing w:before="120" w:after="120" w:line="360" w:lineRule="auto"/>
        <w:jc w:val="center"/>
        <w:rPr>
          <w:b/>
          <w:u w:val="single"/>
        </w:rPr>
      </w:pPr>
      <w:r>
        <w:rPr>
          <w:b/>
          <w:u w:val="single"/>
        </w:rPr>
        <w:t xml:space="preserve">Spoločné vyhlásenie o rozpočtovom zaobchádzaní s úrokmi alebo inými poplatkami splatnými zo zrušených alebo znížených pokút, iných penále alebo sankcií pri príležitosti prijatia nariadenia (EÚ, </w:t>
      </w:r>
      <w:proofErr w:type="spellStart"/>
      <w:r>
        <w:rPr>
          <w:b/>
          <w:u w:val="single"/>
        </w:rPr>
        <w:t>Euratom</w:t>
      </w:r>
      <w:proofErr w:type="spellEnd"/>
      <w:r>
        <w:rPr>
          <w:b/>
          <w:u w:val="single"/>
        </w:rPr>
        <w:t>) 2024/2509</w:t>
      </w:r>
    </w:p>
    <w:p w:rsidR="00536222" w:rsidRDefault="00082F3C">
      <w:pPr>
        <w:spacing w:before="120" w:after="120" w:line="360" w:lineRule="auto"/>
      </w:pPr>
      <w:r>
        <w:t>„Európsky parlament a Rada sa dohodli, že v</w:t>
      </w:r>
      <w:r>
        <w:t>šetky úroky alebo iné poplatky splatné zo zrušených alebo znížených pokút, iných penále alebo sankcií sa budú do skončenia súčasného viacročného rámca zapisovať ako záporné príjmy. Ide o výnimku zo zákazu záporných príjmov, ktorá je obmedzená na túto konkr</w:t>
      </w:r>
      <w:r>
        <w:t xml:space="preserve">étnu nepredvídateľnú situáciu. </w:t>
      </w:r>
    </w:p>
    <w:p w:rsidR="00536222" w:rsidRDefault="00082F3C">
      <w:pPr>
        <w:spacing w:before="120" w:after="120" w:line="360" w:lineRule="auto"/>
      </w:pPr>
      <w:r>
        <w:t>Bez toho, aby boli dotknuté príslušné výsady, sa Európsky parlament, Rada a Komisia dohodli, že na základe predchádzajúcich skúseností, ako aj očakávaných budúcich trendov preskúmajú v súlade s uplatňovaním rozpočtových zása</w:t>
      </w:r>
      <w:r>
        <w:t xml:space="preserve">d nariadenia o rozpočtových pravidlách dlhodobo udržateľné riešenie financovania takýchto úrokov alebo iných poplatkov, ktoré by sa uplatňovalo po roku 2027, a to vrátane úrokovej sadzby na sumu pokút alebo iných sankcií, ktorá sa má splatiť ako primeraná </w:t>
      </w:r>
      <w:r>
        <w:t>náhrada pre prijímajúce podniky v takýchto situáciách.“</w:t>
      </w:r>
    </w:p>
    <w:p w:rsidR="00536222" w:rsidRDefault="00536222">
      <w:pPr>
        <w:spacing w:before="120" w:after="120" w:line="360" w:lineRule="auto"/>
      </w:pPr>
    </w:p>
    <w:p w:rsidR="00536222" w:rsidRDefault="00082F3C">
      <w:pPr>
        <w:spacing w:before="120" w:after="120" w:line="360" w:lineRule="auto"/>
        <w:jc w:val="center"/>
        <w:rPr>
          <w:b/>
          <w:u w:val="single"/>
        </w:rPr>
      </w:pPr>
      <w:r>
        <w:rPr>
          <w:b/>
          <w:u w:val="single"/>
        </w:rPr>
        <w:t>Spoločné vyhlásenie Európskeho parlamentu, Rady a Komisie o jednotnom nástroji na hĺbkovú analýzu údajov a hodnotenie rizík podľa článku 36 nariadenia o rozpočtových pravidlách pri príležitosti prija</w:t>
      </w:r>
      <w:r>
        <w:rPr>
          <w:b/>
          <w:u w:val="single"/>
        </w:rPr>
        <w:t xml:space="preserve">tia nariadenia (EÚ, </w:t>
      </w:r>
      <w:proofErr w:type="spellStart"/>
      <w:r>
        <w:rPr>
          <w:b/>
          <w:u w:val="single"/>
        </w:rPr>
        <w:t>Euratom</w:t>
      </w:r>
      <w:proofErr w:type="spellEnd"/>
      <w:r>
        <w:rPr>
          <w:b/>
          <w:u w:val="single"/>
        </w:rPr>
        <w:t>) 2024/2509</w:t>
      </w:r>
      <w:r>
        <w:rPr>
          <w:b/>
          <w:u w:val="single"/>
          <w:vertAlign w:val="superscript"/>
        </w:rPr>
        <w:t>+</w:t>
      </w:r>
    </w:p>
    <w:p w:rsidR="00536222" w:rsidRDefault="00082F3C">
      <w:pPr>
        <w:spacing w:before="120" w:after="120" w:line="360" w:lineRule="auto"/>
      </w:pPr>
      <w:r>
        <w:t xml:space="preserve">„Európsky parlament, Rada a Komisia (ďalej len „tri inštitúcie“) uznávajú význam sprísnenia ochrany finančných záujmov Únie, tak ako je uznaný v </w:t>
      </w:r>
      <w:proofErr w:type="spellStart"/>
      <w:r>
        <w:t>Medziinštitucionálnej</w:t>
      </w:r>
      <w:proofErr w:type="spellEnd"/>
      <w:r>
        <w:t xml:space="preserve"> dohode zo 16. decembra 2020 a ako sa uvádza v člá</w:t>
      </w:r>
      <w:r>
        <w:t>nku 325 ZFEÚ.</w:t>
      </w:r>
    </w:p>
    <w:p w:rsidR="00536222" w:rsidRDefault="00082F3C">
      <w:pPr>
        <w:spacing w:before="120" w:after="120" w:line="360" w:lineRule="auto"/>
      </w:pPr>
      <w:r>
        <w:t>Tri inštitúcie súhlasia s tým, že treba tento nástroj ďalej rozvíjať v súlade s pravidlami bezpečnosti informačných technológií a ochrany údajov. V snahe znížiť administratívnu záťaž a vyhnúť sa neprimeraným nákladom na informačné technológie</w:t>
      </w:r>
      <w:r>
        <w:t xml:space="preserve"> pre členské štáty a ostatných používateľov sa bude počítať so schválenými systémami v členských štátoch.</w:t>
      </w:r>
    </w:p>
    <w:p w:rsidR="00536222" w:rsidRDefault="00082F3C">
      <w:pPr>
        <w:spacing w:before="120" w:after="120" w:line="360" w:lineRule="auto"/>
      </w:pPr>
      <w:r>
        <w:t>Tri inštitúcie sa zaväzujú spolupracovať na ďalšom vývoji nástroja. Komisia potvrdzuje, že bude pokračovať vo vývoji nástroja po konzultácii so svojim</w:t>
      </w:r>
      <w:r>
        <w:t xml:space="preserve">i používateľmi a členským štátom ponúkne podporu pri riešení akýchkoľvek technických otázok. Členské štáty budú spolupracovať s Komisiou, aby využili synergické účinky potrebné na </w:t>
      </w:r>
      <w:proofErr w:type="spellStart"/>
      <w:r>
        <w:t>interoperabilitu</w:t>
      </w:r>
      <w:proofErr w:type="spellEnd"/>
      <w:r>
        <w:t xml:space="preserve"> s príslušnými informačnými systémami a databázami.</w:t>
      </w:r>
    </w:p>
    <w:p w:rsidR="00536222" w:rsidRDefault="00082F3C">
      <w:pPr>
        <w:spacing w:before="120" w:after="120" w:line="360" w:lineRule="auto"/>
      </w:pPr>
      <w:r>
        <w:t>Po posúd</w:t>
      </w:r>
      <w:r>
        <w:t xml:space="preserve">ení vypracovanom Komisiou, ktorým sa určí pripravenosť nástroja na základe kritérií </w:t>
      </w:r>
      <w:r>
        <w:lastRenderedPageBreak/>
        <w:t>uvedených v článku 36 ods. 6 nariadenia o rozpočtových pravidlách, sa tri inštitúcie bez toho, aby boli dotknuté ich príslušné právomoci, zaväzujú preskúmať a opätovne prer</w:t>
      </w:r>
      <w:r>
        <w:t>okovať povinné používanie nástroja v prípade viacročného finančného rámca po roku 2027.“</w:t>
      </w:r>
    </w:p>
    <w:p w:rsidR="00536222" w:rsidRDefault="00536222">
      <w:pPr>
        <w:spacing w:before="120" w:after="120" w:line="360" w:lineRule="auto"/>
        <w:rPr>
          <w:rFonts w:eastAsia="Calibri"/>
          <w:szCs w:val="24"/>
          <w:lang w:eastAsia="en-US"/>
        </w:rPr>
      </w:pPr>
    </w:p>
    <w:p w:rsidR="00536222" w:rsidRDefault="00082F3C">
      <w:pPr>
        <w:spacing w:before="120" w:after="120" w:line="360" w:lineRule="auto"/>
        <w:jc w:val="center"/>
        <w:rPr>
          <w:b/>
          <w:u w:val="single"/>
        </w:rPr>
      </w:pPr>
      <w:r>
        <w:rPr>
          <w:b/>
          <w:u w:val="single"/>
        </w:rPr>
        <w:t xml:space="preserve">Jednostranné vyhlásenie Komisie o rozpočtových prostriedkoch, ktorých viazanosť bola zrušená pri príležitosti prijatia nariadenia (EÚ, </w:t>
      </w:r>
      <w:proofErr w:type="spellStart"/>
      <w:r>
        <w:rPr>
          <w:b/>
          <w:u w:val="single"/>
        </w:rPr>
        <w:t>Euratom</w:t>
      </w:r>
      <w:proofErr w:type="spellEnd"/>
      <w:r>
        <w:rPr>
          <w:b/>
          <w:u w:val="single"/>
        </w:rPr>
        <w:t>) 2024/2509</w:t>
      </w:r>
    </w:p>
    <w:p w:rsidR="00536222" w:rsidRDefault="00082F3C">
      <w:pPr>
        <w:spacing w:before="120" w:after="120" w:line="360" w:lineRule="auto"/>
      </w:pPr>
      <w:r>
        <w:t>„V súvislost</w:t>
      </w:r>
      <w:r>
        <w:t>i s prípravou viacročného finančného rámca na obdobie po roku 2027 Komisia preskúma otázku rozšírenia rozsahu opätovného sprístupnenia rozpočtových prostriedkov, ktorých viazanosť bola zrušená. Týmto nie je dotknutý budúci návrh Komisie týkajúci sa viacroč</w:t>
      </w:r>
      <w:r>
        <w:t>ného finančného rámca na obdobie po roku 2027 ani právo Komisie na legislatívnu iniciatívu, ako sa stanovuje v zmluvách.“</w:t>
      </w:r>
    </w:p>
    <w:p w:rsidR="00536222" w:rsidRDefault="00536222">
      <w:pPr>
        <w:spacing w:before="120" w:after="120" w:line="360" w:lineRule="auto"/>
      </w:pPr>
    </w:p>
    <w:p w:rsidR="00536222" w:rsidRDefault="00082F3C">
      <w:pPr>
        <w:spacing w:before="120" w:after="120" w:line="360" w:lineRule="auto"/>
        <w:jc w:val="center"/>
        <w:rPr>
          <w:b/>
          <w:u w:val="single"/>
        </w:rPr>
      </w:pPr>
      <w:r>
        <w:rPr>
          <w:b/>
          <w:u w:val="single"/>
        </w:rPr>
        <w:t xml:space="preserve">Jednostranné vyhlásenie Komisie o systéme včasného odhaľovania rizika a vylúčenia pri príležitosti prijatia nariadenia (EÚ, </w:t>
      </w:r>
      <w:proofErr w:type="spellStart"/>
      <w:r>
        <w:rPr>
          <w:b/>
          <w:u w:val="single"/>
        </w:rPr>
        <w:t>Euratom</w:t>
      </w:r>
      <w:proofErr w:type="spellEnd"/>
      <w:r>
        <w:rPr>
          <w:b/>
          <w:u w:val="single"/>
        </w:rPr>
        <w:t xml:space="preserve">) </w:t>
      </w:r>
      <w:r>
        <w:rPr>
          <w:b/>
          <w:u w:val="single"/>
        </w:rPr>
        <w:t>2024/2509</w:t>
      </w:r>
    </w:p>
    <w:p w:rsidR="00536222" w:rsidRDefault="00082F3C">
      <w:pPr>
        <w:spacing w:before="120" w:after="120" w:line="360" w:lineRule="auto"/>
      </w:pPr>
      <w:r>
        <w:t>„Európska komisia uznáva, že je dôležité minimalizovať administratívne zaťaženie orgánov členských štátov v súvislosti s cieleným rozšírením systému včasného odhaľovania rizika a vylúčenia (EDES) na zdieľané riadenie a priame riadenie s členskými</w:t>
      </w:r>
      <w:r>
        <w:t xml:space="preserve"> štátmi.</w:t>
      </w:r>
    </w:p>
    <w:p w:rsidR="00536222" w:rsidRDefault="00082F3C">
      <w:pPr>
        <w:spacing w:before="120" w:after="120" w:line="360" w:lineRule="auto"/>
      </w:pPr>
      <w:r>
        <w:t>Komisia je odhodlaná vypracovať podrobné usmernenia a ponúknuť členským štátom školenia o uplatňovaní systému EDES a používaní jeho databázy.</w:t>
      </w:r>
    </w:p>
    <w:p w:rsidR="00536222" w:rsidRDefault="00082F3C">
      <w:pPr>
        <w:spacing w:before="120" w:after="120" w:line="360" w:lineRule="auto"/>
      </w:pPr>
      <w:r>
        <w:t>Komisia bude databázu EDES ďalej vylepšovať, napríklad tým, že umožní vyhľadávanie viacerých subjektov a </w:t>
      </w:r>
      <w:r>
        <w:t>zlepší jej štruktúru.</w:t>
      </w:r>
    </w:p>
    <w:p w:rsidR="00536222" w:rsidRDefault="00082F3C">
      <w:pPr>
        <w:spacing w:before="120" w:after="120" w:line="360" w:lineRule="auto"/>
      </w:pPr>
      <w:r>
        <w:t xml:space="preserve">Komisia sa bude usilovať zabezpečiť </w:t>
      </w:r>
      <w:proofErr w:type="spellStart"/>
      <w:r>
        <w:t>interoperabilitu</w:t>
      </w:r>
      <w:proofErr w:type="spellEnd"/>
      <w:r>
        <w:t xml:space="preserve"> IT medzi systémom EDES a príslušnými vnútroštátnymi systémami s cieľom zefektívniť proces a umožniť rýchlejšie kontroly situácií vyžadujúcich si vylúčenie príslušných osôb alebo sub</w:t>
      </w:r>
      <w:r>
        <w:t>jektov.</w:t>
      </w:r>
    </w:p>
    <w:p w:rsidR="00536222" w:rsidRDefault="00082F3C">
      <w:pPr>
        <w:spacing w:before="120" w:after="120" w:line="360" w:lineRule="auto"/>
      </w:pPr>
      <w:r>
        <w:t>Komisia potvrdzuje, že prípadné žiadosti o dodatočné informácie na účely systému EDES nepresiahnu rámec toho, čo je nevyhnutne potrebné a primerané, a budú sa spracúvať v súlade s platnými pravidlami ochrany údajov. Je vhodné pripomenúť, že európsk</w:t>
      </w:r>
      <w:r>
        <w:t>y dozorný úradník pre ochranu údajov vo svojom stanovisku k návrhu Komisie na prepracovanie nariadenia o rozpočtových pravidlách nevyjadril v súvislosti so systémom EDES žiadne obavy.</w:t>
      </w:r>
    </w:p>
    <w:p w:rsidR="00536222" w:rsidRDefault="00082F3C">
      <w:pPr>
        <w:spacing w:before="120" w:after="120" w:line="360" w:lineRule="auto"/>
      </w:pPr>
      <w:r>
        <w:t>Komisia je odhodlaná uľahčiť plynulý prechod k uplatňovaniu systému EDES</w:t>
      </w:r>
      <w:r>
        <w:t xml:space="preserve"> a spolupracovať pri tom v plnej miere s členskými štátmi.“</w:t>
      </w:r>
    </w:p>
    <w:p w:rsidR="00536222" w:rsidRDefault="00536222">
      <w:pPr>
        <w:widowControl/>
        <w:rPr>
          <w:b/>
        </w:rPr>
      </w:pPr>
    </w:p>
    <w:sectPr w:rsidR="00536222">
      <w:footnotePr>
        <w:numRestart w:val="eachSect"/>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222" w:rsidRDefault="00082F3C">
      <w:r>
        <w:separator/>
      </w:r>
    </w:p>
  </w:endnote>
  <w:endnote w:type="continuationSeparator" w:id="0">
    <w:p w:rsidR="00536222" w:rsidRDefault="00082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222" w:rsidRDefault="00082F3C">
      <w:r>
        <w:separator/>
      </w:r>
    </w:p>
  </w:footnote>
  <w:footnote w:type="continuationSeparator" w:id="0">
    <w:p w:rsidR="00536222" w:rsidRDefault="00082F3C">
      <w:r>
        <w:continuationSeparator/>
      </w:r>
    </w:p>
  </w:footnote>
  <w:footnote w:id="1">
    <w:p w:rsidR="00536222" w:rsidRDefault="00082F3C">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446, 24.11.2022, s. 26.</w:t>
      </w:r>
    </w:p>
  </w:footnote>
  <w:footnote w:id="2">
    <w:p w:rsidR="00536222" w:rsidRDefault="00082F3C">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r>
      <w:r>
        <w:rPr>
          <w:sz w:val="24"/>
          <w:szCs w:val="24"/>
          <w:lang w:val="sk-SK"/>
        </w:rPr>
        <w:t>Ú. v. ES C 77, 28.3.2002,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EF8EC5D4">
      <w:start w:val="1"/>
      <w:numFmt w:val="bullet"/>
      <w:lvlText w:val=""/>
      <w:lvlJc w:val="left"/>
      <w:pPr>
        <w:ind w:left="360" w:hanging="360"/>
      </w:pPr>
      <w:rPr>
        <w:rFonts w:ascii="Symbol" w:hAnsi="Symbol" w:hint="default"/>
      </w:rPr>
    </w:lvl>
    <w:lvl w:ilvl="1" w:tplc="E3164C2C" w:tentative="1">
      <w:start w:val="1"/>
      <w:numFmt w:val="bullet"/>
      <w:lvlText w:val="o"/>
      <w:lvlJc w:val="left"/>
      <w:pPr>
        <w:ind w:left="1080" w:hanging="360"/>
      </w:pPr>
      <w:rPr>
        <w:rFonts w:ascii="Courier New" w:hAnsi="Courier New" w:cs="Courier New" w:hint="default"/>
      </w:rPr>
    </w:lvl>
    <w:lvl w:ilvl="2" w:tplc="8DB00500" w:tentative="1">
      <w:start w:val="1"/>
      <w:numFmt w:val="bullet"/>
      <w:lvlText w:val=""/>
      <w:lvlJc w:val="left"/>
      <w:pPr>
        <w:ind w:left="1800" w:hanging="360"/>
      </w:pPr>
      <w:rPr>
        <w:rFonts w:ascii="Wingdings" w:hAnsi="Wingdings" w:hint="default"/>
      </w:rPr>
    </w:lvl>
    <w:lvl w:ilvl="3" w:tplc="0A0A8F20" w:tentative="1">
      <w:start w:val="1"/>
      <w:numFmt w:val="bullet"/>
      <w:lvlText w:val=""/>
      <w:lvlJc w:val="left"/>
      <w:pPr>
        <w:ind w:left="2520" w:hanging="360"/>
      </w:pPr>
      <w:rPr>
        <w:rFonts w:ascii="Symbol" w:hAnsi="Symbol" w:hint="default"/>
      </w:rPr>
    </w:lvl>
    <w:lvl w:ilvl="4" w:tplc="4C607248" w:tentative="1">
      <w:start w:val="1"/>
      <w:numFmt w:val="bullet"/>
      <w:lvlText w:val="o"/>
      <w:lvlJc w:val="left"/>
      <w:pPr>
        <w:ind w:left="3240" w:hanging="360"/>
      </w:pPr>
      <w:rPr>
        <w:rFonts w:ascii="Courier New" w:hAnsi="Courier New" w:cs="Courier New" w:hint="default"/>
      </w:rPr>
    </w:lvl>
    <w:lvl w:ilvl="5" w:tplc="BB66ECE8" w:tentative="1">
      <w:start w:val="1"/>
      <w:numFmt w:val="bullet"/>
      <w:lvlText w:val=""/>
      <w:lvlJc w:val="left"/>
      <w:pPr>
        <w:ind w:left="3960" w:hanging="360"/>
      </w:pPr>
      <w:rPr>
        <w:rFonts w:ascii="Wingdings" w:hAnsi="Wingdings" w:hint="default"/>
      </w:rPr>
    </w:lvl>
    <w:lvl w:ilvl="6" w:tplc="FF309E5E" w:tentative="1">
      <w:start w:val="1"/>
      <w:numFmt w:val="bullet"/>
      <w:lvlText w:val=""/>
      <w:lvlJc w:val="left"/>
      <w:pPr>
        <w:ind w:left="4680" w:hanging="360"/>
      </w:pPr>
      <w:rPr>
        <w:rFonts w:ascii="Symbol" w:hAnsi="Symbol" w:hint="default"/>
      </w:rPr>
    </w:lvl>
    <w:lvl w:ilvl="7" w:tplc="F46A49DE" w:tentative="1">
      <w:start w:val="1"/>
      <w:numFmt w:val="bullet"/>
      <w:lvlText w:val="o"/>
      <w:lvlJc w:val="left"/>
      <w:pPr>
        <w:ind w:left="5400" w:hanging="360"/>
      </w:pPr>
      <w:rPr>
        <w:rFonts w:ascii="Courier New" w:hAnsi="Courier New" w:cs="Courier New" w:hint="default"/>
      </w:rPr>
    </w:lvl>
    <w:lvl w:ilvl="8" w:tplc="24A4EC0A"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SK"/>
    <w:docVar w:name="dvnumam" w:val="212"/>
    <w:docVar w:name="dvpe" w:val="740.802"/>
    <w:docVar w:name="dvrapporteur" w:val="Spravodajcovia: "/>
    <w:docVar w:name="dvstar" w:val="***I"/>
    <w:docVar w:name="dvtitre" w:val="Legislatívne uznesenie Európskeho parlamentu z xx. marca 2024 o návrhu nariadenia Európskeho parlamentu a Rady o rozpočtových pravidlách, ktoré sa vzťahujú na všeobecný rozpočet Únie (prepracované znenie)(COM(2022)0223 – C9-0179/2022 – 2022/0162(COD))"/>
  </w:docVars>
  <w:rsids>
    <w:rsidRoot w:val="00536222"/>
    <w:rsid w:val="00082F3C"/>
    <w:rsid w:val="0053622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24AF1A-2541-4E28-B6A3-7C49DBF5F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pPr>
      <w:keepNext/>
      <w:keepLines/>
      <w:widowControl/>
    </w:pPr>
    <w:rPr>
      <w:b/>
      <w:noProof/>
      <w:lang w:val="fr-FR" w:eastAsia="fr-FR"/>
    </w:rPr>
  </w:style>
  <w:style w:type="paragraph" w:styleId="TOC3">
    <w:name w:val="toc 3"/>
    <w:basedOn w:val="Normal"/>
    <w:next w:val="Normal"/>
    <w:autoRedefine/>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semiHidden/>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uiPriority w:val="9"/>
    <w:semiHidden/>
    <w:rPr>
      <w:rFonts w:ascii="Arial" w:hAnsi="Arial"/>
      <w:i/>
      <w:sz w:val="24"/>
      <w:lang w:val="sk-SK"/>
    </w:rPr>
  </w:style>
  <w:style w:type="character" w:customStyle="1" w:styleId="Heading9Char">
    <w:name w:val="Heading 9 Char"/>
    <w:basedOn w:val="DefaultParagraphFont"/>
    <w:link w:val="Heading9"/>
    <w:uiPriority w:val="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PageHeading">
    <w:name w:val="PageHeading"/>
    <w:basedOn w:val="Normal"/>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Pr>
      <w:b/>
      <w:sz w:val="24"/>
      <w:lang w:val="sk-SK"/>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lang w:val="sk-SK"/>
    </w:rPr>
  </w:style>
  <w:style w:type="paragraph" w:customStyle="1" w:styleId="AnnexWPTabs">
    <w:name w:val="AnnexWPTabs"/>
    <w:basedOn w:val="Normal"/>
    <w:pPr>
      <w:tabs>
        <w:tab w:val="right" w:pos="3686"/>
        <w:tab w:val="left" w:pos="3827"/>
      </w:tabs>
    </w:pPr>
    <w:rPr>
      <w:b/>
    </w:rPr>
  </w:style>
  <w:style w:type="paragraph" w:customStyle="1" w:styleId="AnnexWPDate">
    <w:name w:val="AnnexWPDate"/>
    <w:basedOn w:val="Normal"/>
    <w:pPr>
      <w:spacing w:before="240" w:after="480"/>
      <w:jc w:val="right"/>
    </w:pPr>
  </w:style>
  <w:style w:type="paragraph" w:customStyle="1" w:styleId="AnnexWPSmall">
    <w:name w:val="AnnexWPSmall"/>
    <w:basedOn w:val="Normal"/>
    <w:rPr>
      <w:smallCaps/>
      <w:sz w:val="20"/>
    </w:rPr>
  </w:style>
  <w:style w:type="paragraph" w:customStyle="1" w:styleId="AnnexWPDocType">
    <w:name w:val="AnnexWPDocType"/>
    <w:basedOn w:val="Normal"/>
    <w:pPr>
      <w:spacing w:after="240"/>
      <w:jc w:val="center"/>
    </w:pPr>
    <w:rPr>
      <w:b/>
    </w:rPr>
  </w:style>
  <w:style w:type="paragraph" w:customStyle="1" w:styleId="AnnexWPTitle">
    <w:name w:val="AnnexWPTitle"/>
    <w:basedOn w:val="Normal"/>
    <w:pPr>
      <w:spacing w:before="480"/>
    </w:pPr>
    <w:rPr>
      <w:b/>
    </w:rPr>
  </w:style>
  <w:style w:type="paragraph" w:customStyle="1" w:styleId="AmJustText">
    <w:name w:val="AmJustText"/>
    <w:basedOn w:val="Normal"/>
    <w:pPr>
      <w:spacing w:after="240"/>
    </w:pPr>
    <w:rPr>
      <w:i/>
    </w:r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Pr>
      <w:b/>
      <w:sz w:val="24"/>
      <w:lang w:val="sk-SK"/>
    </w:rPr>
  </w:style>
  <w:style w:type="paragraph" w:customStyle="1" w:styleId="NormalBold12b">
    <w:name w:val="NormalBold12b"/>
    <w:basedOn w:val="Normal"/>
    <w:link w:val="NormalBold12bChar"/>
    <w:pPr>
      <w:spacing w:before="240"/>
    </w:pPr>
    <w:rPr>
      <w:b/>
    </w:rPr>
  </w:style>
  <w:style w:type="character" w:customStyle="1" w:styleId="NormalBold12bChar">
    <w:name w:val="NormalBold12b Char"/>
    <w:basedOn w:val="AmNumberTabsChar"/>
    <w:link w:val="NormalBold12b"/>
    <w:rPr>
      <w:b/>
      <w:sz w:val="24"/>
      <w:lang w:val="sk-SK"/>
    </w:rPr>
  </w:style>
  <w:style w:type="paragraph" w:customStyle="1" w:styleId="EPBody">
    <w:name w:val="EPBody"/>
    <w:basedOn w:val="Normal"/>
    <w:pPr>
      <w:jc w:val="center"/>
    </w:pPr>
    <w:rPr>
      <w:rFonts w:ascii="Arial" w:hAnsi="Arial" w:cs="Arial"/>
      <w:i/>
      <w:sz w:val="22"/>
      <w:szCs w:val="22"/>
    </w:rPr>
  </w:style>
  <w:style w:type="paragraph" w:customStyle="1" w:styleId="AnnexWPLogo">
    <w:name w:val="AnnexWPLogo"/>
    <w:basedOn w:val="Normal"/>
    <w:pPr>
      <w:spacing w:before="120" w:after="120"/>
    </w:p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customStyle="1" w:styleId="msonormal0">
    <w:name w:val="msonormal"/>
    <w:basedOn w:val="Normal"/>
    <w:pPr>
      <w:widowControl/>
      <w:spacing w:before="100" w:beforeAutospacing="1" w:after="100" w:afterAutospacing="1"/>
    </w:pPr>
    <w:rPr>
      <w:szCs w:val="24"/>
    </w:rPr>
  </w:style>
  <w:style w:type="character" w:customStyle="1" w:styleId="Normal12Char">
    <w:name w:val="Normal12 Char"/>
    <w:link w:val="Normal12"/>
    <w:locked/>
    <w:rPr>
      <w:noProof/>
      <w:sz w:val="24"/>
    </w:rPr>
  </w:style>
  <w:style w:type="paragraph" w:customStyle="1" w:styleId="Normal12">
    <w:name w:val="Normal12"/>
    <w:basedOn w:val="Normal"/>
    <w:link w:val="Normal12Char"/>
    <w:pPr>
      <w:spacing w:after="240"/>
    </w:pPr>
    <w:rPr>
      <w:noProof/>
      <w:lang w:val="en-GB"/>
    </w:rPr>
  </w:style>
  <w:style w:type="paragraph" w:customStyle="1" w:styleId="CommitteeAM">
    <w:name w:val="CommitteeAM"/>
    <w:basedOn w:val="Normal"/>
    <w:pPr>
      <w:spacing w:before="240" w:after="600"/>
      <w:jc w:val="center"/>
    </w:pPr>
    <w:rPr>
      <w:i/>
    </w:rPr>
  </w:style>
  <w:style w:type="paragraph" w:customStyle="1" w:styleId="ZDateAM">
    <w:name w:val="ZDateAM"/>
    <w:basedOn w:val="Normal"/>
    <w:pPr>
      <w:tabs>
        <w:tab w:val="right" w:pos="9356"/>
      </w:tabs>
      <w:spacing w:after="480"/>
    </w:pPr>
    <w:rPr>
      <w:noProof/>
    </w:rPr>
  </w:style>
  <w:style w:type="paragraph" w:customStyle="1" w:styleId="ProjRap">
    <w:name w:val="ProjRap"/>
    <w:basedOn w:val="Normal"/>
    <w:pPr>
      <w:tabs>
        <w:tab w:val="right" w:pos="9356"/>
      </w:tabs>
    </w:pPr>
    <w:rPr>
      <w:b/>
      <w:noProof/>
    </w:rPr>
  </w:style>
  <w:style w:type="paragraph" w:customStyle="1" w:styleId="PELeft">
    <w:name w:val="PELeft"/>
    <w:basedOn w:val="Normal"/>
    <w:pPr>
      <w:spacing w:before="40" w:after="40"/>
    </w:pPr>
    <w:rPr>
      <w:rFonts w:ascii="Arial" w:hAnsi="Arial" w:cs="Arial"/>
      <w:sz w:val="22"/>
      <w:szCs w:val="22"/>
    </w:rPr>
  </w:style>
  <w:style w:type="paragraph" w:customStyle="1" w:styleId="PERight">
    <w:name w:val="PERight"/>
    <w:basedOn w:val="Normal"/>
    <w:next w:val="Normal"/>
    <w:pPr>
      <w:jc w:val="right"/>
    </w:pPr>
    <w:rPr>
      <w:rFonts w:ascii="Arial" w:hAnsi="Arial" w:cs="Arial"/>
      <w:sz w:val="22"/>
      <w:szCs w:val="22"/>
    </w:rPr>
  </w:style>
  <w:style w:type="character" w:customStyle="1" w:styleId="Normal6Char">
    <w:name w:val="Normal6 Char"/>
    <w:link w:val="Normal6"/>
    <w:locked/>
    <w:rPr>
      <w:sz w:val="24"/>
      <w:lang w:val="sk-SK"/>
    </w:rPr>
  </w:style>
  <w:style w:type="paragraph" w:customStyle="1" w:styleId="Normal6">
    <w:name w:val="Normal6"/>
    <w:basedOn w:val="Normal"/>
    <w:link w:val="Normal6Char"/>
    <w:pPr>
      <w:spacing w:after="120"/>
    </w:pPr>
  </w:style>
  <w:style w:type="paragraph" w:customStyle="1" w:styleId="Normal12Italic">
    <w:name w:val="Normal12Italic"/>
    <w:basedOn w:val="Normal12"/>
    <w:rPr>
      <w:i/>
    </w:rPr>
  </w:style>
  <w:style w:type="paragraph" w:customStyle="1" w:styleId="JustificationTitle">
    <w:name w:val="JustificationTitle"/>
    <w:basedOn w:val="Normal"/>
    <w:next w:val="Normal12"/>
    <w:pPr>
      <w:keepNext/>
      <w:spacing w:before="240" w:after="240"/>
      <w:jc w:val="center"/>
    </w:pPr>
    <w:rPr>
      <w:i/>
      <w:noProof/>
    </w:rPr>
  </w:style>
  <w:style w:type="paragraph" w:customStyle="1" w:styleId="Olang">
    <w:name w:val="Olang"/>
    <w:basedOn w:val="Normal"/>
    <w:pPr>
      <w:spacing w:before="240" w:after="240"/>
      <w:jc w:val="right"/>
    </w:pPr>
    <w:rPr>
      <w:noProof/>
      <w:szCs w:val="24"/>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pPr>
      <w:spacing w:before="240"/>
      <w:jc w:val="center"/>
    </w:pPr>
    <w:rPr>
      <w:i/>
    </w:rPr>
  </w:style>
  <w:style w:type="character" w:customStyle="1" w:styleId="Footer2Middle">
    <w:name w:val="Footer2Middle"/>
    <w:rPr>
      <w:rFonts w:ascii="Arial" w:hAnsi="Arial" w:cs="Arial" w:hint="default"/>
      <w:b w:val="0"/>
      <w:bCs w:val="0"/>
      <w:i/>
      <w:iCs w:val="0"/>
      <w:color w:val="C0C0C0"/>
      <w:sz w:val="22"/>
    </w:rPr>
  </w:style>
  <w:style w:type="paragraph" w:customStyle="1" w:styleId="EntPE">
    <w:name w:val="EntPE"/>
    <w:basedOn w:val="Normal12"/>
    <w:pPr>
      <w:jc w:val="center"/>
    </w:pPr>
    <w:rPr>
      <w:noProof w:val="0"/>
      <w:sz w:val="56"/>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sk-SK"/>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paragraph" w:styleId="ListParagraph">
    <w:name w:val="List Paragraph"/>
    <w:basedOn w:val="Normal"/>
    <w:uiPriority w:val="34"/>
    <w:qFormat/>
    <w:pPr>
      <w:widowControl/>
      <w:ind w:left="720"/>
      <w:contextualSpacing/>
      <w:jc w:val="both"/>
    </w:pPr>
    <w:rPr>
      <w:rFonts w:eastAsiaTheme="minorHAnsi"/>
      <w:szCs w:val="24"/>
      <w:lang w:eastAsia="en-US"/>
    </w:rPr>
  </w:style>
  <w:style w:type="paragraph" w:customStyle="1" w:styleId="PageHeadingNotTOC">
    <w:name w:val="PageHeadingNotTOC"/>
    <w:basedOn w:val="Normal"/>
    <w:pPr>
      <w:keepNext/>
      <w:spacing w:after="480"/>
      <w:jc w:val="center"/>
    </w:pPr>
    <w:rPr>
      <w:rFonts w:ascii="Arial" w:hAnsi="Arial" w:cs="Arial"/>
      <w:b/>
      <w:lang w:val="en-GB"/>
    </w:rPr>
  </w:style>
  <w:style w:type="paragraph" w:customStyle="1" w:styleId="AmHeadingPA">
    <w:name w:val="AmHeadingPA"/>
    <w:basedOn w:val="Normal"/>
    <w:next w:val="Normal"/>
    <w:pPr>
      <w:spacing w:before="480" w:after="240"/>
      <w:jc w:val="center"/>
    </w:pPr>
    <w:rPr>
      <w:rFonts w:ascii="Arial" w:hAnsi="Arial"/>
      <w:b/>
      <w:caps/>
      <w:snapToGrid w:val="0"/>
      <w:szCs w:val="24"/>
      <w:lang w:val="en-GB" w:eastAsia="en-US"/>
    </w:rPr>
  </w:style>
  <w:style w:type="character" w:customStyle="1" w:styleId="Sup">
    <w:name w:val="Sup"/>
    <w:uiPriority w:val="1"/>
    <w:qFormat/>
    <w:rPr>
      <w:vertAlign w:val="superscript"/>
    </w:rPr>
  </w:style>
  <w:style w:type="character" w:styleId="Hyperlink">
    <w:name w:val="Hyperlink"/>
    <w:basedOn w:val="DefaultParagraphFont"/>
    <w:uiPriority w:val="99"/>
    <w:rPr>
      <w:color w:val="0563C1" w:themeColor="hyperlink"/>
      <w:u w:val="single"/>
    </w:rPr>
  </w:style>
  <w:style w:type="paragraph" w:customStyle="1" w:styleId="LetterSalutation">
    <w:name w:val="LetterSalutation"/>
    <w:basedOn w:val="Normal"/>
    <w:pPr>
      <w:spacing w:before="600" w:after="360"/>
    </w:pPr>
    <w:rPr>
      <w:lang w:val="en-GB"/>
    </w:rPr>
  </w:style>
  <w:style w:type="paragraph" w:customStyle="1" w:styleId="LetterSubject">
    <w:name w:val="LetterSubject"/>
    <w:basedOn w:val="Normal"/>
    <w:pPr>
      <w:spacing w:before="480"/>
      <w:ind w:left="1134" w:hanging="1134"/>
    </w:pPr>
    <w:rPr>
      <w:lang w:val="en-GB"/>
    </w:rPr>
  </w:style>
  <w:style w:type="paragraph" w:customStyle="1" w:styleId="Normal24a">
    <w:name w:val="Normal24a"/>
    <w:basedOn w:val="Normal"/>
    <w:link w:val="Normal24aChar"/>
    <w:pPr>
      <w:spacing w:after="480"/>
    </w:pPr>
    <w:rPr>
      <w:lang w:val="en-GB"/>
    </w:rPr>
  </w:style>
  <w:style w:type="character" w:customStyle="1" w:styleId="Normal24aChar">
    <w:name w:val="Normal24a Char"/>
    <w:basedOn w:val="DefaultParagraphFont"/>
    <w:link w:val="Normal24a"/>
    <w:rPr>
      <w:sz w:val="24"/>
    </w:rPr>
  </w:style>
  <w:style w:type="paragraph" w:customStyle="1" w:styleId="CoverBold">
    <w:name w:val="CoverBold"/>
    <w:basedOn w:val="Normal"/>
    <w:pPr>
      <w:ind w:left="1417"/>
    </w:pPr>
    <w:rPr>
      <w:b/>
      <w:lang w:val="en-GB"/>
    </w:rPr>
  </w:style>
  <w:style w:type="paragraph" w:customStyle="1" w:styleId="Normal2">
    <w:name w:val="Normal2"/>
    <w:basedOn w:val="Normal"/>
    <w:qFormat/>
    <w:pPr>
      <w:spacing w:line="120" w:lineRule="auto"/>
    </w:pPr>
    <w:rPr>
      <w:sz w:val="4"/>
      <w:lang w:val="en-GB"/>
    </w:rPr>
  </w:style>
  <w:style w:type="paragraph" w:customStyle="1" w:styleId="NormalItalic6a">
    <w:name w:val="NormalItalic6a"/>
    <w:basedOn w:val="Normal6a"/>
    <w:qFormat/>
    <w:rPr>
      <w:i/>
      <w:lang w:val="en-GB"/>
    </w:rPr>
  </w:style>
  <w:style w:type="paragraph" w:customStyle="1" w:styleId="NormalBoldItalic6a">
    <w:name w:val="NormalBoldItalic6a"/>
    <w:basedOn w:val="Normal6a"/>
    <w:qFormat/>
    <w:rPr>
      <w:b/>
      <w:i/>
      <w:lang w:val="en-GB"/>
    </w:rPr>
  </w:style>
  <w:style w:type="paragraph" w:customStyle="1" w:styleId="NormalBoldItalicCenter6a">
    <w:name w:val="NormalBoldItalicCenter6a"/>
    <w:basedOn w:val="Normal6a"/>
    <w:qFormat/>
    <w:pPr>
      <w:jc w:val="center"/>
    </w:pPr>
    <w:rPr>
      <w:b/>
      <w:i/>
      <w:lang w:val="en-GB"/>
    </w:rPr>
  </w:style>
  <w:style w:type="paragraph" w:customStyle="1" w:styleId="AnnexRight">
    <w:name w:val="AnnexRight"/>
    <w:basedOn w:val="Normal"/>
    <w:pPr>
      <w:spacing w:after="480"/>
      <w:jc w:val="right"/>
    </w:pPr>
    <w:rPr>
      <w:lang w:val="en-GB"/>
    </w:rPr>
  </w:style>
  <w:style w:type="paragraph" w:customStyle="1" w:styleId="RollCallSymbols14pt">
    <w:name w:val="RollCallSymbols14pt"/>
    <w:basedOn w:val="Normal"/>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pPr>
      <w:tabs>
        <w:tab w:val="center" w:pos="284"/>
        <w:tab w:val="left" w:pos="426"/>
      </w:tabs>
    </w:pPr>
    <w:rPr>
      <w:snapToGrid w:val="0"/>
      <w:lang w:val="en-GB" w:eastAsia="en-US"/>
    </w:rPr>
  </w:style>
  <w:style w:type="paragraph" w:customStyle="1" w:styleId="RollCallVotes">
    <w:name w:val="RollCallVotes"/>
    <w:basedOn w:val="Normal"/>
    <w:pPr>
      <w:spacing w:before="120" w:after="120"/>
      <w:jc w:val="center"/>
    </w:pPr>
    <w:rPr>
      <w:b/>
      <w:bCs/>
      <w:snapToGrid w:val="0"/>
      <w:sz w:val="16"/>
      <w:lang w:val="en-GB" w:eastAsia="en-US"/>
    </w:rPr>
  </w:style>
  <w:style w:type="paragraph" w:customStyle="1" w:styleId="RollCallTable">
    <w:name w:val="RollCallTable"/>
    <w:basedOn w:val="Normal"/>
    <w:pPr>
      <w:spacing w:before="120" w:after="120"/>
    </w:pPr>
    <w:rPr>
      <w:snapToGrid w:val="0"/>
      <w:sz w:val="16"/>
      <w:lang w:val="en-GB" w:eastAsia="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lang w:val="sk-SK"/>
    </w:rPr>
  </w:style>
  <w:style w:type="paragraph" w:styleId="Title">
    <w:name w:val="Title"/>
    <w:basedOn w:val="Normal"/>
    <w:next w:val="Normal"/>
    <w:link w:val="TitleChar"/>
    <w:uiPriority w:val="10"/>
    <w:qFormat/>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Pr>
      <w:rFonts w:ascii="Arial" w:eastAsiaTheme="majorEastAsia" w:hAnsi="Arial" w:cs="Arial"/>
      <w:b/>
      <w:bCs/>
      <w:kern w:val="28"/>
      <w:sz w:val="32"/>
      <w:szCs w:val="32"/>
      <w:lang w:val="sk-SK" w:eastAsia="en-US"/>
    </w:rPr>
  </w:style>
  <w:style w:type="paragraph" w:styleId="Subtitle">
    <w:name w:val="Subtitle"/>
    <w:basedOn w:val="Normal"/>
    <w:next w:val="Normal"/>
    <w:link w:val="SubtitleChar"/>
    <w:uiPriority w:val="11"/>
    <w:qFormat/>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Pr>
      <w:rFonts w:ascii="Arial" w:eastAsiaTheme="majorEastAsia" w:hAnsi="Arial" w:cs="Arial"/>
      <w:sz w:val="24"/>
      <w:szCs w:val="24"/>
      <w:lang w:val="sk-SK" w:eastAsia="en-US"/>
    </w:rPr>
  </w:style>
  <w:style w:type="character" w:styleId="Strong">
    <w:name w:val="Strong"/>
    <w:basedOn w:val="DefaultParagraphFont"/>
    <w:uiPriority w:val="22"/>
    <w:qFormat/>
    <w:rPr>
      <w:b/>
      <w:bCs/>
    </w:rPr>
  </w:style>
  <w:style w:type="character" w:styleId="Emphasis">
    <w:name w:val="Emphasis"/>
    <w:basedOn w:val="DefaultParagraphFont"/>
    <w:qFormat/>
    <w:rPr>
      <w:rFonts w:asciiTheme="minorHAnsi" w:hAnsiTheme="minorHAnsi"/>
      <w:b/>
      <w:i/>
      <w:iCs/>
    </w:rPr>
  </w:style>
  <w:style w:type="paragraph" w:styleId="NoSpacing">
    <w:name w:val="No Spacing"/>
    <w:basedOn w:val="Normal"/>
    <w:uiPriority w:val="1"/>
    <w:qFormat/>
    <w:pPr>
      <w:widowControl/>
      <w:jc w:val="both"/>
    </w:pPr>
    <w:rPr>
      <w:rFonts w:eastAsiaTheme="minorHAnsi"/>
      <w:szCs w:val="32"/>
      <w:lang w:eastAsia="en-US"/>
    </w:rPr>
  </w:style>
  <w:style w:type="paragraph" w:styleId="Quote">
    <w:name w:val="Quote"/>
    <w:basedOn w:val="Normal"/>
    <w:next w:val="Normal"/>
    <w:link w:val="QuoteChar"/>
    <w:uiPriority w:val="29"/>
    <w:qFormat/>
    <w:pPr>
      <w:widowControl/>
      <w:jc w:val="both"/>
    </w:pPr>
    <w:rPr>
      <w:rFonts w:eastAsiaTheme="minorHAnsi"/>
      <w:i/>
      <w:szCs w:val="24"/>
      <w:lang w:eastAsia="en-US"/>
    </w:rPr>
  </w:style>
  <w:style w:type="character" w:customStyle="1" w:styleId="QuoteChar">
    <w:name w:val="Quote Char"/>
    <w:basedOn w:val="DefaultParagraphFont"/>
    <w:link w:val="Quote"/>
    <w:uiPriority w:val="29"/>
    <w:rPr>
      <w:rFonts w:eastAsiaTheme="minorHAnsi"/>
      <w:i/>
      <w:sz w:val="24"/>
      <w:szCs w:val="24"/>
      <w:lang w:val="sk-SK" w:eastAsia="en-US"/>
    </w:rPr>
  </w:style>
  <w:style w:type="paragraph" w:styleId="IntenseQuote">
    <w:name w:val="Intense Quote"/>
    <w:basedOn w:val="Normal"/>
    <w:next w:val="Normal"/>
    <w:link w:val="IntenseQuoteChar"/>
    <w:uiPriority w:val="30"/>
    <w:qFormat/>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Pr>
      <w:rFonts w:eastAsiaTheme="minorHAnsi"/>
      <w:b/>
      <w:i/>
      <w:sz w:val="24"/>
      <w:szCs w:val="22"/>
      <w:lang w:val="sk-SK" w:eastAsia="en-US"/>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customStyle="1" w:styleId="Institutionquiagit">
    <w:name w:val="Institution qui agit"/>
    <w:basedOn w:val="Normal"/>
    <w:next w:val="Normal"/>
    <w:pPr>
      <w:keepNext/>
      <w:widowControl/>
      <w:spacing w:before="600" w:after="120"/>
      <w:jc w:val="both"/>
    </w:pPr>
    <w:rPr>
      <w:rFonts w:eastAsiaTheme="minorHAnsi"/>
      <w:szCs w:val="22"/>
      <w:lang w:eastAsia="en-US"/>
    </w:rPr>
  </w:style>
  <w:style w:type="paragraph" w:customStyle="1" w:styleId="AmDocTypeTab">
    <w:name w:val="AmDocTypeTab"/>
    <w:basedOn w:val="Normal"/>
    <w:pPr>
      <w:tabs>
        <w:tab w:val="right" w:pos="9072"/>
      </w:tabs>
    </w:pPr>
    <w:rPr>
      <w:b/>
    </w:rPr>
  </w:style>
  <w:style w:type="paragraph" w:customStyle="1" w:styleId="NormalCenter12a">
    <w:name w:val="NormalCenter12a"/>
    <w:basedOn w:val="Normal"/>
    <w:pPr>
      <w:spacing w:after="240"/>
      <w:jc w:val="center"/>
    </w:pPr>
  </w:style>
  <w:style w:type="paragraph" w:customStyle="1" w:styleId="AmDateTab">
    <w:name w:val="AmDateTab"/>
    <w:basedOn w:val="Normal"/>
    <w:pPr>
      <w:tabs>
        <w:tab w:val="right" w:pos="9072"/>
      </w:tabs>
    </w:pPr>
  </w:style>
  <w:style w:type="paragraph" w:customStyle="1" w:styleId="AmHeadingConsam">
    <w:name w:val="AmHeadingConsam"/>
    <w:basedOn w:val="Normal"/>
    <w:next w:val="NormalCenter12a"/>
    <w:pPr>
      <w:spacing w:before="720" w:after="240"/>
      <w:jc w:val="center"/>
    </w:pPr>
  </w:style>
  <w:style w:type="numbering" w:customStyle="1" w:styleId="NoList1">
    <w:name w:val="No List1"/>
    <w:next w:val="NoList"/>
    <w:uiPriority w:val="99"/>
    <w:semiHidden/>
    <w:unhideWhenUsed/>
  </w:style>
  <w:style w:type="paragraph" w:customStyle="1" w:styleId="Title1">
    <w:name w:val="Title1"/>
    <w:basedOn w:val="Normal"/>
    <w:next w:val="Normal"/>
    <w:uiPriority w:val="10"/>
    <w:qFormat/>
    <w:pPr>
      <w:widowControl/>
      <w:spacing w:before="240" w:after="60"/>
      <w:jc w:val="center"/>
      <w:outlineLvl w:val="0"/>
    </w:pPr>
    <w:rPr>
      <w:rFonts w:ascii="Arial" w:hAnsi="Arial" w:cs="Arial"/>
      <w:b/>
      <w:bCs/>
      <w:kern w:val="28"/>
      <w:sz w:val="32"/>
      <w:szCs w:val="32"/>
      <w:lang w:eastAsia="en-US"/>
    </w:rPr>
  </w:style>
  <w:style w:type="paragraph" w:customStyle="1" w:styleId="Subtitle1">
    <w:name w:val="Subtitle1"/>
    <w:basedOn w:val="Normal"/>
    <w:next w:val="Normal"/>
    <w:uiPriority w:val="11"/>
    <w:qFormat/>
    <w:pPr>
      <w:widowControl/>
      <w:spacing w:after="60"/>
      <w:jc w:val="center"/>
      <w:outlineLvl w:val="1"/>
    </w:pPr>
    <w:rPr>
      <w:rFonts w:ascii="Arial" w:hAnsi="Arial" w:cs="Arial"/>
      <w:szCs w:val="24"/>
      <w:lang w:eastAsia="en-US"/>
    </w:rPr>
  </w:style>
  <w:style w:type="character" w:customStyle="1" w:styleId="Emphasis1">
    <w:name w:val="Emphasis1"/>
    <w:basedOn w:val="DefaultParagraphFont"/>
    <w:uiPriority w:val="20"/>
    <w:qFormat/>
    <w:rPr>
      <w:rFonts w:ascii="Calibri" w:hAnsi="Calibri"/>
      <w:b/>
      <w:i/>
      <w:iCs/>
    </w:rPr>
  </w:style>
  <w:style w:type="paragraph" w:customStyle="1" w:styleId="NoSpacing1">
    <w:name w:val="No Spacing1"/>
    <w:basedOn w:val="Normal"/>
    <w:next w:val="NoSpacing"/>
    <w:uiPriority w:val="1"/>
    <w:qFormat/>
    <w:pPr>
      <w:widowControl/>
      <w:jc w:val="both"/>
    </w:pPr>
    <w:rPr>
      <w:rFonts w:eastAsia="Calibri"/>
      <w:szCs w:val="32"/>
      <w:lang w:eastAsia="en-US"/>
    </w:rPr>
  </w:style>
  <w:style w:type="paragraph" w:customStyle="1" w:styleId="ListParagraph1">
    <w:name w:val="List Paragraph1"/>
    <w:basedOn w:val="Normal"/>
    <w:next w:val="ListParagraph"/>
    <w:uiPriority w:val="34"/>
    <w:qFormat/>
    <w:pPr>
      <w:widowControl/>
      <w:ind w:left="720"/>
      <w:contextualSpacing/>
      <w:jc w:val="both"/>
    </w:pPr>
    <w:rPr>
      <w:rFonts w:eastAsia="Calibri"/>
      <w:szCs w:val="24"/>
      <w:lang w:eastAsia="en-US"/>
    </w:rPr>
  </w:style>
  <w:style w:type="paragraph" w:customStyle="1" w:styleId="Quote1">
    <w:name w:val="Quote1"/>
    <w:basedOn w:val="Normal"/>
    <w:next w:val="Normal"/>
    <w:uiPriority w:val="29"/>
    <w:qFormat/>
    <w:pPr>
      <w:widowControl/>
      <w:jc w:val="both"/>
    </w:pPr>
    <w:rPr>
      <w:rFonts w:eastAsia="Calibri"/>
      <w:i/>
      <w:szCs w:val="24"/>
      <w:lang w:eastAsia="en-US"/>
    </w:rPr>
  </w:style>
  <w:style w:type="paragraph" w:customStyle="1" w:styleId="IntenseQuote1">
    <w:name w:val="Intense Quote1"/>
    <w:basedOn w:val="Normal"/>
    <w:next w:val="Normal"/>
    <w:uiPriority w:val="30"/>
    <w:qFormat/>
    <w:pPr>
      <w:widowControl/>
      <w:ind w:left="720" w:right="720"/>
      <w:jc w:val="both"/>
    </w:pPr>
    <w:rPr>
      <w:rFonts w:eastAsia="Calibri"/>
      <w:b/>
      <w:i/>
      <w:szCs w:val="22"/>
      <w:lang w:eastAsia="en-US"/>
    </w:rPr>
  </w:style>
  <w:style w:type="character" w:customStyle="1" w:styleId="SubtleEmphasis1">
    <w:name w:val="Subtle Emphasis1"/>
    <w:uiPriority w:val="19"/>
    <w:qFormat/>
    <w:rPr>
      <w:i/>
      <w:color w:val="5A5A5A"/>
    </w:rPr>
  </w:style>
  <w:style w:type="character" w:customStyle="1" w:styleId="BookTitle1">
    <w:name w:val="Book Title1"/>
    <w:basedOn w:val="DefaultParagraphFont"/>
    <w:uiPriority w:val="33"/>
    <w:qFormat/>
    <w:rPr>
      <w:rFonts w:ascii="Calibri Light" w:eastAsia="Times New Roman" w:hAnsi="Calibri Light"/>
      <w:b/>
      <w:i/>
      <w:sz w:val="24"/>
      <w:szCs w:val="24"/>
    </w:rPr>
  </w:style>
  <w:style w:type="paragraph" w:customStyle="1" w:styleId="Typedudocument">
    <w:name w:val="Type du document"/>
    <w:basedOn w:val="Normal"/>
    <w:next w:val="Normal"/>
    <w:pPr>
      <w:widowControl/>
      <w:spacing w:before="360" w:line="360" w:lineRule="auto"/>
      <w:jc w:val="center"/>
    </w:pPr>
    <w:rPr>
      <w:rFonts w:eastAsia="Calibri"/>
      <w:b/>
      <w:szCs w:val="22"/>
      <w:lang w:eastAsia="en-US"/>
    </w:rPr>
  </w:style>
  <w:style w:type="paragraph" w:customStyle="1" w:styleId="CommentText1">
    <w:name w:val="Comment Text1"/>
    <w:basedOn w:val="Normal"/>
    <w:next w:val="CommentText"/>
    <w:uiPriority w:val="99"/>
    <w:unhideWhenUsed/>
    <w:pPr>
      <w:widowControl/>
      <w:jc w:val="both"/>
    </w:pPr>
    <w:rPr>
      <w:sz w:val="20"/>
      <w:lang w:val="en-GB"/>
    </w:rPr>
  </w:style>
  <w:style w:type="paragraph" w:customStyle="1" w:styleId="CommentSubject1">
    <w:name w:val="Comment Subject1"/>
    <w:basedOn w:val="CommentText"/>
    <w:next w:val="CommentText"/>
    <w:uiPriority w:val="99"/>
    <w:semiHidden/>
    <w:unhideWhenUsed/>
    <w:pPr>
      <w:widowControl/>
      <w:jc w:val="both"/>
    </w:pPr>
    <w:rPr>
      <w:rFonts w:eastAsia="Calibri"/>
      <w:b/>
      <w:bCs/>
      <w:lang w:eastAsia="en-US"/>
    </w:rPr>
  </w:style>
  <w:style w:type="paragraph" w:customStyle="1" w:styleId="BalloonText1">
    <w:name w:val="Balloon Text1"/>
    <w:basedOn w:val="Normal"/>
    <w:next w:val="BalloonText"/>
    <w:uiPriority w:val="99"/>
    <w:semiHidden/>
    <w:unhideWhenUsed/>
    <w:pPr>
      <w:widowControl/>
      <w:jc w:val="both"/>
    </w:pPr>
    <w:rPr>
      <w:rFonts w:ascii="Segoe UI" w:hAnsi="Segoe UI" w:cs="Segoe UI"/>
      <w:sz w:val="18"/>
      <w:szCs w:val="18"/>
      <w:lang w:val="en-GB"/>
    </w:rPr>
  </w:style>
  <w:style w:type="paragraph" w:customStyle="1" w:styleId="SectionTitle">
    <w:name w:val="SectionTitle"/>
    <w:basedOn w:val="Normal"/>
    <w:next w:val="Heading1"/>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pPr>
      <w:keepNext/>
      <w:widowControl/>
      <w:spacing w:before="360" w:after="120"/>
      <w:jc w:val="center"/>
    </w:pPr>
    <w:rPr>
      <w:rFonts w:eastAsia="Calibri"/>
      <w:i/>
      <w:szCs w:val="22"/>
      <w:lang w:eastAsia="en-US"/>
    </w:rPr>
  </w:style>
  <w:style w:type="paragraph" w:customStyle="1" w:styleId="Point0">
    <w:name w:val="Point 0"/>
    <w:basedOn w:val="Normal"/>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pPr>
      <w:keepNext/>
      <w:widowControl/>
      <w:spacing w:before="120"/>
      <w:jc w:val="both"/>
    </w:pPr>
    <w:rPr>
      <w:rFonts w:eastAsia="Calibri"/>
      <w:szCs w:val="22"/>
      <w:lang w:eastAsia="en-US"/>
    </w:rPr>
  </w:style>
  <w:style w:type="paragraph" w:customStyle="1" w:styleId="Institutionquisigne">
    <w:name w:val="Institution qui signe"/>
    <w:basedOn w:val="Normal"/>
    <w:next w:val="Normal"/>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pPr>
      <w:widowControl/>
      <w:spacing w:before="120" w:after="120"/>
      <w:jc w:val="center"/>
    </w:pPr>
    <w:rPr>
      <w:rFonts w:eastAsia="Calibri"/>
      <w:szCs w:val="22"/>
      <w:lang w:eastAsia="en-US"/>
    </w:rPr>
  </w:style>
  <w:style w:type="paragraph" w:customStyle="1" w:styleId="NormalLeft">
    <w:name w:val="Normal Left"/>
    <w:basedOn w:val="Normal"/>
    <w:pPr>
      <w:widowControl/>
      <w:spacing w:before="120" w:after="120"/>
    </w:pPr>
    <w:rPr>
      <w:rFonts w:eastAsia="Calibri"/>
      <w:szCs w:val="22"/>
      <w:lang w:eastAsia="en-US"/>
    </w:rPr>
  </w:style>
  <w:style w:type="paragraph" w:customStyle="1" w:styleId="Revision1">
    <w:name w:val="Revision1"/>
    <w:next w:val="Revision"/>
    <w:hidden/>
    <w:uiPriority w:val="99"/>
    <w:semiHidden/>
    <w:rPr>
      <w:rFonts w:eastAsia="Calibri"/>
      <w:sz w:val="24"/>
      <w:szCs w:val="24"/>
      <w:lang w:val="sk-SK" w:eastAsia="en-US"/>
    </w:rPr>
  </w:style>
  <w:style w:type="paragraph" w:styleId="NormalWeb">
    <w:name w:val="Normal (Web)"/>
    <w:basedOn w:val="Normal"/>
    <w:uiPriority w:val="99"/>
    <w:unhideWhenUsed/>
    <w:pPr>
      <w:widowControl/>
      <w:spacing w:before="100" w:beforeAutospacing="1" w:after="100" w:afterAutospacing="1"/>
    </w:pPr>
    <w:rPr>
      <w:szCs w:val="24"/>
      <w:lang w:eastAsia="pl-PL"/>
    </w:rPr>
  </w:style>
  <w:style w:type="character" w:styleId="FollowedHyperlink">
    <w:name w:val="FollowedHyperlink"/>
    <w:basedOn w:val="DefaultParagraphFont"/>
    <w:uiPriority w:val="99"/>
    <w:unhideWhenUsed/>
    <w:rPr>
      <w:color w:val="954F72"/>
      <w:u w:val="single"/>
    </w:rPr>
  </w:style>
  <w:style w:type="paragraph" w:customStyle="1" w:styleId="xl65">
    <w:name w:val="xl65"/>
    <w:basedOn w:val="Normal"/>
    <w:pPr>
      <w:widowControl/>
      <w:pBdr>
        <w:left w:val="single" w:sz="4" w:space="0" w:color="auto"/>
      </w:pBdr>
      <w:spacing w:before="100" w:beforeAutospacing="1" w:after="100" w:afterAutospacing="1"/>
    </w:pPr>
    <w:rPr>
      <w:szCs w:val="24"/>
      <w:lang w:eastAsia="en-IE"/>
    </w:rPr>
  </w:style>
  <w:style w:type="paragraph" w:customStyle="1" w:styleId="xl66">
    <w:name w:val="xl66"/>
    <w:basedOn w:val="Normal"/>
    <w:pPr>
      <w:widowControl/>
      <w:pBdr>
        <w:right w:val="single" w:sz="4" w:space="0" w:color="auto"/>
      </w:pBdr>
      <w:spacing w:before="100" w:beforeAutospacing="1" w:after="100" w:afterAutospacing="1"/>
    </w:pPr>
    <w:rPr>
      <w:szCs w:val="24"/>
      <w:lang w:eastAsia="en-IE"/>
    </w:rPr>
  </w:style>
  <w:style w:type="character" w:customStyle="1" w:styleId="TitleChar1">
    <w:name w:val="Title Char1"/>
    <w:basedOn w:val="DefaultParagraphFont"/>
    <w:rPr>
      <w:rFonts w:asciiTheme="majorHAnsi" w:eastAsiaTheme="majorEastAsia" w:hAnsiTheme="majorHAnsi" w:cstheme="majorBidi"/>
      <w:spacing w:val="-10"/>
      <w:kern w:val="28"/>
      <w:sz w:val="56"/>
      <w:szCs w:val="56"/>
      <w:lang w:val="sk-SK"/>
    </w:rPr>
  </w:style>
  <w:style w:type="character" w:customStyle="1" w:styleId="SubtitleChar1">
    <w:name w:val="Subtitle Char1"/>
    <w:basedOn w:val="DefaultParagraphFont"/>
    <w:rPr>
      <w:rFonts w:asciiTheme="minorHAnsi" w:eastAsiaTheme="minorEastAsia" w:hAnsiTheme="minorHAnsi" w:cstheme="minorBidi"/>
      <w:color w:val="5A5A5A" w:themeColor="text1" w:themeTint="A5"/>
      <w:spacing w:val="15"/>
      <w:sz w:val="22"/>
      <w:szCs w:val="22"/>
      <w:lang w:val="sk-SK"/>
    </w:rPr>
  </w:style>
  <w:style w:type="character" w:customStyle="1" w:styleId="QuoteChar1">
    <w:name w:val="Quote Char1"/>
    <w:basedOn w:val="DefaultParagraphFont"/>
    <w:uiPriority w:val="29"/>
    <w:rPr>
      <w:i/>
      <w:iCs/>
      <w:color w:val="404040" w:themeColor="text1" w:themeTint="BF"/>
      <w:sz w:val="24"/>
      <w:lang w:val="sk-SK"/>
    </w:rPr>
  </w:style>
  <w:style w:type="character" w:customStyle="1" w:styleId="IntenseQuoteChar1">
    <w:name w:val="Intense Quote Char1"/>
    <w:basedOn w:val="DefaultParagraphFont"/>
    <w:uiPriority w:val="30"/>
    <w:rPr>
      <w:i/>
      <w:iCs/>
      <w:color w:val="5B9BD5" w:themeColor="accent1"/>
      <w:sz w:val="24"/>
      <w:lang w:val="sk-SK"/>
    </w:rPr>
  </w:style>
  <w:style w:type="character" w:customStyle="1" w:styleId="CommentTextChar1">
    <w:name w:val="Comment Text Char1"/>
    <w:basedOn w:val="DefaultParagraphFont"/>
    <w:rPr>
      <w:lang w:val="sk-SK"/>
    </w:rPr>
  </w:style>
  <w:style w:type="character" w:customStyle="1" w:styleId="CommentSubjectChar1">
    <w:name w:val="Comment Subject Char1"/>
    <w:basedOn w:val="CommentTextChar1"/>
    <w:rPr>
      <w:b/>
      <w:bCs/>
      <w:lang w:val="sk-SK"/>
    </w:rPr>
  </w:style>
  <w:style w:type="character" w:customStyle="1" w:styleId="BalloonTextChar1">
    <w:name w:val="Balloon Text Char1"/>
    <w:basedOn w:val="DefaultParagraphFont"/>
    <w:rPr>
      <w:rFonts w:ascii="Segoe UI" w:hAnsi="Segoe UI" w:cs="Segoe UI"/>
      <w:sz w:val="18"/>
      <w:szCs w:val="18"/>
      <w:lang w:val="sk-SK"/>
    </w:rPr>
  </w:style>
  <w:style w:type="paragraph" w:styleId="Revision">
    <w:name w:val="Revision"/>
    <w:hidden/>
    <w:uiPriority w:val="99"/>
    <w:semiHidden/>
    <w:rPr>
      <w:sz w:val="24"/>
      <w:lang w:val="sk-SK"/>
    </w:rPr>
  </w:style>
  <w:style w:type="paragraph" w:customStyle="1" w:styleId="HeadingDocType24a">
    <w:name w:val="HeadingDocType24a"/>
    <w:basedOn w:val="Normal"/>
    <w:pPr>
      <w:spacing w:after="480"/>
      <w:jc w:val="center"/>
    </w:pPr>
    <w:rPr>
      <w:rFonts w:ascii="Arial" w:hAnsi="Arial"/>
      <w:b/>
      <w:sz w:val="48"/>
    </w:rPr>
  </w:style>
  <w:style w:type="paragraph" w:customStyle="1" w:styleId="HeadingReferenceERCO">
    <w:name w:val="HeadingReferenceERCO"/>
    <w:basedOn w:val="Normal"/>
    <w:pPr>
      <w:spacing w:before="360" w:after="240"/>
      <w:jc w:val="right"/>
    </w:pPr>
    <w:rPr>
      <w:rFonts w:ascii="Arial" w:hAnsi="Arial"/>
      <w:b/>
    </w:rPr>
  </w:style>
  <w:style w:type="paragraph" w:customStyle="1" w:styleId="NormalCenter">
    <w:name w:val="NormalCenter"/>
    <w:basedOn w:val="Normal"/>
    <w:pPr>
      <w:jc w:val="center"/>
    </w:pPr>
  </w:style>
  <w:style w:type="paragraph" w:customStyle="1" w:styleId="LineSingle">
    <w:name w:val="LineSingle"/>
    <w:basedOn w:val="Normal"/>
    <w:next w:val="Normal"/>
    <w:pPr>
      <w:pBdr>
        <w:bottom w:val="single" w:sz="4" w:space="1" w:color="auto"/>
      </w:pBdr>
      <w:spacing w:after="240"/>
    </w:pPr>
  </w:style>
  <w:style w:type="paragraph" w:customStyle="1" w:styleId="HeadingDate">
    <w:name w:val="HeadingDate"/>
    <w:basedOn w:val="Normal"/>
    <w:pPr>
      <w:spacing w:before="240" w:after="240"/>
    </w:p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3528F-E866-49D1-9E48-C879A9069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1160</Words>
  <Characters>7278</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GOROPECNIK Tina</cp:lastModifiedBy>
  <cp:revision>2</cp:revision>
  <cp:lastPrinted>2004-11-19T15:42:00Z</cp:lastPrinted>
  <dcterms:created xsi:type="dcterms:W3CDTF">2025-01-13T15:13:00Z</dcterms:created>
  <dcterms:modified xsi:type="dcterms:W3CDTF">2025-01-13T15:13:00Z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P9_TA(2024)0163_</vt:lpwstr>
  </property>
  <property fmtid="{D5CDD505-2E9C-101B-9397-08002B2CF9AE}" pid="4" name="&lt;Type&gt;">
    <vt:lpwstr>RR</vt:lpwstr>
  </property>
</Properties>
</file>