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5625F" w:rsidRPr="00524C87" w:rsidTr="002A2423">
        <w:trPr>
          <w:trHeight w:hRule="exact" w:val="1418"/>
        </w:trPr>
        <w:tc>
          <w:tcPr>
            <w:tcW w:w="6804" w:type="dxa"/>
            <w:shd w:val="clear" w:color="auto" w:fill="auto"/>
            <w:vAlign w:val="center"/>
          </w:tcPr>
          <w:p w:rsidR="00E5625F" w:rsidRPr="00524C87" w:rsidRDefault="00E5625F" w:rsidP="002A2423">
            <w:pPr>
              <w:pStyle w:val="EPName"/>
            </w:pPr>
            <w:r w:rsidRPr="00524C87">
              <w:t>Evropski parlament</w:t>
            </w:r>
          </w:p>
          <w:p w:rsidR="00E5625F" w:rsidRPr="00524C87" w:rsidRDefault="00E5625F" w:rsidP="002A2423">
            <w:pPr>
              <w:pStyle w:val="EPTerm"/>
              <w:rPr>
                <w:rStyle w:val="HideTWBExt"/>
                <w:rFonts w:eastAsiaTheme="majorEastAsia"/>
                <w:vanish w:val="0"/>
              </w:rPr>
            </w:pPr>
            <w:r w:rsidRPr="00524C87">
              <w:t>2019-2024</w:t>
            </w:r>
          </w:p>
        </w:tc>
        <w:tc>
          <w:tcPr>
            <w:tcW w:w="2268" w:type="dxa"/>
            <w:shd w:val="clear" w:color="auto" w:fill="auto"/>
          </w:tcPr>
          <w:p w:rsidR="00E5625F" w:rsidRPr="00524C87" w:rsidRDefault="00E5625F" w:rsidP="002A2423">
            <w:pPr>
              <w:pStyle w:val="EPLogo"/>
            </w:pPr>
            <w:r w:rsidRPr="00524C87">
              <w:rPr>
                <w:noProof/>
                <w:lang w:val="en-GB"/>
              </w:rPr>
              <w:drawing>
                <wp:inline distT="0" distB="0" distL="0" distR="0" wp14:anchorId="27EBE71A" wp14:editId="200DA1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5625F" w:rsidRPr="00524C87" w:rsidRDefault="00E5625F" w:rsidP="00E5625F">
      <w:pPr>
        <w:pStyle w:val="LineTop"/>
      </w:pPr>
    </w:p>
    <w:p w:rsidR="00E5625F" w:rsidRPr="00524C87" w:rsidRDefault="00E5625F" w:rsidP="00E5625F">
      <w:pPr>
        <w:pStyle w:val="EPBodyTA1"/>
      </w:pPr>
      <w:r w:rsidRPr="00524C87">
        <w:t>SPREJETA BESEDILA</w:t>
      </w:r>
    </w:p>
    <w:p w:rsidR="00E5625F" w:rsidRPr="00524C87" w:rsidRDefault="00E5625F" w:rsidP="00E5625F">
      <w:pPr>
        <w:pStyle w:val="LineBottom"/>
      </w:pPr>
    </w:p>
    <w:p w:rsidR="00E5625F" w:rsidRPr="00524C87" w:rsidRDefault="00E5625F" w:rsidP="00E5625F">
      <w:pPr>
        <w:pStyle w:val="ATHeading1"/>
      </w:pPr>
      <w:bookmarkStart w:id="0" w:name="TANumber"/>
      <w:r w:rsidRPr="00524C87">
        <w:t>P9_TA(2024)0163</w:t>
      </w:r>
      <w:bookmarkEnd w:id="0"/>
    </w:p>
    <w:p w:rsidR="00E5625F" w:rsidRPr="00524C87" w:rsidRDefault="00E5625F" w:rsidP="00E5625F">
      <w:pPr>
        <w:pStyle w:val="ATHeading2"/>
      </w:pPr>
      <w:r w:rsidRPr="00524C87">
        <w:t>Finančna pravila, ki se uporabljajo za splošni proračun Unije (prenovitev)</w:t>
      </w:r>
    </w:p>
    <w:p w:rsidR="00E5625F" w:rsidRPr="00524C87" w:rsidRDefault="00E5625F" w:rsidP="00E5625F">
      <w:pPr>
        <w:jc w:val="left"/>
        <w:rPr>
          <w:i/>
          <w:vanish/>
        </w:rPr>
      </w:pPr>
      <w:r w:rsidRPr="00524C87">
        <w:rPr>
          <w:i/>
        </w:rPr>
        <w:fldChar w:fldCharType="begin"/>
      </w:r>
      <w:r w:rsidRPr="00524C87">
        <w:rPr>
          <w:i/>
        </w:rPr>
        <w:instrText xml:space="preserve"> TC"(</w:instrText>
      </w:r>
      <w:bookmarkStart w:id="1" w:name="DocNumber"/>
      <w:r w:rsidRPr="00524C87">
        <w:rPr>
          <w:i/>
        </w:rPr>
        <w:instrText>A9-0180/2023</w:instrText>
      </w:r>
      <w:bookmarkEnd w:id="1"/>
      <w:r w:rsidRPr="00524C87">
        <w:rPr>
          <w:i/>
        </w:rPr>
        <w:instrText xml:space="preserve"> - Poročevalca: Nils Ušakovs, Monika Hohlmeier)"\l3 \n&gt; \* MERGEFORMAT </w:instrText>
      </w:r>
      <w:r w:rsidRPr="00524C87">
        <w:rPr>
          <w:i/>
        </w:rPr>
        <w:fldChar w:fldCharType="end"/>
      </w:r>
    </w:p>
    <w:p w:rsidR="00E5625F" w:rsidRPr="00524C87" w:rsidRDefault="00E5625F" w:rsidP="00E5625F">
      <w:pPr>
        <w:rPr>
          <w:vanish/>
        </w:rPr>
      </w:pPr>
      <w:bookmarkStart w:id="2" w:name="Commission"/>
      <w:r w:rsidRPr="00524C87">
        <w:rPr>
          <w:vanish/>
        </w:rPr>
        <w:t>Odbor za proračun</w:t>
      </w:r>
      <w:bookmarkEnd w:id="2"/>
      <w:r w:rsidRPr="00524C87">
        <w:rPr>
          <w:vanish/>
        </w:rPr>
        <w:t xml:space="preserve"> in Odbor za proračunski nadzor</w:t>
      </w:r>
    </w:p>
    <w:p w:rsidR="00E5625F" w:rsidRPr="00524C87" w:rsidRDefault="00E5625F" w:rsidP="00E5625F">
      <w:pPr>
        <w:rPr>
          <w:vanish/>
        </w:rPr>
      </w:pPr>
      <w:bookmarkStart w:id="3" w:name="PE"/>
      <w:r w:rsidRPr="00524C87">
        <w:rPr>
          <w:vanish/>
        </w:rPr>
        <w:t>PE740.802</w:t>
      </w:r>
      <w:bookmarkEnd w:id="3"/>
    </w:p>
    <w:p w:rsidR="00E5625F" w:rsidRPr="00524C87" w:rsidRDefault="00E5625F" w:rsidP="00E5625F">
      <w:pPr>
        <w:pStyle w:val="ATHeading3"/>
      </w:pPr>
      <w:bookmarkStart w:id="4" w:name="Sujet"/>
      <w:r w:rsidRPr="00524C87">
        <w:t>Zakonodajna resolucija Evropskega parlamenta z dne 14. marca 2024 o predlogu uredbe Evropskega parlamenta in Sveta o finančnih pravilih, ki se uporabljajo za splošni proračun Unije (prenovitev)</w:t>
      </w:r>
      <w:bookmarkEnd w:id="4"/>
      <w:r w:rsidRPr="00524C87">
        <w:t xml:space="preserve"> </w:t>
      </w:r>
      <w:bookmarkStart w:id="5" w:name="References"/>
      <w:r w:rsidRPr="00524C87">
        <w:t>(COM(2022)0223 – C9-0179/2022 – 2022/0162(COD))</w:t>
      </w:r>
      <w:bookmarkEnd w:id="5"/>
    </w:p>
    <w:p w:rsidR="00E5625F" w:rsidRPr="00524C87" w:rsidRDefault="00E5625F" w:rsidP="00E5625F">
      <w:pPr>
        <w:pStyle w:val="NormalBold"/>
      </w:pPr>
      <w:bookmarkStart w:id="6" w:name="TextBodyBegin"/>
      <w:bookmarkEnd w:id="6"/>
      <w:r w:rsidRPr="00524C87">
        <w:t>(Redni zakonodajni postopek – prenovitev)</w:t>
      </w:r>
    </w:p>
    <w:p w:rsidR="00E5625F" w:rsidRPr="00524C87" w:rsidRDefault="00E5625F" w:rsidP="00E5625F">
      <w:pPr>
        <w:pStyle w:val="EPComma"/>
      </w:pPr>
      <w:r w:rsidRPr="00524C87">
        <w:rPr>
          <w:i/>
        </w:rPr>
        <w:t>Evropski parlament</w:t>
      </w:r>
      <w:r w:rsidRPr="00524C87">
        <w:t>,</w:t>
      </w:r>
    </w:p>
    <w:p w:rsidR="00E5625F" w:rsidRPr="00524C87" w:rsidRDefault="00E5625F" w:rsidP="00E5625F">
      <w:pPr>
        <w:pStyle w:val="NormalHanging12a"/>
      </w:pPr>
      <w:r w:rsidRPr="00524C87">
        <w:t>–</w:t>
      </w:r>
      <w:r w:rsidRPr="00524C87">
        <w:tab/>
        <w:t>ob upoštevanju predloga Komisije Evropskemu parlamentu in Svetu (COM(2022)0223),</w:t>
      </w:r>
    </w:p>
    <w:p w:rsidR="00E5625F" w:rsidRPr="00524C87" w:rsidRDefault="00E5625F" w:rsidP="00E5625F">
      <w:pPr>
        <w:pStyle w:val="NormalHanging12a"/>
      </w:pPr>
      <w:r w:rsidRPr="00524C87">
        <w:t>–</w:t>
      </w:r>
      <w:r w:rsidRPr="00524C87">
        <w:tab/>
        <w:t>ob upoštevanju členov 294(2) in 322(1) Pogodbe o delovanju Evropske unije ter člena 106a Pogodbe o ustanovitvi Evropske skupnosti za atomsko energijo, na podlagi katerih je Komisija podala predlog Parlamentu (C9</w:t>
      </w:r>
      <w:r w:rsidRPr="00524C87">
        <w:noBreakHyphen/>
        <w:t>0179/2022),</w:t>
      </w:r>
    </w:p>
    <w:p w:rsidR="00E5625F" w:rsidRPr="00524C87" w:rsidRDefault="00E5625F" w:rsidP="00E5625F">
      <w:pPr>
        <w:pStyle w:val="NormalHanging12a"/>
      </w:pPr>
      <w:r w:rsidRPr="00524C87">
        <w:t>–</w:t>
      </w:r>
      <w:r w:rsidRPr="00524C87">
        <w:tab/>
        <w:t>ob upoštevanju člena 294(3) Pogodbe o delovanju Evropske unije,</w:t>
      </w:r>
    </w:p>
    <w:p w:rsidR="00E5625F" w:rsidRPr="00524C87" w:rsidRDefault="00E5625F" w:rsidP="00E5625F">
      <w:pPr>
        <w:pStyle w:val="NormalHanging12a"/>
      </w:pPr>
      <w:r w:rsidRPr="00524C87">
        <w:t>–</w:t>
      </w:r>
      <w:r w:rsidRPr="00524C87">
        <w:tab/>
        <w:t>ob upoštevanju mnenja Računskega sodišča z dne 31. oktobra 2022</w:t>
      </w:r>
      <w:r w:rsidRPr="00524C87">
        <w:rPr>
          <w:rStyle w:val="FootnoteReference"/>
          <w:rFonts w:eastAsiaTheme="majorEastAsia"/>
        </w:rPr>
        <w:footnoteReference w:id="1"/>
      </w:r>
      <w:r w:rsidRPr="00524C87">
        <w:t>,</w:t>
      </w:r>
    </w:p>
    <w:p w:rsidR="00E5625F" w:rsidRPr="00524C87" w:rsidRDefault="00E5625F" w:rsidP="00E5625F">
      <w:pPr>
        <w:pStyle w:val="NormalHanging12a"/>
      </w:pPr>
      <w:r w:rsidRPr="00524C87">
        <w:t>–</w:t>
      </w:r>
      <w:r w:rsidRPr="00524C87">
        <w:tab/>
        <w:t>ob upoštevanju Medinstitucionalnega sporazuma z dne 28. novembra 2001 o bolj sistematičnem ponovnem sprejemu pravnih aktov</w:t>
      </w:r>
      <w:r w:rsidRPr="00524C87">
        <w:rPr>
          <w:rStyle w:val="FootnoteReference"/>
          <w:rFonts w:eastAsiaTheme="majorEastAsia"/>
        </w:rPr>
        <w:footnoteReference w:id="2"/>
      </w:r>
      <w:r w:rsidRPr="00524C87">
        <w:t>,</w:t>
      </w:r>
    </w:p>
    <w:p w:rsidR="00E5625F" w:rsidRPr="00524C87" w:rsidRDefault="00E5625F" w:rsidP="00E5625F">
      <w:pPr>
        <w:pStyle w:val="NormalHanging12a"/>
      </w:pPr>
      <w:r w:rsidRPr="00524C87">
        <w:t>–</w:t>
      </w:r>
      <w:r w:rsidRPr="00524C87">
        <w:tab/>
        <w:t>ob upoštevanju pisma Odbora za pravne zadeve z dne 25. aprila 2023, naslovljenega na Odbor za proračun in Odbor za proračunski nadzor v skladu s členom 110(3) Poslovnika,</w:t>
      </w:r>
    </w:p>
    <w:p w:rsidR="00E5625F" w:rsidRPr="00524C87" w:rsidRDefault="00E5625F" w:rsidP="00E5625F">
      <w:pPr>
        <w:pStyle w:val="NormalHanging12a"/>
      </w:pPr>
      <w:r w:rsidRPr="00524C87">
        <w:t>–</w:t>
      </w:r>
      <w:r w:rsidRPr="00524C87">
        <w:tab/>
        <w:t>ob upoštevanju začasnega dogovora, ki ga je odobril pristojni odbor na podlagi člena 74(4) Poslovnika, in zaveze predstavnika Sveta v pismu z dne 20. decembra 2023, da bo odobril stališče Evropskega parlamenta v skladu s členom 294(4) Pogodbe o delovanju Evropske unije,</w:t>
      </w:r>
    </w:p>
    <w:p w:rsidR="00E5625F" w:rsidRPr="00524C87" w:rsidRDefault="00E5625F" w:rsidP="00E5625F">
      <w:pPr>
        <w:pStyle w:val="NormalHanging12a"/>
      </w:pPr>
      <w:r w:rsidRPr="00524C87">
        <w:lastRenderedPageBreak/>
        <w:t>–</w:t>
      </w:r>
      <w:r w:rsidRPr="00524C87">
        <w:tab/>
        <w:t>ob upoštevanju skupnih razprav Odbora za proračun in Odbora za proračunski nadzor v skladu s členom 58 Poslovnika,</w:t>
      </w:r>
    </w:p>
    <w:p w:rsidR="00E5625F" w:rsidRPr="00524C87" w:rsidRDefault="00E5625F" w:rsidP="00E5625F">
      <w:pPr>
        <w:pStyle w:val="NormalHanging12a"/>
      </w:pPr>
      <w:r w:rsidRPr="00524C87">
        <w:t>–</w:t>
      </w:r>
      <w:r w:rsidRPr="00524C87">
        <w:tab/>
        <w:t>ob upoštevanju členov 110 in 59 Poslovnika,</w:t>
      </w:r>
    </w:p>
    <w:p w:rsidR="00E5625F" w:rsidRPr="00524C87" w:rsidRDefault="00E5625F" w:rsidP="00E5625F">
      <w:pPr>
        <w:pStyle w:val="NormalHanging12a"/>
      </w:pPr>
      <w:r w:rsidRPr="00524C87">
        <w:t>–</w:t>
      </w:r>
      <w:r w:rsidRPr="00524C87">
        <w:tab/>
        <w:t>ob upoštevanju mnenja Odbora za regionalni razvoj,</w:t>
      </w:r>
    </w:p>
    <w:p w:rsidR="00E5625F" w:rsidRPr="00524C87" w:rsidRDefault="00E5625F" w:rsidP="00E5625F">
      <w:pPr>
        <w:pStyle w:val="NormalHanging12a"/>
      </w:pPr>
      <w:r w:rsidRPr="00524C87">
        <w:t>–</w:t>
      </w:r>
      <w:r w:rsidRPr="00524C87">
        <w:tab/>
        <w:t>ob upoštevanju pisma Odbora za industrijo, raziskave in energetiko,</w:t>
      </w:r>
    </w:p>
    <w:p w:rsidR="00E5625F" w:rsidRPr="00524C87" w:rsidRDefault="00E5625F" w:rsidP="00E5625F">
      <w:pPr>
        <w:pStyle w:val="NormalHanging12a"/>
      </w:pPr>
      <w:r w:rsidRPr="00524C87">
        <w:t>–</w:t>
      </w:r>
      <w:r w:rsidRPr="00524C87">
        <w:tab/>
        <w:t>ob upoštevanju poročila Odbora za proračun in Odbora za proračunski nadzor (A9</w:t>
      </w:r>
      <w:r w:rsidRPr="00524C87">
        <w:noBreakHyphen/>
        <w:t>0180/2023),</w:t>
      </w:r>
    </w:p>
    <w:p w:rsidR="00E5625F" w:rsidRPr="00524C87" w:rsidRDefault="00E5625F" w:rsidP="00E5625F">
      <w:pPr>
        <w:pStyle w:val="NormalHanging12a"/>
      </w:pPr>
      <w:r w:rsidRPr="00524C87">
        <w:t>A.</w:t>
      </w:r>
      <w:r w:rsidRPr="00524C87">
        <w:tab/>
        <w:t>ker po mnenju posvetovalne skupine pravnih služb Evropskega parlamenta, Sveta in Komisije predlog ne predvideva bistvenih sprememb, razen tistih, ki so v njem opredeljene kot take, in ker je ta predlog, kar zadeva kodifikacijo nespremenjenih določb prejšnjih obstoječih besedil skupaj z njihovimi spremembami, zgolj kodifikacija obstoječih besedil brez vsebinskih sprememb;</w:t>
      </w:r>
    </w:p>
    <w:p w:rsidR="00E5625F" w:rsidRPr="00524C87" w:rsidRDefault="00E5625F" w:rsidP="00E5625F">
      <w:pPr>
        <w:pStyle w:val="NormalHanging12a"/>
      </w:pPr>
      <w:r w:rsidRPr="00524C87">
        <w:t>1.</w:t>
      </w:r>
      <w:r w:rsidRPr="00524C87">
        <w:tab/>
        <w:t>sprejme stališče v prvi obravnavi, kakor je določeno v nadaljevanju in kakor je bilo prilagojeno v skladu s predlogi posvetovalne skupine pravnih služb Evropskega parlamenta, Sveta in Komisije;</w:t>
      </w:r>
    </w:p>
    <w:p w:rsidR="00E5625F" w:rsidRPr="00524C87" w:rsidRDefault="00E5625F" w:rsidP="00E5625F">
      <w:pPr>
        <w:pStyle w:val="NormalHanging12a"/>
      </w:pPr>
      <w:r w:rsidRPr="00524C87">
        <w:t>2.</w:t>
      </w:r>
      <w:r w:rsidRPr="00524C87">
        <w:tab/>
        <w:t>odobri skupno izjavo Evropskega parlamenta in Sveta, priloženo tej resoluciji, ki bo objavljena v seriji C U</w:t>
      </w:r>
      <w:r w:rsidRPr="00524C87">
        <w:rPr>
          <w:i/>
          <w:iCs/>
        </w:rPr>
        <w:t>radnega lista Evropske unije</w:t>
      </w:r>
      <w:r w:rsidRPr="00524C87">
        <w:t>;</w:t>
      </w:r>
    </w:p>
    <w:p w:rsidR="00E5625F" w:rsidRPr="00524C87" w:rsidRDefault="00E5625F" w:rsidP="00E5625F">
      <w:pPr>
        <w:pStyle w:val="NormalHanging12a"/>
      </w:pPr>
      <w:r w:rsidRPr="00524C87">
        <w:t>3.</w:t>
      </w:r>
      <w:r w:rsidRPr="00524C87">
        <w:tab/>
        <w:t xml:space="preserve">odobri skupno izjavo Evropskega parlamenta, Sveta in Komisije, priloženo tej resoluciji, ki bo objavljena v seriji C </w:t>
      </w:r>
      <w:r w:rsidRPr="00524C87">
        <w:rPr>
          <w:i/>
          <w:iCs/>
        </w:rPr>
        <w:t>Uradnega lista Evropske unije</w:t>
      </w:r>
      <w:r w:rsidRPr="00524C87">
        <w:t>;</w:t>
      </w:r>
    </w:p>
    <w:p w:rsidR="00E5625F" w:rsidRPr="00524C87" w:rsidRDefault="00E5625F" w:rsidP="00E5625F">
      <w:pPr>
        <w:pStyle w:val="NormalHanging12a"/>
      </w:pPr>
      <w:r w:rsidRPr="00524C87">
        <w:t>4.</w:t>
      </w:r>
      <w:r w:rsidRPr="00524C87">
        <w:tab/>
        <w:t>se seznanja z izjavama Komisije, priloženima tej resoluciji;</w:t>
      </w:r>
    </w:p>
    <w:p w:rsidR="00E5625F" w:rsidRPr="00524C87" w:rsidRDefault="00E5625F" w:rsidP="00E5625F">
      <w:pPr>
        <w:pStyle w:val="NormalHanging12a"/>
      </w:pPr>
      <w:r w:rsidRPr="00524C87">
        <w:t>5.</w:t>
      </w:r>
      <w:r w:rsidRPr="00524C87">
        <w:tab/>
        <w:t>poziva Komisijo, naj mu zadevo ponovno predloži, če svoj predlog nadomesti, ga bistveno spremeni ali ga namerava bistveno spremeniti;</w:t>
      </w:r>
    </w:p>
    <w:p w:rsidR="00E5625F" w:rsidRPr="00524C87" w:rsidRDefault="00E5625F" w:rsidP="00E5625F">
      <w:pPr>
        <w:pStyle w:val="NormalHanging12a"/>
      </w:pPr>
      <w:r w:rsidRPr="00524C87">
        <w:t>6.</w:t>
      </w:r>
      <w:r w:rsidRPr="00524C87">
        <w:tab/>
        <w:t>naroči svoji predsednici, naj stališče Parlamenta posreduje Svetu, Komisiji in nacionalnim parlamentom.</w:t>
      </w:r>
    </w:p>
    <w:p w:rsidR="00196DF5" w:rsidRDefault="00196DF5" w:rsidP="002144C6">
      <w:pPr>
        <w:spacing w:after="240"/>
        <w:rPr>
          <w:b/>
        </w:rPr>
        <w:sectPr w:rsidR="00196DF5" w:rsidSect="00C35B71">
          <w:headerReference w:type="even" r:id="rId8"/>
          <w:footerReference w:type="even" r:id="rId9"/>
          <w:footnotePr>
            <w:numRestart w:val="eachSect"/>
          </w:footnotePr>
          <w:endnotePr>
            <w:numFmt w:val="decimal"/>
          </w:endnotePr>
          <w:pgSz w:w="11906" w:h="16838" w:code="9"/>
          <w:pgMar w:top="1134" w:right="1418" w:bottom="1418" w:left="1418" w:header="1134" w:footer="567" w:gutter="0"/>
          <w:cols w:space="720"/>
          <w:noEndnote/>
          <w:titlePg/>
        </w:sectPr>
      </w:pPr>
    </w:p>
    <w:p w:rsidR="002144C6" w:rsidRPr="00524C87" w:rsidRDefault="002144C6" w:rsidP="002144C6">
      <w:pPr>
        <w:spacing w:after="240"/>
        <w:rPr>
          <w:b/>
        </w:rPr>
      </w:pPr>
      <w:r w:rsidRPr="00524C87">
        <w:rPr>
          <w:b/>
        </w:rPr>
        <w:lastRenderedPageBreak/>
        <w:t>P9_TC1-COD(2022)0162</w:t>
      </w:r>
    </w:p>
    <w:p w:rsidR="002144C6" w:rsidRPr="00A54082" w:rsidRDefault="002144C6" w:rsidP="002144C6">
      <w:pPr>
        <w:spacing w:after="200"/>
        <w:rPr>
          <w:b/>
          <w:i/>
          <w:iCs/>
          <w:szCs w:val="22"/>
        </w:rPr>
      </w:pPr>
      <w:r w:rsidRPr="00524C87">
        <w:rPr>
          <w:b/>
        </w:rPr>
        <w:t>Stališče Evropskega parlamenta, sprejeto v prvi obravnavi 14. marca 2024 z namenom sprejetja Uredbe (EU</w:t>
      </w:r>
      <w:r w:rsidR="00B552BD" w:rsidRPr="00B552BD">
        <w:rPr>
          <w:b/>
        </w:rPr>
        <w:t xml:space="preserve">, </w:t>
      </w:r>
      <w:proofErr w:type="spellStart"/>
      <w:r w:rsidR="00B552BD" w:rsidRPr="00B552BD">
        <w:rPr>
          <w:b/>
        </w:rPr>
        <w:t>Euratom</w:t>
      </w:r>
      <w:proofErr w:type="spellEnd"/>
      <w:r w:rsidRPr="00524C87">
        <w:rPr>
          <w:b/>
        </w:rPr>
        <w:t xml:space="preserve">) 2024/... Evropskega parlamenta in Sveta </w:t>
      </w:r>
      <w:r w:rsidRPr="00E5625F">
        <w:rPr>
          <w:rFonts w:eastAsia="Times New Roman"/>
          <w:b/>
          <w:color w:val="000000"/>
          <w:szCs w:val="20"/>
          <w:lang w:eastAsia="en-GB"/>
        </w:rPr>
        <w:t>o finančnih pravilih, ki se uporabljajo za splošni proračun Unije</w:t>
      </w:r>
      <w:r>
        <w:rPr>
          <w:b/>
        </w:rPr>
        <w:t xml:space="preserve"> </w:t>
      </w:r>
      <w:r w:rsidRPr="00524C87">
        <w:rPr>
          <w:b/>
        </w:rPr>
        <w:t>(prenovitev)</w:t>
      </w:r>
    </w:p>
    <w:p w:rsidR="004D2DB7" w:rsidRPr="004D2DB7" w:rsidRDefault="004D2DB7" w:rsidP="004D2DB7">
      <w:pPr>
        <w:widowControl w:val="0"/>
        <w:spacing w:before="120" w:after="120"/>
        <w:jc w:val="left"/>
        <w:rPr>
          <w:rFonts w:eastAsia="Times New Roman"/>
          <w:i/>
          <w:szCs w:val="20"/>
          <w:lang w:eastAsia="en-GB"/>
        </w:rPr>
      </w:pPr>
      <w:r w:rsidRPr="004D2DB7">
        <w:rPr>
          <w:rFonts w:eastAsia="Times New Roman"/>
          <w:i/>
          <w:szCs w:val="20"/>
          <w:lang w:eastAsia="en-GB"/>
        </w:rPr>
        <w:t>(Ker je bil dosežen sporazum med Parlamentom in Svetom, je stališče Parlamenta enako končnemu zakonodajnemu aktu, Uredbi (EU</w:t>
      </w:r>
      <w:r>
        <w:rPr>
          <w:rFonts w:eastAsia="Times New Roman"/>
          <w:i/>
          <w:szCs w:val="20"/>
          <w:lang w:eastAsia="en-GB"/>
        </w:rPr>
        <w:t xml:space="preserve">, </w:t>
      </w:r>
      <w:proofErr w:type="spellStart"/>
      <w:r>
        <w:rPr>
          <w:rFonts w:eastAsia="Times New Roman"/>
          <w:i/>
          <w:szCs w:val="20"/>
          <w:lang w:eastAsia="en-GB"/>
        </w:rPr>
        <w:t>Euratom</w:t>
      </w:r>
      <w:proofErr w:type="spellEnd"/>
      <w:r w:rsidRPr="004D2DB7">
        <w:rPr>
          <w:rFonts w:eastAsia="Times New Roman"/>
          <w:i/>
          <w:szCs w:val="20"/>
          <w:lang w:eastAsia="en-GB"/>
        </w:rPr>
        <w:t>) 2024/2</w:t>
      </w:r>
      <w:r>
        <w:rPr>
          <w:rFonts w:eastAsia="Times New Roman"/>
          <w:i/>
          <w:szCs w:val="20"/>
          <w:lang w:eastAsia="en-GB"/>
        </w:rPr>
        <w:t>509</w:t>
      </w:r>
      <w:r w:rsidRPr="004D2DB7">
        <w:rPr>
          <w:rFonts w:eastAsia="Times New Roman"/>
          <w:i/>
          <w:szCs w:val="20"/>
          <w:lang w:eastAsia="en-GB"/>
        </w:rPr>
        <w:t>.)</w:t>
      </w:r>
    </w:p>
    <w:p w:rsidR="004D2DB7" w:rsidRDefault="004D2DB7">
      <w:pPr>
        <w:jc w:val="left"/>
      </w:pPr>
      <w:r>
        <w:br w:type="page"/>
      </w:r>
    </w:p>
    <w:p w:rsidR="00196DF5" w:rsidRPr="00524C87" w:rsidRDefault="00196DF5" w:rsidP="00196DF5">
      <w:pPr>
        <w:spacing w:after="200"/>
        <w:jc w:val="right"/>
      </w:pPr>
      <w:r w:rsidRPr="00524C87">
        <w:lastRenderedPageBreak/>
        <w:t>PRILOGA K ZAKONODAJNI RESOLUCIJI</w:t>
      </w:r>
    </w:p>
    <w:p w:rsidR="00196DF5" w:rsidRPr="00524C87" w:rsidRDefault="00196DF5" w:rsidP="004D2DB7">
      <w:pPr>
        <w:spacing w:before="480" w:after="120" w:line="360" w:lineRule="auto"/>
        <w:jc w:val="center"/>
        <w:rPr>
          <w:b/>
          <w:u w:val="single"/>
        </w:rPr>
      </w:pPr>
      <w:r w:rsidRPr="00524C87">
        <w:rPr>
          <w:b/>
          <w:u w:val="single"/>
        </w:rPr>
        <w:t>Skupna izjava o proračunski obravnavi obresti ali drugih stroškov zaradi preklicanih ali znižanih glob, drugih kazni ali sankcij ob sprejetju Uredbe (EU</w:t>
      </w:r>
      <w:r w:rsidR="004D2DB7">
        <w:rPr>
          <w:b/>
          <w:u w:val="single"/>
        </w:rPr>
        <w:t xml:space="preserve">, </w:t>
      </w:r>
      <w:proofErr w:type="spellStart"/>
      <w:r w:rsidR="004D2DB7">
        <w:rPr>
          <w:b/>
          <w:u w:val="single"/>
        </w:rPr>
        <w:t>Euratom</w:t>
      </w:r>
      <w:proofErr w:type="spellEnd"/>
      <w:r w:rsidRPr="00524C87">
        <w:rPr>
          <w:b/>
          <w:u w:val="single"/>
        </w:rPr>
        <w:t>) 2024/</w:t>
      </w:r>
      <w:r w:rsidR="004D2DB7">
        <w:rPr>
          <w:b/>
          <w:u w:val="single"/>
        </w:rPr>
        <w:t>2509</w:t>
      </w:r>
    </w:p>
    <w:p w:rsidR="00196DF5" w:rsidRPr="00524C87" w:rsidRDefault="00196DF5" w:rsidP="00196DF5">
      <w:pPr>
        <w:spacing w:before="120" w:after="120" w:line="360" w:lineRule="auto"/>
      </w:pPr>
      <w:r w:rsidRPr="00524C87">
        <w:t>Evropski parlament in Svet sta se dogovorila, da se bodo vse obresti ali druge dajatve zaradi preklicanih ali znižanih glob, drugih kazni ali sankcij v sedanjem večletnem okviru beležile kot negativni prihodki. Gre za izjemo od prepovedi negativnih prihodkov, ki je omejena na to konkretno, nepredvidljivo situacijo.</w:t>
      </w:r>
    </w:p>
    <w:p w:rsidR="00196DF5" w:rsidRPr="00524C87" w:rsidRDefault="00196DF5" w:rsidP="00196DF5">
      <w:pPr>
        <w:spacing w:before="120" w:after="120" w:line="360" w:lineRule="auto"/>
      </w:pPr>
      <w:r w:rsidRPr="00524C87">
        <w:t>Evropski parlament, Svet in Komisija se brez poseganja v zadevne pristojnosti strinjajo, da bodo ob upoštevanju preteklih izkušenj in pričakovanega prihodnjega razvoja v skladu z uporabo proračunskih načel finančne uredbe preučili dolgoročno trajnostno rešitev za financiranje takih obresti ali drugih stroškov, ki se bo začela uporabljati po letu 2027, tudi ko gre za obrestno mero na znesek glob ali drugih kazni, ki jo je treba v takih primerih plačati kot ustrezno nadomestilo podjetjem.</w:t>
      </w:r>
    </w:p>
    <w:p w:rsidR="00196DF5" w:rsidRPr="00524C87" w:rsidRDefault="00196DF5" w:rsidP="004D2DB7">
      <w:pPr>
        <w:pStyle w:val="Normal12a"/>
        <w:spacing w:before="120" w:after="120" w:line="360" w:lineRule="auto"/>
        <w:jc w:val="center"/>
      </w:pPr>
      <w:r w:rsidRPr="00524C87">
        <w:rPr>
          <w:b/>
          <w:bCs/>
          <w:u w:val="single"/>
        </w:rPr>
        <w:t>Skupna izjava Evropskega parlamenta, Sveta in Komisije o enotnem orodju za podatkovno rudarjenje in oceno tveganja iz člena 36 finančne uredbe</w:t>
      </w:r>
      <w:r w:rsidRPr="00524C87">
        <w:rPr>
          <w:rFonts w:eastAsiaTheme="minorHAnsi"/>
          <w:b/>
          <w:szCs w:val="24"/>
          <w:u w:val="single"/>
          <w:lang w:eastAsia="en-US"/>
        </w:rPr>
        <w:t xml:space="preserve"> ob sprejetju Uredbe </w:t>
      </w:r>
      <w:r w:rsidR="004D2DB7" w:rsidRPr="00524C87">
        <w:rPr>
          <w:b/>
          <w:u w:val="single"/>
        </w:rPr>
        <w:t>(EU</w:t>
      </w:r>
      <w:r w:rsidR="004D2DB7">
        <w:rPr>
          <w:b/>
          <w:u w:val="single"/>
        </w:rPr>
        <w:t xml:space="preserve">, </w:t>
      </w:r>
      <w:proofErr w:type="spellStart"/>
      <w:r w:rsidR="004D2DB7">
        <w:rPr>
          <w:b/>
          <w:u w:val="single"/>
        </w:rPr>
        <w:t>Euratom</w:t>
      </w:r>
      <w:proofErr w:type="spellEnd"/>
      <w:r w:rsidR="004D2DB7" w:rsidRPr="00524C87">
        <w:rPr>
          <w:b/>
          <w:u w:val="single"/>
        </w:rPr>
        <w:t>) 2024/</w:t>
      </w:r>
      <w:r w:rsidR="004D2DB7">
        <w:rPr>
          <w:b/>
          <w:u w:val="single"/>
        </w:rPr>
        <w:t>2509</w:t>
      </w:r>
    </w:p>
    <w:p w:rsidR="00196DF5" w:rsidRPr="00524C87" w:rsidRDefault="00196DF5" w:rsidP="00196DF5">
      <w:pPr>
        <w:pStyle w:val="Normal12a"/>
        <w:spacing w:before="120" w:after="120" w:line="360" w:lineRule="auto"/>
      </w:pPr>
      <w:r w:rsidRPr="00524C87">
        <w:t>Evropski parlament, Svet in Komisija (v nadaljnjem besedilu: tri institucije) se zavedajo, kako pomembno je izboljševati zaščito finančnih interesov Unije, kot je priznano v medinstitucionalnem sporazumu z dne 16. decembra 2020 in določeno v členu 325 PDEU.</w:t>
      </w:r>
    </w:p>
    <w:p w:rsidR="00196DF5" w:rsidRPr="00524C87" w:rsidRDefault="00196DF5" w:rsidP="00196DF5">
      <w:pPr>
        <w:pStyle w:val="Normal12a"/>
        <w:spacing w:before="120" w:after="120" w:line="360" w:lineRule="auto"/>
      </w:pPr>
      <w:r w:rsidRPr="00524C87">
        <w:t>Vse tri institucije se strinjajo, da je treba orodje še naprej razvijati v skladu s pravili o varnosti IT in varstvu podatkov. Da bi zmanjšali upravno breme in preprečili nesorazmerne stroške IT za države članice in druge uporabnike, se bodo upoštevali vzpostavljeni odobreni sistemi v državah članicah.</w:t>
      </w:r>
    </w:p>
    <w:p w:rsidR="00196DF5" w:rsidRPr="00524C87" w:rsidRDefault="00196DF5" w:rsidP="00196DF5">
      <w:pPr>
        <w:pStyle w:val="Normal12a"/>
        <w:spacing w:before="120" w:after="120" w:line="360" w:lineRule="auto"/>
      </w:pPr>
      <w:r w:rsidRPr="00524C87">
        <w:t>Tri institucije se zavezujejo, da bodo sodelovale pri nadaljnjem razvoju orodja. Komisija potrjuje, da bo orodje še naprej razvijala v posvetovanju s svojimi uporabniki in državam članicam ponudila podporo pri morebitnih tehničnih vprašanjih. Države članice bodo sodelovale s Komisijo, da bi vzpostavile sinergije za interoperabilnost z ustreznimi informacijskimi sistemi in podatkovnimi zbirkami.</w:t>
      </w:r>
    </w:p>
    <w:p w:rsidR="00196DF5" w:rsidRPr="00524C87" w:rsidRDefault="00196DF5" w:rsidP="00196DF5">
      <w:pPr>
        <w:spacing w:before="120" w:after="120" w:line="360" w:lineRule="auto"/>
      </w:pPr>
      <w:r w:rsidRPr="00524C87">
        <w:t xml:space="preserve">Potem ko Komisija oceni pripravljenost orodja na podlagi meril iz člena 36(6) finančne uredbe, se vse tri institucije ne glede na svoje pristojnosti zavežejo, da bodo v večletnem finančnem </w:t>
      </w:r>
      <w:r w:rsidRPr="00524C87">
        <w:lastRenderedPageBreak/>
        <w:t>okviru za obdobje po letu 2027 preučile možnost obvezne uporabe orodja in znova razpravljale o njej.</w:t>
      </w:r>
    </w:p>
    <w:p w:rsidR="00196DF5" w:rsidRPr="00524C87" w:rsidRDefault="00196DF5" w:rsidP="004D2DB7">
      <w:pPr>
        <w:pStyle w:val="Normal12a"/>
        <w:spacing w:before="120" w:after="120" w:line="360" w:lineRule="auto"/>
        <w:jc w:val="center"/>
      </w:pPr>
      <w:r w:rsidRPr="00524C87">
        <w:rPr>
          <w:b/>
          <w:bCs/>
          <w:u w:val="single"/>
        </w:rPr>
        <w:t>Enostranska izjava Komisije o sprostitvah obveznosti</w:t>
      </w:r>
      <w:r w:rsidRPr="00524C87">
        <w:rPr>
          <w:rFonts w:eastAsiaTheme="minorHAnsi"/>
          <w:b/>
          <w:szCs w:val="24"/>
          <w:u w:val="single"/>
          <w:lang w:eastAsia="en-US"/>
        </w:rPr>
        <w:t xml:space="preserve"> ob sprejetju Uredbe </w:t>
      </w:r>
      <w:r w:rsidR="004D2DB7" w:rsidRPr="00524C87">
        <w:rPr>
          <w:b/>
          <w:u w:val="single"/>
        </w:rPr>
        <w:t>(EU</w:t>
      </w:r>
      <w:r w:rsidR="004D2DB7">
        <w:rPr>
          <w:b/>
          <w:u w:val="single"/>
        </w:rPr>
        <w:t xml:space="preserve">, </w:t>
      </w:r>
      <w:proofErr w:type="spellStart"/>
      <w:r w:rsidR="004D2DB7">
        <w:rPr>
          <w:b/>
          <w:u w:val="single"/>
        </w:rPr>
        <w:t>Euratom</w:t>
      </w:r>
      <w:proofErr w:type="spellEnd"/>
      <w:r w:rsidR="004D2DB7" w:rsidRPr="00524C87">
        <w:rPr>
          <w:b/>
          <w:u w:val="single"/>
        </w:rPr>
        <w:t>) 2024/</w:t>
      </w:r>
      <w:r w:rsidR="004D2DB7">
        <w:rPr>
          <w:b/>
          <w:u w:val="single"/>
        </w:rPr>
        <w:t>2509</w:t>
      </w:r>
    </w:p>
    <w:p w:rsidR="00196DF5" w:rsidRPr="00524C87" w:rsidRDefault="00196DF5" w:rsidP="00196DF5">
      <w:pPr>
        <w:pStyle w:val="Normal12a"/>
        <w:spacing w:before="120" w:after="120" w:line="360" w:lineRule="auto"/>
      </w:pPr>
      <w:r w:rsidRPr="00524C87">
        <w:t>V okviru priprav na večletni finančni okvir za obdobje po letu 2027 bo Komisija proučila vprašanje razširitve možnosti za ponovno dajanje na razpolago odobritev, ki ustrezajo sprostitvam obveznosti. To ne posega v prihodnji predlog Komisije o večletnem finančnem okviru za obdobje po letu 2027 ali v pravico Komisije do zakonodajne pobude, kot je določena v Pogodbah.</w:t>
      </w:r>
    </w:p>
    <w:p w:rsidR="00196DF5" w:rsidRPr="00524C87" w:rsidRDefault="00196DF5" w:rsidP="004D2DB7">
      <w:pPr>
        <w:pStyle w:val="Normal12a"/>
        <w:spacing w:before="120" w:after="120" w:line="360" w:lineRule="auto"/>
        <w:jc w:val="center"/>
        <w:rPr>
          <w:b/>
          <w:bCs/>
          <w:u w:val="single"/>
        </w:rPr>
      </w:pPr>
      <w:r w:rsidRPr="00524C87">
        <w:rPr>
          <w:b/>
          <w:bCs/>
          <w:u w:val="single"/>
        </w:rPr>
        <w:t>Enostranska izjava Komisije o sistemu za zgodnje odkrivanje in izključitev</w:t>
      </w:r>
      <w:r w:rsidRPr="00524C87">
        <w:rPr>
          <w:rFonts w:eastAsiaTheme="minorHAnsi"/>
          <w:b/>
          <w:szCs w:val="24"/>
          <w:u w:val="single"/>
          <w:lang w:eastAsia="en-US"/>
        </w:rPr>
        <w:t xml:space="preserve"> ob sprejetju Uredbe </w:t>
      </w:r>
      <w:r w:rsidR="004D2DB7" w:rsidRPr="00524C87">
        <w:rPr>
          <w:b/>
          <w:u w:val="single"/>
        </w:rPr>
        <w:t>(EU</w:t>
      </w:r>
      <w:r w:rsidR="004D2DB7">
        <w:rPr>
          <w:b/>
          <w:u w:val="single"/>
        </w:rPr>
        <w:t xml:space="preserve">, </w:t>
      </w:r>
      <w:proofErr w:type="spellStart"/>
      <w:r w:rsidR="004D2DB7">
        <w:rPr>
          <w:b/>
          <w:u w:val="single"/>
        </w:rPr>
        <w:t>Euratom</w:t>
      </w:r>
      <w:proofErr w:type="spellEnd"/>
      <w:r w:rsidR="004D2DB7" w:rsidRPr="00524C87">
        <w:rPr>
          <w:b/>
          <w:u w:val="single"/>
        </w:rPr>
        <w:t>) 2024/</w:t>
      </w:r>
      <w:r w:rsidR="004D2DB7">
        <w:rPr>
          <w:b/>
          <w:u w:val="single"/>
        </w:rPr>
        <w:t>2509</w:t>
      </w:r>
      <w:bookmarkStart w:id="7" w:name="_GoBack"/>
      <w:bookmarkEnd w:id="7"/>
    </w:p>
    <w:p w:rsidR="00196DF5" w:rsidRPr="00524C87" w:rsidRDefault="00196DF5" w:rsidP="00196DF5">
      <w:pPr>
        <w:pStyle w:val="Normal12a"/>
        <w:spacing w:before="120" w:after="120" w:line="360" w:lineRule="auto"/>
      </w:pPr>
      <w:r w:rsidRPr="00524C87">
        <w:t xml:space="preserve">Evropska komisija se strinja, da je treba čim bolj zmanjšati upravno breme za organe držav članic v okviru ciljno usmerjene razširitve sistema za zgodnje odkrivanje in izključitev (EDES) na deljeno in neposredno upravljanje z državami članicami. </w:t>
      </w:r>
    </w:p>
    <w:p w:rsidR="00196DF5" w:rsidRPr="00524C87" w:rsidRDefault="00196DF5" w:rsidP="00196DF5">
      <w:pPr>
        <w:pStyle w:val="Normal12a"/>
        <w:spacing w:before="120" w:after="120" w:line="360" w:lineRule="auto"/>
      </w:pPr>
      <w:r w:rsidRPr="00524C87">
        <w:t xml:space="preserve">Komisija se zavezuje, da bo razvila celovite smernice in državam članicam zagotovila usposabljanja o izvajanju sistema EDES in uporabi njegove podatkovne zbirke. </w:t>
      </w:r>
    </w:p>
    <w:p w:rsidR="00196DF5" w:rsidRPr="00524C87" w:rsidRDefault="00196DF5" w:rsidP="00196DF5">
      <w:pPr>
        <w:pStyle w:val="Normal12a"/>
        <w:spacing w:before="120" w:after="120" w:line="360" w:lineRule="auto"/>
      </w:pPr>
      <w:r w:rsidRPr="00524C87">
        <w:t>Komisija bo še naprej izboljševala podatkovno zbirko sistema EDES, na primer z vpeljavo možnosti iskanja po več subjektih in izboljšanjem postavitve.</w:t>
      </w:r>
    </w:p>
    <w:p w:rsidR="00196DF5" w:rsidRPr="00524C87" w:rsidRDefault="00196DF5" w:rsidP="00196DF5">
      <w:pPr>
        <w:pStyle w:val="Normal12a"/>
        <w:spacing w:before="120" w:after="120" w:line="360" w:lineRule="auto"/>
      </w:pPr>
      <w:r w:rsidRPr="00524C87">
        <w:t>Komisija si bo prizadevala zagotoviti interoperabilnost med sistemom EDES in ustreznimi nacionalnimi sistemi, da bi se racionaliziral postopek in omogočilo hitrejše preverjanje, ali se zadevne osebe ali subjekti nahajajo v situaciji za izključitev.</w:t>
      </w:r>
    </w:p>
    <w:p w:rsidR="00196DF5" w:rsidRPr="00524C87" w:rsidRDefault="00196DF5" w:rsidP="00196DF5">
      <w:pPr>
        <w:pStyle w:val="Normal12a"/>
        <w:spacing w:before="120" w:after="120" w:line="360" w:lineRule="auto"/>
      </w:pPr>
      <w:r w:rsidRPr="00524C87">
        <w:t>Komisija potrjuje, da nobeno zaprosilo za dodatne informacije za namene sistema EDES ne bo presegalo tega, kar je nujno potrebno in sorazmerno, ter da bo obravnavano v skladu z veljavnimi pravili o varstvu podatkov. Poudariti je treba, da mnenje Evropskega nadzornika za varstvo podatkov o predlogu Komisije za prenovitev finančne uredbe ne izraža nobenih pomislekov glede sistema EDES.</w:t>
      </w:r>
    </w:p>
    <w:p w:rsidR="008765BE" w:rsidRDefault="00196DF5" w:rsidP="00196DF5">
      <w:pPr>
        <w:spacing w:before="120" w:after="120" w:line="360" w:lineRule="auto"/>
      </w:pPr>
      <w:r w:rsidRPr="00524C87">
        <w:t>Komisija se je zavezala, da bo omogočila nemoten prehod na uporabo sistema EDES v polnem sodelovanju z državami članicami.</w:t>
      </w:r>
    </w:p>
    <w:sectPr w:rsidR="008765B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25F" w:rsidRDefault="00E5625F" w:rsidP="00E5625F">
      <w:r>
        <w:separator/>
      </w:r>
    </w:p>
  </w:endnote>
  <w:endnote w:type="continuationSeparator" w:id="0">
    <w:p w:rsidR="00E5625F" w:rsidRDefault="00E5625F" w:rsidP="00E56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5F" w:rsidRPr="00182991" w:rsidRDefault="00E5625F" w:rsidP="00F734B5">
    <w:pPr>
      <w:pStyle w:val="EPFooter"/>
    </w:pPr>
    <w:r w:rsidRPr="00182991">
      <w:tab/>
    </w:r>
    <w:r w:rsidRPr="00182991">
      <w:fldChar w:fldCharType="begin"/>
    </w:r>
    <w:r w:rsidRPr="00182991">
      <w:instrText xml:space="preserve"> PAGE </w:instrText>
    </w:r>
    <w:r w:rsidRPr="00182991">
      <w:fldChar w:fldCharType="separate"/>
    </w:r>
    <w:r>
      <w:rPr>
        <w:noProof/>
      </w:rPr>
      <w:t>570</w:t>
    </w:r>
    <w:r w:rsidRPr="00182991">
      <w:fldChar w:fldCharType="end"/>
    </w:r>
    <w:r w:rsidRPr="00182991">
      <w:t>/</w:t>
    </w:r>
    <w:r w:rsidRPr="00182991">
      <w:fldChar w:fldCharType="begin"/>
    </w:r>
    <w:r w:rsidRPr="00182991">
      <w:instrText xml:space="preserve"> NUMPAGES </w:instrText>
    </w:r>
    <w:r w:rsidRPr="00182991">
      <w:fldChar w:fldCharType="separate"/>
    </w:r>
    <w:r>
      <w:rPr>
        <w:noProof/>
      </w:rPr>
      <w:t>570</w:t>
    </w:r>
    <w:r w:rsidRPr="00182991">
      <w:rPr>
        <w:noProof/>
      </w:rPr>
      <w:fldChar w:fldCharType="end"/>
    </w:r>
    <w:r w:rsidRPr="00182991">
      <w:tab/>
    </w:r>
  </w:p>
  <w:p w:rsidR="00E5625F" w:rsidRPr="00182991" w:rsidRDefault="00E5625F">
    <w:pPr>
      <w:pStyle w:val="EPFooter2"/>
    </w:pPr>
    <w:r w:rsidRPr="00182991">
      <w:fldChar w:fldCharType="begin"/>
    </w:r>
    <w:r w:rsidRPr="00182991">
      <w:instrText xml:space="preserve"> DOCPROPERTY "&lt;Extension&gt;" </w:instrText>
    </w:r>
    <w:r w:rsidRPr="00182991">
      <w:fldChar w:fldCharType="separate"/>
    </w:r>
    <w:r>
      <w:t>SL</w:t>
    </w:r>
    <w:r w:rsidRPr="00182991">
      <w:fldChar w:fldCharType="end"/>
    </w:r>
  </w:p>
  <w:p w:rsidR="00E5625F" w:rsidRDefault="00E5625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25F" w:rsidRDefault="00E5625F" w:rsidP="00E5625F">
      <w:r>
        <w:separator/>
      </w:r>
    </w:p>
  </w:footnote>
  <w:footnote w:type="continuationSeparator" w:id="0">
    <w:p w:rsidR="00E5625F" w:rsidRDefault="00E5625F" w:rsidP="00E5625F">
      <w:r>
        <w:continuationSeparator/>
      </w:r>
    </w:p>
  </w:footnote>
  <w:footnote w:id="1">
    <w:p w:rsidR="00E5625F" w:rsidRPr="00196DF5" w:rsidRDefault="00E5625F" w:rsidP="00196DF5">
      <w:pPr>
        <w:pStyle w:val="FootnoteText"/>
        <w:ind w:left="851" w:hanging="851"/>
        <w:rPr>
          <w:color w:val="000000" w:themeColor="text1"/>
          <w:sz w:val="24"/>
          <w:szCs w:val="24"/>
          <w:lang w:val="sl-SI"/>
        </w:rPr>
      </w:pPr>
      <w:r w:rsidRPr="00196DF5">
        <w:rPr>
          <w:rStyle w:val="FootnoteReference"/>
          <w:rFonts w:eastAsiaTheme="majorEastAsia"/>
          <w:color w:val="000000" w:themeColor="text1"/>
          <w:sz w:val="24"/>
          <w:szCs w:val="24"/>
          <w:lang w:val="sl-SI"/>
        </w:rPr>
        <w:footnoteRef/>
      </w:r>
      <w:r w:rsidRPr="00196DF5">
        <w:rPr>
          <w:color w:val="000000" w:themeColor="text1"/>
          <w:sz w:val="24"/>
          <w:szCs w:val="24"/>
          <w:lang w:val="sl-SI"/>
        </w:rPr>
        <w:t xml:space="preserve"> </w:t>
      </w:r>
      <w:r w:rsidRPr="00196DF5">
        <w:rPr>
          <w:color w:val="000000" w:themeColor="text1"/>
          <w:sz w:val="24"/>
          <w:szCs w:val="24"/>
          <w:lang w:val="sl-SI"/>
        </w:rPr>
        <w:tab/>
        <w:t>UL C 446, 24.11.2022, str. 26.</w:t>
      </w:r>
    </w:p>
  </w:footnote>
  <w:footnote w:id="2">
    <w:p w:rsidR="00E5625F" w:rsidRPr="00196DF5" w:rsidRDefault="00E5625F" w:rsidP="00196DF5">
      <w:pPr>
        <w:pStyle w:val="FootnoteText"/>
        <w:ind w:left="851" w:hanging="851"/>
        <w:rPr>
          <w:color w:val="000000" w:themeColor="text1"/>
          <w:sz w:val="24"/>
          <w:szCs w:val="24"/>
          <w:lang w:val="sl-SI"/>
        </w:rPr>
      </w:pPr>
      <w:r w:rsidRPr="00196DF5">
        <w:rPr>
          <w:rStyle w:val="FootnoteReference"/>
          <w:rFonts w:eastAsiaTheme="majorEastAsia"/>
          <w:color w:val="000000" w:themeColor="text1"/>
          <w:sz w:val="24"/>
          <w:szCs w:val="24"/>
          <w:lang w:val="sl-SI"/>
        </w:rPr>
        <w:footnoteRef/>
      </w:r>
      <w:r w:rsidRPr="00196DF5">
        <w:rPr>
          <w:color w:val="000000" w:themeColor="text1"/>
          <w:sz w:val="24"/>
          <w:szCs w:val="24"/>
          <w:lang w:val="sl-SI"/>
        </w:rPr>
        <w:t xml:space="preserve"> </w:t>
      </w:r>
      <w:r w:rsidRPr="00196DF5">
        <w:rPr>
          <w:color w:val="000000" w:themeColor="text1"/>
          <w:sz w:val="24"/>
          <w:szCs w:val="24"/>
          <w:lang w:val="sl-SI"/>
        </w:rPr>
        <w:tab/>
        <w:t>UL C 77, 28.3.2002,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5F" w:rsidRDefault="00E5625F">
    <w:pPr>
      <w:pStyle w:val="Header"/>
    </w:pPr>
  </w:p>
  <w:p w:rsidR="00E5625F" w:rsidRDefault="00E5625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28281172">
      <w:start w:val="1"/>
      <w:numFmt w:val="bullet"/>
      <w:lvlText w:val=""/>
      <w:lvlJc w:val="left"/>
      <w:pPr>
        <w:ind w:left="360" w:hanging="360"/>
      </w:pPr>
      <w:rPr>
        <w:rFonts w:ascii="Symbol" w:hAnsi="Symbol" w:hint="default"/>
      </w:rPr>
    </w:lvl>
    <w:lvl w:ilvl="1" w:tplc="B25265E8" w:tentative="1">
      <w:start w:val="1"/>
      <w:numFmt w:val="bullet"/>
      <w:lvlText w:val="o"/>
      <w:lvlJc w:val="left"/>
      <w:pPr>
        <w:ind w:left="1080" w:hanging="360"/>
      </w:pPr>
      <w:rPr>
        <w:rFonts w:ascii="Courier New" w:hAnsi="Courier New" w:cs="Courier New" w:hint="default"/>
      </w:rPr>
    </w:lvl>
    <w:lvl w:ilvl="2" w:tplc="DB34E1C4" w:tentative="1">
      <w:start w:val="1"/>
      <w:numFmt w:val="bullet"/>
      <w:lvlText w:val=""/>
      <w:lvlJc w:val="left"/>
      <w:pPr>
        <w:ind w:left="1800" w:hanging="360"/>
      </w:pPr>
      <w:rPr>
        <w:rFonts w:ascii="Wingdings" w:hAnsi="Wingdings" w:hint="default"/>
      </w:rPr>
    </w:lvl>
    <w:lvl w:ilvl="3" w:tplc="D52C7FB4" w:tentative="1">
      <w:start w:val="1"/>
      <w:numFmt w:val="bullet"/>
      <w:lvlText w:val=""/>
      <w:lvlJc w:val="left"/>
      <w:pPr>
        <w:ind w:left="2520" w:hanging="360"/>
      </w:pPr>
      <w:rPr>
        <w:rFonts w:ascii="Symbol" w:hAnsi="Symbol" w:hint="default"/>
      </w:rPr>
    </w:lvl>
    <w:lvl w:ilvl="4" w:tplc="AADE8F88" w:tentative="1">
      <w:start w:val="1"/>
      <w:numFmt w:val="bullet"/>
      <w:lvlText w:val="o"/>
      <w:lvlJc w:val="left"/>
      <w:pPr>
        <w:ind w:left="3240" w:hanging="360"/>
      </w:pPr>
      <w:rPr>
        <w:rFonts w:ascii="Courier New" w:hAnsi="Courier New" w:cs="Courier New" w:hint="default"/>
      </w:rPr>
    </w:lvl>
    <w:lvl w:ilvl="5" w:tplc="D0D29570" w:tentative="1">
      <w:start w:val="1"/>
      <w:numFmt w:val="bullet"/>
      <w:lvlText w:val=""/>
      <w:lvlJc w:val="left"/>
      <w:pPr>
        <w:ind w:left="3960" w:hanging="360"/>
      </w:pPr>
      <w:rPr>
        <w:rFonts w:ascii="Wingdings" w:hAnsi="Wingdings" w:hint="default"/>
      </w:rPr>
    </w:lvl>
    <w:lvl w:ilvl="6" w:tplc="72024AAE" w:tentative="1">
      <w:start w:val="1"/>
      <w:numFmt w:val="bullet"/>
      <w:lvlText w:val=""/>
      <w:lvlJc w:val="left"/>
      <w:pPr>
        <w:ind w:left="4680" w:hanging="360"/>
      </w:pPr>
      <w:rPr>
        <w:rFonts w:ascii="Symbol" w:hAnsi="Symbol" w:hint="default"/>
      </w:rPr>
    </w:lvl>
    <w:lvl w:ilvl="7" w:tplc="8B584A64" w:tentative="1">
      <w:start w:val="1"/>
      <w:numFmt w:val="bullet"/>
      <w:lvlText w:val="o"/>
      <w:lvlJc w:val="left"/>
      <w:pPr>
        <w:ind w:left="5400" w:hanging="360"/>
      </w:pPr>
      <w:rPr>
        <w:rFonts w:ascii="Courier New" w:hAnsi="Courier New" w:cs="Courier New" w:hint="default"/>
      </w:rPr>
    </w:lvl>
    <w:lvl w:ilvl="8" w:tplc="762CF752"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25F"/>
    <w:rsid w:val="00196DF5"/>
    <w:rsid w:val="002144C6"/>
    <w:rsid w:val="004D2DB7"/>
    <w:rsid w:val="00544653"/>
    <w:rsid w:val="005762E3"/>
    <w:rsid w:val="0086648E"/>
    <w:rsid w:val="008765BE"/>
    <w:rsid w:val="00AD2A6B"/>
    <w:rsid w:val="00B552BD"/>
    <w:rsid w:val="00E5625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9B5274"/>
  <w15:chartTrackingRefBased/>
  <w15:docId w15:val="{F9261D9F-7529-4EB1-9812-926BC895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lang w:val="sl-SI"/>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character" w:customStyle="1" w:styleId="HideTWBExt">
    <w:name w:val="HideTWBExt"/>
    <w:rsid w:val="00E5625F"/>
    <w:rPr>
      <w:rFonts w:ascii="Arial" w:hAnsi="Arial"/>
      <w:noProof/>
      <w:vanish/>
      <w:color w:val="000080"/>
      <w:sz w:val="20"/>
    </w:rPr>
  </w:style>
  <w:style w:type="paragraph" w:customStyle="1" w:styleId="EPBodyTA1">
    <w:name w:val="EPBodyTA1"/>
    <w:basedOn w:val="Normal"/>
    <w:rsid w:val="00E5625F"/>
    <w:pPr>
      <w:widowControl w:val="0"/>
      <w:jc w:val="center"/>
    </w:pPr>
    <w:rPr>
      <w:rFonts w:ascii="Arial" w:eastAsia="Times New Roman" w:hAnsi="Arial" w:cs="Arial"/>
      <w:b/>
      <w:sz w:val="22"/>
      <w:szCs w:val="22"/>
      <w:lang w:eastAsia="en-GB"/>
    </w:rPr>
  </w:style>
  <w:style w:type="paragraph" w:customStyle="1" w:styleId="LineTop">
    <w:name w:val="LineTop"/>
    <w:basedOn w:val="Normal"/>
    <w:next w:val="Normal"/>
    <w:rsid w:val="00E5625F"/>
    <w:pPr>
      <w:widowControl w:val="0"/>
      <w:pBdr>
        <w:top w:val="single" w:sz="4" w:space="1" w:color="auto"/>
      </w:pBdr>
      <w:jc w:val="center"/>
    </w:pPr>
    <w:rPr>
      <w:rFonts w:ascii="Arial" w:eastAsia="Times New Roman" w:hAnsi="Arial" w:cs="Arial"/>
      <w:sz w:val="16"/>
      <w:szCs w:val="16"/>
      <w:lang w:eastAsia="en-GB"/>
    </w:rPr>
  </w:style>
  <w:style w:type="paragraph" w:customStyle="1" w:styleId="LineBottom">
    <w:name w:val="LineBottom"/>
    <w:basedOn w:val="Normal"/>
    <w:next w:val="Normal"/>
    <w:rsid w:val="00E5625F"/>
    <w:pPr>
      <w:widowControl w:val="0"/>
      <w:pBdr>
        <w:bottom w:val="single" w:sz="4" w:space="1" w:color="auto"/>
      </w:pBdr>
      <w:spacing w:after="240"/>
      <w:jc w:val="center"/>
    </w:pPr>
    <w:rPr>
      <w:rFonts w:ascii="Arial" w:eastAsia="Times New Roman" w:hAnsi="Arial" w:cs="Arial"/>
      <w:sz w:val="16"/>
      <w:szCs w:val="16"/>
      <w:lang w:eastAsia="en-GB"/>
    </w:rPr>
  </w:style>
  <w:style w:type="paragraph" w:customStyle="1" w:styleId="ATHeading1">
    <w:name w:val="AT Heading 1"/>
    <w:basedOn w:val="Normal"/>
    <w:next w:val="Normal"/>
    <w:rsid w:val="00E5625F"/>
    <w:pPr>
      <w:keepNext/>
      <w:keepLines/>
      <w:spacing w:before="480" w:after="120"/>
      <w:jc w:val="left"/>
      <w:outlineLvl w:val="0"/>
    </w:pPr>
    <w:rPr>
      <w:rFonts w:eastAsia="Times New Roman"/>
      <w:b/>
      <w:sz w:val="28"/>
      <w:szCs w:val="20"/>
      <w:lang w:eastAsia="fr-FR"/>
    </w:rPr>
  </w:style>
  <w:style w:type="paragraph" w:customStyle="1" w:styleId="ATHeading2">
    <w:name w:val="AT Heading 2"/>
    <w:basedOn w:val="Normal"/>
    <w:next w:val="Normal"/>
    <w:rsid w:val="00E5625F"/>
    <w:pPr>
      <w:spacing w:before="120" w:after="120"/>
      <w:jc w:val="left"/>
      <w:outlineLvl w:val="1"/>
    </w:pPr>
    <w:rPr>
      <w:rFonts w:eastAsia="Times New Roman"/>
      <w:b/>
      <w:sz w:val="28"/>
      <w:szCs w:val="20"/>
      <w:lang w:eastAsia="fr-FR"/>
    </w:rPr>
  </w:style>
  <w:style w:type="paragraph" w:customStyle="1" w:styleId="ATHeading3">
    <w:name w:val="AT Heading 3"/>
    <w:basedOn w:val="Normal"/>
    <w:next w:val="Normal"/>
    <w:rsid w:val="00E5625F"/>
    <w:pPr>
      <w:keepNext/>
      <w:keepLines/>
      <w:spacing w:before="120" w:after="120"/>
      <w:jc w:val="left"/>
      <w:outlineLvl w:val="2"/>
    </w:pPr>
    <w:rPr>
      <w:rFonts w:eastAsia="Times New Roman"/>
      <w:b/>
      <w:szCs w:val="20"/>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uiPriority w:val="99"/>
    <w:rsid w:val="00E5625F"/>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Fußnotentextf,Footnote text,fn,Schriftart: 10 pt,o,Char"/>
    <w:basedOn w:val="Normal"/>
    <w:link w:val="FootnoteTextChar"/>
    <w:uiPriority w:val="99"/>
    <w:rsid w:val="00E5625F"/>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fn Char,o Char"/>
    <w:basedOn w:val="DefaultParagraphFont"/>
    <w:link w:val="FootnoteText"/>
    <w:uiPriority w:val="99"/>
    <w:rsid w:val="00E5625F"/>
    <w:rPr>
      <w:rFonts w:ascii="Times New Roman" w:eastAsia="Times New Roman" w:hAnsi="Times New Roman"/>
      <w:szCs w:val="20"/>
      <w:lang w:val="fr-FR" w:eastAsia="fr-FR"/>
    </w:rPr>
  </w:style>
  <w:style w:type="paragraph" w:customStyle="1" w:styleId="EPName">
    <w:name w:val="EPName"/>
    <w:basedOn w:val="Normal"/>
    <w:rsid w:val="00E5625F"/>
    <w:pPr>
      <w:widowControl w:val="0"/>
      <w:spacing w:before="80" w:after="80"/>
      <w:jc w:val="left"/>
    </w:pPr>
    <w:rPr>
      <w:rFonts w:ascii="Arial Narrow" w:eastAsia="Times New Roman" w:hAnsi="Arial Narrow" w:cs="Arial"/>
      <w:b/>
      <w:sz w:val="32"/>
      <w:szCs w:val="22"/>
      <w:lang w:eastAsia="en-GB"/>
    </w:rPr>
  </w:style>
  <w:style w:type="paragraph" w:customStyle="1" w:styleId="EPTerm">
    <w:name w:val="EPTerm"/>
    <w:basedOn w:val="Normal"/>
    <w:next w:val="Normal"/>
    <w:rsid w:val="00E5625F"/>
    <w:pPr>
      <w:widowControl w:val="0"/>
      <w:spacing w:after="80"/>
      <w:jc w:val="left"/>
    </w:pPr>
    <w:rPr>
      <w:rFonts w:ascii="Arial" w:eastAsia="Times New Roman" w:hAnsi="Arial" w:cs="Arial"/>
      <w:sz w:val="20"/>
      <w:szCs w:val="22"/>
      <w:lang w:eastAsia="en-GB"/>
    </w:rPr>
  </w:style>
  <w:style w:type="paragraph" w:customStyle="1" w:styleId="EPLogo">
    <w:name w:val="EPLogo"/>
    <w:basedOn w:val="Normal"/>
    <w:qFormat/>
    <w:rsid w:val="00E5625F"/>
    <w:pPr>
      <w:widowControl w:val="0"/>
      <w:jc w:val="right"/>
    </w:pPr>
    <w:rPr>
      <w:rFonts w:eastAsia="Times New Roman"/>
      <w:szCs w:val="20"/>
      <w:lang w:eastAsia="en-GB"/>
    </w:rPr>
  </w:style>
  <w:style w:type="paragraph" w:customStyle="1" w:styleId="NormalBold">
    <w:name w:val="NormalBold"/>
    <w:basedOn w:val="Normal"/>
    <w:link w:val="NormalBoldChar"/>
    <w:rsid w:val="00E5625F"/>
    <w:pPr>
      <w:widowControl w:val="0"/>
      <w:jc w:val="left"/>
    </w:pPr>
    <w:rPr>
      <w:rFonts w:eastAsia="Times New Roman"/>
      <w:b/>
      <w:szCs w:val="20"/>
      <w:lang w:eastAsia="en-GB"/>
    </w:rPr>
  </w:style>
  <w:style w:type="paragraph" w:customStyle="1" w:styleId="NormalHanging12a">
    <w:name w:val="NormalHanging12a"/>
    <w:basedOn w:val="Normal"/>
    <w:rsid w:val="00E5625F"/>
    <w:pPr>
      <w:widowControl w:val="0"/>
      <w:spacing w:after="240"/>
      <w:ind w:left="567" w:hanging="567"/>
      <w:jc w:val="left"/>
    </w:pPr>
    <w:rPr>
      <w:rFonts w:eastAsia="Times New Roman"/>
      <w:szCs w:val="20"/>
      <w:lang w:eastAsia="en-GB"/>
    </w:rPr>
  </w:style>
  <w:style w:type="paragraph" w:customStyle="1" w:styleId="EPComma">
    <w:name w:val="EPComma"/>
    <w:basedOn w:val="Normal"/>
    <w:rsid w:val="00E5625F"/>
    <w:pPr>
      <w:widowControl w:val="0"/>
      <w:spacing w:before="480" w:after="240"/>
      <w:jc w:val="left"/>
    </w:pPr>
    <w:rPr>
      <w:rFonts w:eastAsia="Times New Roman"/>
      <w:szCs w:val="20"/>
      <w:lang w:eastAsia="en-GB"/>
    </w:rPr>
  </w:style>
  <w:style w:type="character" w:customStyle="1" w:styleId="NormalBoldChar">
    <w:name w:val="NormalBold Char"/>
    <w:link w:val="NormalBold"/>
    <w:locked/>
    <w:rsid w:val="00E5625F"/>
    <w:rPr>
      <w:rFonts w:ascii="Times New Roman" w:eastAsia="Times New Roman" w:hAnsi="Times New Roman"/>
      <w:b/>
      <w:sz w:val="24"/>
      <w:szCs w:val="20"/>
      <w:lang w:val="sl-SI" w:eastAsia="en-GB"/>
    </w:rPr>
  </w:style>
  <w:style w:type="numbering" w:customStyle="1" w:styleId="NoList1">
    <w:name w:val="No List1"/>
    <w:next w:val="NoList"/>
    <w:uiPriority w:val="99"/>
    <w:semiHidden/>
    <w:unhideWhenUsed/>
    <w:rsid w:val="00E5625F"/>
  </w:style>
  <w:style w:type="paragraph" w:customStyle="1" w:styleId="EPFooter2">
    <w:name w:val="EPFooter2"/>
    <w:basedOn w:val="Normal"/>
    <w:next w:val="Normal"/>
    <w:link w:val="EPFooter2Char"/>
    <w:rsid w:val="00E5625F"/>
    <w:pPr>
      <w:tabs>
        <w:tab w:val="center" w:pos="4535"/>
        <w:tab w:val="right" w:pos="9921"/>
      </w:tabs>
      <w:ind w:left="-850" w:right="-850"/>
      <w:jc w:val="left"/>
    </w:pPr>
    <w:rPr>
      <w:rFonts w:ascii="Arial" w:eastAsia="Times New Roman" w:hAnsi="Arial" w:cs="Arial"/>
      <w:b/>
      <w:sz w:val="48"/>
      <w:szCs w:val="20"/>
      <w:lang w:eastAsia="en-GB"/>
    </w:rPr>
  </w:style>
  <w:style w:type="paragraph" w:customStyle="1" w:styleId="Normal12a">
    <w:name w:val="Normal12a"/>
    <w:basedOn w:val="Normal"/>
    <w:rsid w:val="00E5625F"/>
    <w:pPr>
      <w:widowControl w:val="0"/>
      <w:spacing w:after="240"/>
      <w:jc w:val="left"/>
    </w:pPr>
    <w:rPr>
      <w:rFonts w:eastAsia="Times New Roman"/>
      <w:szCs w:val="20"/>
      <w:lang w:eastAsia="en-GB"/>
    </w:rPr>
  </w:style>
  <w:style w:type="paragraph" w:styleId="TOC1">
    <w:name w:val="toc 1"/>
    <w:basedOn w:val="Normal12a"/>
    <w:next w:val="Normal12a"/>
    <w:autoRedefine/>
    <w:uiPriority w:val="39"/>
    <w:rsid w:val="00E5625F"/>
  </w:style>
  <w:style w:type="character" w:customStyle="1" w:styleId="HideTWBInt">
    <w:name w:val="HideTWBInt"/>
    <w:rsid w:val="00E5625F"/>
    <w:rPr>
      <w:rFonts w:ascii="Arial" w:hAnsi="Arial" w:cs="Arial"/>
      <w:vanish/>
      <w:color w:val="808080"/>
      <w:sz w:val="20"/>
    </w:rPr>
  </w:style>
  <w:style w:type="paragraph" w:customStyle="1" w:styleId="HeadingDocType24a">
    <w:name w:val="HeadingDocType24a"/>
    <w:basedOn w:val="Normal"/>
    <w:rsid w:val="00E5625F"/>
    <w:pPr>
      <w:widowControl w:val="0"/>
      <w:spacing w:after="480"/>
      <w:jc w:val="center"/>
    </w:pPr>
    <w:rPr>
      <w:rFonts w:ascii="Arial" w:eastAsia="Times New Roman" w:hAnsi="Arial"/>
      <w:b/>
      <w:sz w:val="48"/>
      <w:szCs w:val="20"/>
      <w:lang w:eastAsia="en-GB"/>
    </w:rPr>
  </w:style>
  <w:style w:type="paragraph" w:customStyle="1" w:styleId="HeadingReferenceERCO">
    <w:name w:val="HeadingReferenceERCO"/>
    <w:basedOn w:val="Normal"/>
    <w:rsid w:val="00E5625F"/>
    <w:pPr>
      <w:widowControl w:val="0"/>
      <w:spacing w:before="360" w:after="240"/>
      <w:jc w:val="right"/>
    </w:pPr>
    <w:rPr>
      <w:rFonts w:ascii="Arial" w:eastAsia="Times New Roman" w:hAnsi="Arial"/>
      <w:b/>
      <w:szCs w:val="20"/>
      <w:lang w:eastAsia="en-GB"/>
    </w:rPr>
  </w:style>
  <w:style w:type="paragraph" w:customStyle="1" w:styleId="NormalCenter">
    <w:name w:val="NormalCenter"/>
    <w:basedOn w:val="Normal"/>
    <w:rsid w:val="00E5625F"/>
    <w:pPr>
      <w:widowControl w:val="0"/>
      <w:jc w:val="center"/>
    </w:pPr>
    <w:rPr>
      <w:rFonts w:eastAsia="Times New Roman"/>
      <w:szCs w:val="20"/>
      <w:lang w:eastAsia="en-GB"/>
    </w:rPr>
  </w:style>
  <w:style w:type="paragraph" w:customStyle="1" w:styleId="Normal24a">
    <w:name w:val="Normal24a"/>
    <w:basedOn w:val="Normal"/>
    <w:link w:val="Normal24aChar"/>
    <w:rsid w:val="00E5625F"/>
    <w:pPr>
      <w:widowControl w:val="0"/>
      <w:spacing w:after="480"/>
      <w:jc w:val="left"/>
    </w:pPr>
    <w:rPr>
      <w:rFonts w:eastAsia="Times New Roman"/>
      <w:szCs w:val="20"/>
      <w:lang w:eastAsia="en-GB"/>
    </w:rPr>
  </w:style>
  <w:style w:type="table" w:styleId="TableGrid">
    <w:name w:val="Table Grid"/>
    <w:basedOn w:val="TableNormal"/>
    <w:rsid w:val="00E5625F"/>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625F"/>
    <w:pPr>
      <w:widowControl w:val="0"/>
      <w:jc w:val="center"/>
    </w:pPr>
    <w:rPr>
      <w:rFonts w:ascii="Arial" w:eastAsia="Times New Roman" w:hAnsi="Arial" w:cs="Arial"/>
      <w:i/>
      <w:sz w:val="22"/>
      <w:szCs w:val="22"/>
      <w:lang w:eastAsia="en-GB"/>
    </w:rPr>
  </w:style>
  <w:style w:type="paragraph" w:customStyle="1" w:styleId="LineSingle">
    <w:name w:val="LineSingle"/>
    <w:basedOn w:val="Normal"/>
    <w:next w:val="Normal"/>
    <w:rsid w:val="00E5625F"/>
    <w:pPr>
      <w:widowControl w:val="0"/>
      <w:pBdr>
        <w:bottom w:val="single" w:sz="4" w:space="1" w:color="auto"/>
      </w:pBdr>
      <w:spacing w:after="240"/>
      <w:jc w:val="left"/>
    </w:pPr>
    <w:rPr>
      <w:rFonts w:eastAsia="Times New Roman"/>
      <w:szCs w:val="20"/>
      <w:lang w:eastAsia="en-GB"/>
    </w:rPr>
  </w:style>
  <w:style w:type="paragraph" w:customStyle="1" w:styleId="EPFooter">
    <w:name w:val="EPFooter"/>
    <w:basedOn w:val="Normal"/>
    <w:link w:val="EPFooterChar"/>
    <w:rsid w:val="00E5625F"/>
    <w:pPr>
      <w:widowControl w:val="0"/>
      <w:tabs>
        <w:tab w:val="center" w:pos="4535"/>
        <w:tab w:val="right" w:pos="9071"/>
      </w:tabs>
      <w:spacing w:before="240" w:after="240"/>
      <w:jc w:val="left"/>
    </w:pPr>
    <w:rPr>
      <w:rFonts w:eastAsia="Times New Roman" w:cs="Arial"/>
      <w:szCs w:val="20"/>
      <w:lang w:eastAsia="en-GB"/>
    </w:rPr>
  </w:style>
  <w:style w:type="paragraph" w:styleId="Header">
    <w:name w:val="header"/>
    <w:basedOn w:val="Normal"/>
    <w:link w:val="HeaderChar"/>
    <w:uiPriority w:val="99"/>
    <w:rsid w:val="00E5625F"/>
    <w:pPr>
      <w:widowControl w:val="0"/>
      <w:tabs>
        <w:tab w:val="center" w:pos="4513"/>
        <w:tab w:val="right" w:pos="9026"/>
      </w:tabs>
      <w:jc w:val="left"/>
    </w:pPr>
    <w:rPr>
      <w:rFonts w:eastAsia="Times New Roman"/>
      <w:szCs w:val="20"/>
      <w:lang w:eastAsia="en-GB"/>
    </w:rPr>
  </w:style>
  <w:style w:type="character" w:customStyle="1" w:styleId="HeaderChar">
    <w:name w:val="Header Char"/>
    <w:basedOn w:val="DefaultParagraphFont"/>
    <w:link w:val="Header"/>
    <w:uiPriority w:val="99"/>
    <w:rsid w:val="00E5625F"/>
    <w:rPr>
      <w:rFonts w:ascii="Times New Roman" w:eastAsia="Times New Roman" w:hAnsi="Times New Roman"/>
      <w:sz w:val="24"/>
      <w:szCs w:val="20"/>
      <w:lang w:val="sl-SI" w:eastAsia="en-GB"/>
    </w:rPr>
  </w:style>
  <w:style w:type="paragraph" w:customStyle="1" w:styleId="HeadingDate">
    <w:name w:val="HeadingDate"/>
    <w:basedOn w:val="Normal"/>
    <w:rsid w:val="00E5625F"/>
    <w:pPr>
      <w:widowControl w:val="0"/>
      <w:spacing w:before="240" w:after="240"/>
      <w:jc w:val="left"/>
    </w:pPr>
    <w:rPr>
      <w:rFonts w:eastAsia="Times New Roman"/>
      <w:szCs w:val="20"/>
      <w:lang w:eastAsia="en-GB"/>
    </w:rPr>
  </w:style>
  <w:style w:type="paragraph" w:customStyle="1" w:styleId="EPBodyTA2">
    <w:name w:val="EPBodyTA2"/>
    <w:basedOn w:val="Normal"/>
    <w:rsid w:val="00E5625F"/>
    <w:pPr>
      <w:widowControl w:val="0"/>
      <w:jc w:val="center"/>
    </w:pPr>
    <w:rPr>
      <w:rFonts w:ascii="Arial" w:eastAsia="Times New Roman" w:hAnsi="Arial"/>
      <w:bCs/>
      <w:i/>
      <w:sz w:val="20"/>
      <w:szCs w:val="20"/>
      <w:lang w:eastAsia="en-GB"/>
    </w:rPr>
  </w:style>
  <w:style w:type="paragraph" w:customStyle="1" w:styleId="ATHeadingMotiv">
    <w:name w:val="AT Heading Motiv"/>
    <w:basedOn w:val="Normal"/>
    <w:next w:val="Normal"/>
    <w:rsid w:val="00E5625F"/>
    <w:pPr>
      <w:keepNext/>
      <w:spacing w:before="60" w:after="60"/>
      <w:jc w:val="center"/>
    </w:pPr>
    <w:rPr>
      <w:rFonts w:eastAsia="Times New Roman"/>
      <w:i/>
      <w:szCs w:val="20"/>
      <w:lang w:eastAsia="fr-FR"/>
    </w:rPr>
  </w:style>
  <w:style w:type="character" w:styleId="PageNumber">
    <w:name w:val="page number"/>
    <w:rsid w:val="00E5625F"/>
  </w:style>
  <w:style w:type="paragraph" w:styleId="TOC2">
    <w:name w:val="toc 2"/>
    <w:basedOn w:val="Normal"/>
    <w:next w:val="Normal"/>
    <w:autoRedefine/>
    <w:rsid w:val="00E5625F"/>
    <w:pPr>
      <w:keepNext/>
      <w:keepLines/>
      <w:jc w:val="left"/>
    </w:pPr>
    <w:rPr>
      <w:rFonts w:eastAsia="Times New Roman"/>
      <w:b/>
      <w:noProof/>
      <w:szCs w:val="20"/>
      <w:lang w:val="fr-FR" w:eastAsia="fr-FR"/>
    </w:rPr>
  </w:style>
  <w:style w:type="paragraph" w:styleId="TOC3">
    <w:name w:val="toc 3"/>
    <w:basedOn w:val="Normal"/>
    <w:next w:val="Normal"/>
    <w:autoRedefine/>
    <w:rsid w:val="00E5625F"/>
    <w:pPr>
      <w:keepLines/>
      <w:ind w:right="510"/>
      <w:jc w:val="left"/>
    </w:pPr>
    <w:rPr>
      <w:rFonts w:eastAsia="Times New Roman"/>
      <w:noProof/>
      <w:szCs w:val="20"/>
      <w:lang w:val="fr-FR" w:eastAsia="fr-FR"/>
    </w:rPr>
  </w:style>
  <w:style w:type="paragraph" w:customStyle="1" w:styleId="PageHeading">
    <w:name w:val="PageHeading"/>
    <w:basedOn w:val="Normal"/>
    <w:link w:val="PageHeadingChar"/>
    <w:rsid w:val="00E5625F"/>
    <w:pPr>
      <w:keepNext/>
      <w:widowControl w:val="0"/>
      <w:spacing w:after="480"/>
      <w:jc w:val="center"/>
    </w:pPr>
    <w:rPr>
      <w:rFonts w:ascii="Arial" w:eastAsia="Times New Roman" w:hAnsi="Arial" w:cs="Arial"/>
      <w:b/>
      <w:szCs w:val="20"/>
      <w:lang w:eastAsia="en-GB"/>
    </w:rPr>
  </w:style>
  <w:style w:type="paragraph" w:customStyle="1" w:styleId="TOCPage">
    <w:name w:val="TOC Page"/>
    <w:basedOn w:val="Normal"/>
    <w:next w:val="TOC1"/>
    <w:rsid w:val="00E5625F"/>
    <w:pPr>
      <w:keepNext/>
      <w:widowControl w:val="0"/>
      <w:spacing w:after="240"/>
      <w:jc w:val="right"/>
    </w:pPr>
    <w:rPr>
      <w:rFonts w:ascii="Arial" w:eastAsia="Times New Roman" w:hAnsi="Arial"/>
      <w:b/>
      <w:szCs w:val="20"/>
      <w:lang w:eastAsia="en-GB"/>
    </w:rPr>
  </w:style>
  <w:style w:type="paragraph" w:customStyle="1" w:styleId="Normal6a">
    <w:name w:val="Normal6a"/>
    <w:basedOn w:val="Normal"/>
    <w:rsid w:val="00E5625F"/>
    <w:pPr>
      <w:widowControl w:val="0"/>
      <w:spacing w:after="120"/>
      <w:jc w:val="left"/>
    </w:pPr>
    <w:rPr>
      <w:rFonts w:eastAsia="Times New Roman"/>
      <w:szCs w:val="20"/>
      <w:lang w:eastAsia="en-GB"/>
    </w:rPr>
  </w:style>
  <w:style w:type="paragraph" w:customStyle="1" w:styleId="NormalBold12a">
    <w:name w:val="NormalBold12a"/>
    <w:basedOn w:val="Normal"/>
    <w:rsid w:val="00E5625F"/>
    <w:pPr>
      <w:widowControl w:val="0"/>
      <w:spacing w:after="240"/>
      <w:jc w:val="left"/>
    </w:pPr>
    <w:rPr>
      <w:rFonts w:eastAsia="Times New Roman"/>
      <w:b/>
      <w:szCs w:val="20"/>
      <w:lang w:eastAsia="en-GB"/>
    </w:rPr>
  </w:style>
  <w:style w:type="paragraph" w:customStyle="1" w:styleId="CoverNormal24a">
    <w:name w:val="CoverNormal24a"/>
    <w:basedOn w:val="Normal"/>
    <w:rsid w:val="00E5625F"/>
    <w:pPr>
      <w:widowControl w:val="0"/>
      <w:spacing w:after="480"/>
      <w:ind w:left="1417"/>
      <w:jc w:val="left"/>
    </w:pPr>
    <w:rPr>
      <w:rFonts w:eastAsia="Times New Roman"/>
      <w:szCs w:val="20"/>
      <w:lang w:eastAsia="en-GB"/>
    </w:rPr>
  </w:style>
  <w:style w:type="paragraph" w:customStyle="1" w:styleId="CoverNormal">
    <w:name w:val="CoverNormal"/>
    <w:basedOn w:val="Normal"/>
    <w:rsid w:val="00E5625F"/>
    <w:pPr>
      <w:widowControl w:val="0"/>
      <w:ind w:left="1418"/>
      <w:jc w:val="left"/>
    </w:pPr>
    <w:rPr>
      <w:rFonts w:eastAsia="Times New Roman"/>
      <w:szCs w:val="20"/>
      <w:lang w:eastAsia="en-GB"/>
    </w:rPr>
  </w:style>
  <w:style w:type="paragraph" w:customStyle="1" w:styleId="CoverReference">
    <w:name w:val="CoverReference"/>
    <w:basedOn w:val="Normal"/>
    <w:rsid w:val="00E5625F"/>
    <w:pPr>
      <w:widowControl w:val="0"/>
      <w:spacing w:before="1080"/>
      <w:jc w:val="right"/>
    </w:pPr>
    <w:rPr>
      <w:rFonts w:ascii="Arial" w:eastAsia="Times New Roman" w:hAnsi="Arial" w:cs="Arial"/>
      <w:b/>
      <w:szCs w:val="20"/>
      <w:lang w:eastAsia="en-GB"/>
    </w:rPr>
  </w:style>
  <w:style w:type="paragraph" w:customStyle="1" w:styleId="CoverDocType">
    <w:name w:val="CoverDocType"/>
    <w:basedOn w:val="Normal"/>
    <w:rsid w:val="00E5625F"/>
    <w:pPr>
      <w:widowControl w:val="0"/>
      <w:ind w:left="1418"/>
      <w:jc w:val="left"/>
    </w:pPr>
    <w:rPr>
      <w:rFonts w:ascii="Arial" w:eastAsia="Times New Roman" w:hAnsi="Arial"/>
      <w:b/>
      <w:sz w:val="48"/>
      <w:szCs w:val="20"/>
      <w:lang w:eastAsia="en-GB"/>
    </w:rPr>
  </w:style>
  <w:style w:type="paragraph" w:customStyle="1" w:styleId="CoverDocType24a">
    <w:name w:val="CoverDocType24a"/>
    <w:basedOn w:val="Normal"/>
    <w:rsid w:val="00E5625F"/>
    <w:pPr>
      <w:widowControl w:val="0"/>
      <w:spacing w:after="480"/>
      <w:ind w:left="1418"/>
      <w:jc w:val="left"/>
    </w:pPr>
    <w:rPr>
      <w:rFonts w:ascii="Arial" w:eastAsia="Times New Roman" w:hAnsi="Arial"/>
      <w:b/>
      <w:sz w:val="48"/>
      <w:szCs w:val="20"/>
      <w:lang w:eastAsia="en-GB"/>
    </w:rPr>
  </w:style>
  <w:style w:type="paragraph" w:customStyle="1" w:styleId="CoverDate">
    <w:name w:val="CoverDate"/>
    <w:basedOn w:val="Normal"/>
    <w:rsid w:val="00E5625F"/>
    <w:pPr>
      <w:widowControl w:val="0"/>
      <w:spacing w:before="240" w:after="1200"/>
      <w:jc w:val="left"/>
    </w:pPr>
    <w:rPr>
      <w:rFonts w:eastAsia="Times New Roman"/>
      <w:szCs w:val="20"/>
      <w:lang w:eastAsia="en-GB"/>
    </w:rPr>
  </w:style>
  <w:style w:type="paragraph" w:customStyle="1" w:styleId="AnnexWPTabs">
    <w:name w:val="AnnexWPTabs"/>
    <w:basedOn w:val="Normal"/>
    <w:rsid w:val="00E5625F"/>
    <w:pPr>
      <w:widowControl w:val="0"/>
      <w:tabs>
        <w:tab w:val="right" w:pos="3686"/>
        <w:tab w:val="left" w:pos="3827"/>
      </w:tabs>
      <w:jc w:val="left"/>
    </w:pPr>
    <w:rPr>
      <w:rFonts w:eastAsia="Times New Roman"/>
      <w:b/>
      <w:szCs w:val="20"/>
      <w:lang w:eastAsia="en-GB"/>
    </w:rPr>
  </w:style>
  <w:style w:type="paragraph" w:customStyle="1" w:styleId="AnnexWPDate">
    <w:name w:val="AnnexWPDate"/>
    <w:basedOn w:val="Normal"/>
    <w:rsid w:val="00E5625F"/>
    <w:pPr>
      <w:widowControl w:val="0"/>
      <w:spacing w:before="240" w:after="480"/>
      <w:jc w:val="right"/>
    </w:pPr>
    <w:rPr>
      <w:rFonts w:eastAsia="Times New Roman"/>
      <w:szCs w:val="20"/>
      <w:lang w:eastAsia="en-GB"/>
    </w:rPr>
  </w:style>
  <w:style w:type="paragraph" w:customStyle="1" w:styleId="AnnexWPSmall">
    <w:name w:val="AnnexWPSmall"/>
    <w:basedOn w:val="Normal"/>
    <w:rsid w:val="00E5625F"/>
    <w:pPr>
      <w:widowControl w:val="0"/>
      <w:jc w:val="left"/>
    </w:pPr>
    <w:rPr>
      <w:rFonts w:eastAsia="Times New Roman"/>
      <w:smallCaps/>
      <w:sz w:val="20"/>
      <w:szCs w:val="20"/>
      <w:lang w:eastAsia="en-GB"/>
    </w:rPr>
  </w:style>
  <w:style w:type="paragraph" w:customStyle="1" w:styleId="AnnexWPDocType">
    <w:name w:val="AnnexWPDocType"/>
    <w:basedOn w:val="Normal"/>
    <w:rsid w:val="00E5625F"/>
    <w:pPr>
      <w:widowControl w:val="0"/>
      <w:spacing w:after="240"/>
      <w:jc w:val="center"/>
    </w:pPr>
    <w:rPr>
      <w:rFonts w:eastAsia="Times New Roman"/>
      <w:b/>
      <w:szCs w:val="20"/>
      <w:lang w:eastAsia="en-GB"/>
    </w:rPr>
  </w:style>
  <w:style w:type="paragraph" w:customStyle="1" w:styleId="AnnexWPTitle">
    <w:name w:val="AnnexWPTitle"/>
    <w:basedOn w:val="Normal"/>
    <w:rsid w:val="00E5625F"/>
    <w:pPr>
      <w:widowControl w:val="0"/>
      <w:spacing w:before="480"/>
      <w:jc w:val="left"/>
    </w:pPr>
    <w:rPr>
      <w:rFonts w:eastAsia="Times New Roman"/>
      <w:b/>
      <w:szCs w:val="20"/>
      <w:lang w:eastAsia="en-GB"/>
    </w:rPr>
  </w:style>
  <w:style w:type="paragraph" w:customStyle="1" w:styleId="AmJustText">
    <w:name w:val="AmJustText"/>
    <w:basedOn w:val="Normal"/>
    <w:rsid w:val="00E5625F"/>
    <w:pPr>
      <w:widowControl w:val="0"/>
      <w:spacing w:after="240"/>
      <w:jc w:val="left"/>
    </w:pPr>
    <w:rPr>
      <w:rFonts w:eastAsia="Times New Roman"/>
      <w:i/>
      <w:szCs w:val="20"/>
      <w:lang w:eastAsia="en-GB"/>
    </w:rPr>
  </w:style>
  <w:style w:type="paragraph" w:customStyle="1" w:styleId="AmCrossRef">
    <w:name w:val="AmCrossRef"/>
    <w:basedOn w:val="Normal"/>
    <w:rsid w:val="00E5625F"/>
    <w:pPr>
      <w:widowControl w:val="0"/>
      <w:spacing w:before="240" w:after="240"/>
      <w:jc w:val="center"/>
    </w:pPr>
    <w:rPr>
      <w:rFonts w:eastAsia="Times New Roman"/>
      <w:i/>
      <w:szCs w:val="20"/>
      <w:lang w:eastAsia="en-GB"/>
    </w:rPr>
  </w:style>
  <w:style w:type="paragraph" w:customStyle="1" w:styleId="AmJustTitle">
    <w:name w:val="AmJustTitle"/>
    <w:basedOn w:val="Normal"/>
    <w:next w:val="AmJustText"/>
    <w:rsid w:val="00E5625F"/>
    <w:pPr>
      <w:keepNext/>
      <w:widowControl w:val="0"/>
      <w:spacing w:before="240" w:after="240"/>
      <w:jc w:val="center"/>
    </w:pPr>
    <w:rPr>
      <w:rFonts w:eastAsia="Times New Roman"/>
      <w:i/>
      <w:szCs w:val="20"/>
      <w:lang w:eastAsia="en-GB"/>
    </w:rPr>
  </w:style>
  <w:style w:type="paragraph" w:customStyle="1" w:styleId="AmOrLang">
    <w:name w:val="AmOrLang"/>
    <w:basedOn w:val="Normal"/>
    <w:rsid w:val="00E5625F"/>
    <w:pPr>
      <w:widowControl w:val="0"/>
      <w:spacing w:before="240" w:after="240"/>
      <w:jc w:val="right"/>
    </w:pPr>
    <w:rPr>
      <w:rFonts w:eastAsia="Times New Roman"/>
      <w:szCs w:val="20"/>
      <w:lang w:eastAsia="en-GB"/>
    </w:rPr>
  </w:style>
  <w:style w:type="paragraph" w:customStyle="1" w:styleId="AmColumnHeading">
    <w:name w:val="AmColumnHeading"/>
    <w:basedOn w:val="Normal"/>
    <w:rsid w:val="00E5625F"/>
    <w:pPr>
      <w:widowControl w:val="0"/>
      <w:spacing w:after="240"/>
      <w:jc w:val="center"/>
    </w:pPr>
    <w:rPr>
      <w:rFonts w:eastAsia="Times New Roman"/>
      <w:i/>
      <w:szCs w:val="20"/>
      <w:lang w:eastAsia="en-GB"/>
    </w:rPr>
  </w:style>
  <w:style w:type="paragraph" w:customStyle="1" w:styleId="AmNumberTabs">
    <w:name w:val="AmNumberTabs"/>
    <w:basedOn w:val="Normal"/>
    <w:link w:val="AmNumberTabsChar"/>
    <w:rsid w:val="00E5625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eastAsia="en-GB"/>
    </w:rPr>
  </w:style>
  <w:style w:type="paragraph" w:customStyle="1" w:styleId="NormalBold12b">
    <w:name w:val="NormalBold12b"/>
    <w:basedOn w:val="Normal"/>
    <w:link w:val="NormalBold12bChar"/>
    <w:rsid w:val="00E5625F"/>
    <w:pPr>
      <w:widowControl w:val="0"/>
      <w:spacing w:before="240"/>
      <w:jc w:val="left"/>
    </w:pPr>
    <w:rPr>
      <w:rFonts w:eastAsia="Times New Roman"/>
      <w:b/>
      <w:szCs w:val="20"/>
      <w:lang w:eastAsia="en-GB"/>
    </w:rPr>
  </w:style>
  <w:style w:type="paragraph" w:customStyle="1" w:styleId="AnnexWPLogo">
    <w:name w:val="AnnexWPLogo"/>
    <w:basedOn w:val="Normal"/>
    <w:rsid w:val="00E5625F"/>
    <w:pPr>
      <w:widowControl w:val="0"/>
      <w:spacing w:before="120" w:after="120"/>
      <w:jc w:val="left"/>
    </w:pPr>
    <w:rPr>
      <w:rFonts w:eastAsia="Times New Roman"/>
      <w:szCs w:val="20"/>
      <w:lang w:eastAsia="en-GB"/>
    </w:rPr>
  </w:style>
  <w:style w:type="paragraph" w:customStyle="1" w:styleId="Lgendesigne">
    <w:name w:val="Légende signe"/>
    <w:basedOn w:val="Normal"/>
    <w:rsid w:val="00E5625F"/>
    <w:pPr>
      <w:widowControl w:val="0"/>
      <w:tabs>
        <w:tab w:val="right" w:pos="454"/>
        <w:tab w:val="left" w:pos="737"/>
      </w:tabs>
      <w:ind w:left="737" w:hanging="737"/>
      <w:jc w:val="left"/>
    </w:pPr>
    <w:rPr>
      <w:rFonts w:eastAsia="Times New Roman"/>
      <w:snapToGrid w:val="0"/>
      <w:sz w:val="18"/>
      <w:szCs w:val="20"/>
    </w:rPr>
  </w:style>
  <w:style w:type="paragraph" w:customStyle="1" w:styleId="Lgendetitre">
    <w:name w:val="Légende titre"/>
    <w:basedOn w:val="Normal"/>
    <w:rsid w:val="00E5625F"/>
    <w:pPr>
      <w:widowControl w:val="0"/>
      <w:spacing w:before="240" w:after="240"/>
      <w:jc w:val="left"/>
    </w:pPr>
    <w:rPr>
      <w:rFonts w:eastAsia="Times New Roman"/>
      <w:b/>
      <w:i/>
      <w:snapToGrid w:val="0"/>
      <w:szCs w:val="20"/>
    </w:rPr>
  </w:style>
  <w:style w:type="paragraph" w:customStyle="1" w:styleId="Lgendestandard">
    <w:name w:val="Légende standard"/>
    <w:basedOn w:val="Normal"/>
    <w:rsid w:val="00E5625F"/>
    <w:pPr>
      <w:widowControl w:val="0"/>
      <w:jc w:val="left"/>
    </w:pPr>
    <w:rPr>
      <w:rFonts w:eastAsia="Times New Roman"/>
      <w:sz w:val="18"/>
      <w:szCs w:val="20"/>
      <w:lang w:eastAsia="en-GB"/>
    </w:rPr>
  </w:style>
  <w:style w:type="paragraph" w:customStyle="1" w:styleId="msonormal0">
    <w:name w:val="msonormal"/>
    <w:basedOn w:val="Normal"/>
    <w:rsid w:val="00E5625F"/>
    <w:pPr>
      <w:spacing w:before="100" w:beforeAutospacing="1" w:after="100" w:afterAutospacing="1"/>
      <w:jc w:val="left"/>
    </w:pPr>
    <w:rPr>
      <w:rFonts w:eastAsia="Times New Roman"/>
      <w:lang w:eastAsia="en-GB"/>
    </w:rPr>
  </w:style>
  <w:style w:type="character" w:customStyle="1" w:styleId="Normal12Char">
    <w:name w:val="Normal12 Char"/>
    <w:link w:val="Normal12"/>
    <w:locked/>
    <w:rsid w:val="00E5625F"/>
    <w:rPr>
      <w:noProof/>
      <w:sz w:val="24"/>
    </w:rPr>
  </w:style>
  <w:style w:type="paragraph" w:customStyle="1" w:styleId="Normal12">
    <w:name w:val="Normal12"/>
    <w:basedOn w:val="Normal"/>
    <w:link w:val="Normal12Char"/>
    <w:rsid w:val="00E5625F"/>
    <w:pPr>
      <w:widowControl w:val="0"/>
      <w:spacing w:after="240"/>
      <w:jc w:val="left"/>
    </w:pPr>
    <w:rPr>
      <w:rFonts w:asciiTheme="minorHAnsi" w:hAnsiTheme="minorHAnsi"/>
      <w:noProof/>
      <w:szCs w:val="22"/>
      <w:lang w:val="en-GB"/>
    </w:rPr>
  </w:style>
  <w:style w:type="paragraph" w:customStyle="1" w:styleId="CommitteeAM">
    <w:name w:val="CommitteeAM"/>
    <w:basedOn w:val="Normal"/>
    <w:rsid w:val="00E5625F"/>
    <w:pPr>
      <w:widowControl w:val="0"/>
      <w:spacing w:before="240" w:after="600"/>
      <w:jc w:val="center"/>
    </w:pPr>
    <w:rPr>
      <w:rFonts w:eastAsia="Times New Roman"/>
      <w:i/>
      <w:szCs w:val="20"/>
      <w:lang w:eastAsia="en-GB"/>
    </w:rPr>
  </w:style>
  <w:style w:type="paragraph" w:customStyle="1" w:styleId="ZDateAM">
    <w:name w:val="ZDateAM"/>
    <w:basedOn w:val="Normal"/>
    <w:rsid w:val="00E5625F"/>
    <w:pPr>
      <w:widowControl w:val="0"/>
      <w:tabs>
        <w:tab w:val="right" w:pos="9356"/>
      </w:tabs>
      <w:spacing w:after="480"/>
      <w:jc w:val="left"/>
    </w:pPr>
    <w:rPr>
      <w:rFonts w:eastAsia="Times New Roman"/>
      <w:noProof/>
      <w:szCs w:val="20"/>
      <w:lang w:eastAsia="en-GB"/>
    </w:rPr>
  </w:style>
  <w:style w:type="paragraph" w:customStyle="1" w:styleId="ProjRap">
    <w:name w:val="ProjRap"/>
    <w:basedOn w:val="Normal"/>
    <w:rsid w:val="00E5625F"/>
    <w:pPr>
      <w:widowControl w:val="0"/>
      <w:tabs>
        <w:tab w:val="right" w:pos="9356"/>
      </w:tabs>
      <w:jc w:val="left"/>
    </w:pPr>
    <w:rPr>
      <w:rFonts w:eastAsia="Times New Roman"/>
      <w:b/>
      <w:noProof/>
      <w:szCs w:val="20"/>
      <w:lang w:eastAsia="en-GB"/>
    </w:rPr>
  </w:style>
  <w:style w:type="paragraph" w:customStyle="1" w:styleId="PELeft">
    <w:name w:val="PELeft"/>
    <w:basedOn w:val="Normal"/>
    <w:rsid w:val="00E5625F"/>
    <w:pPr>
      <w:widowControl w:val="0"/>
      <w:spacing w:before="40" w:after="40"/>
      <w:jc w:val="left"/>
    </w:pPr>
    <w:rPr>
      <w:rFonts w:ascii="Arial" w:eastAsia="Times New Roman" w:hAnsi="Arial" w:cs="Arial"/>
      <w:sz w:val="22"/>
      <w:szCs w:val="22"/>
      <w:lang w:eastAsia="en-GB"/>
    </w:rPr>
  </w:style>
  <w:style w:type="paragraph" w:customStyle="1" w:styleId="PERight">
    <w:name w:val="PERight"/>
    <w:basedOn w:val="Normal"/>
    <w:next w:val="Normal"/>
    <w:rsid w:val="00E5625F"/>
    <w:pPr>
      <w:widowControl w:val="0"/>
      <w:jc w:val="right"/>
    </w:pPr>
    <w:rPr>
      <w:rFonts w:ascii="Arial" w:eastAsia="Times New Roman" w:hAnsi="Arial" w:cs="Arial"/>
      <w:sz w:val="22"/>
      <w:szCs w:val="22"/>
      <w:lang w:eastAsia="en-GB"/>
    </w:rPr>
  </w:style>
  <w:style w:type="character" w:customStyle="1" w:styleId="Normal6Char">
    <w:name w:val="Normal6 Char"/>
    <w:link w:val="Normal6"/>
    <w:locked/>
    <w:rsid w:val="00E5625F"/>
    <w:rPr>
      <w:sz w:val="24"/>
      <w:lang w:val="sl-SI"/>
    </w:rPr>
  </w:style>
  <w:style w:type="paragraph" w:customStyle="1" w:styleId="Normal6">
    <w:name w:val="Normal6"/>
    <w:basedOn w:val="Normal"/>
    <w:link w:val="Normal6Char"/>
    <w:rsid w:val="00E5625F"/>
    <w:pPr>
      <w:widowControl w:val="0"/>
      <w:spacing w:after="120"/>
      <w:jc w:val="left"/>
    </w:pPr>
    <w:rPr>
      <w:rFonts w:asciiTheme="minorHAnsi" w:hAnsiTheme="minorHAnsi"/>
      <w:szCs w:val="22"/>
    </w:rPr>
  </w:style>
  <w:style w:type="paragraph" w:customStyle="1" w:styleId="Normal12Italic">
    <w:name w:val="Normal12Italic"/>
    <w:basedOn w:val="Normal12"/>
    <w:rsid w:val="00E5625F"/>
    <w:rPr>
      <w:i/>
    </w:rPr>
  </w:style>
  <w:style w:type="paragraph" w:customStyle="1" w:styleId="JustificationTitle">
    <w:name w:val="JustificationTitle"/>
    <w:basedOn w:val="Normal"/>
    <w:next w:val="Normal12"/>
    <w:rsid w:val="00E5625F"/>
    <w:pPr>
      <w:keepNext/>
      <w:widowControl w:val="0"/>
      <w:spacing w:before="240" w:after="240"/>
      <w:jc w:val="center"/>
    </w:pPr>
    <w:rPr>
      <w:rFonts w:eastAsia="Times New Roman"/>
      <w:i/>
      <w:noProof/>
      <w:szCs w:val="20"/>
      <w:lang w:eastAsia="en-GB"/>
    </w:rPr>
  </w:style>
  <w:style w:type="paragraph" w:customStyle="1" w:styleId="Olang">
    <w:name w:val="Olang"/>
    <w:basedOn w:val="Normal"/>
    <w:rsid w:val="00E5625F"/>
    <w:pPr>
      <w:widowControl w:val="0"/>
      <w:spacing w:before="240" w:after="240"/>
      <w:jc w:val="right"/>
    </w:pPr>
    <w:rPr>
      <w:rFonts w:eastAsia="Times New Roman"/>
      <w:noProof/>
      <w:lang w:eastAsia="en-GB"/>
    </w:rPr>
  </w:style>
  <w:style w:type="paragraph" w:customStyle="1" w:styleId="ColumnHeading">
    <w:name w:val="ColumnHeading"/>
    <w:basedOn w:val="Normal"/>
    <w:rsid w:val="00E5625F"/>
    <w:pPr>
      <w:widowControl w:val="0"/>
      <w:spacing w:after="240"/>
      <w:jc w:val="center"/>
    </w:pPr>
    <w:rPr>
      <w:rFonts w:eastAsia="Times New Roman"/>
      <w:i/>
      <w:szCs w:val="20"/>
      <w:lang w:eastAsia="en-GB"/>
    </w:rPr>
  </w:style>
  <w:style w:type="paragraph" w:customStyle="1" w:styleId="AMNumberTabs0">
    <w:name w:val="AMNumberTabs"/>
    <w:basedOn w:val="Normal"/>
    <w:rsid w:val="00E5625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eastAsia="en-GB"/>
    </w:rPr>
  </w:style>
  <w:style w:type="paragraph" w:customStyle="1" w:styleId="CrossRef">
    <w:name w:val="CrossRef"/>
    <w:basedOn w:val="Normal"/>
    <w:rsid w:val="00E5625F"/>
    <w:pPr>
      <w:widowControl w:val="0"/>
      <w:spacing w:before="240"/>
      <w:jc w:val="center"/>
    </w:pPr>
    <w:rPr>
      <w:rFonts w:eastAsia="Times New Roman"/>
      <w:i/>
      <w:szCs w:val="20"/>
      <w:lang w:eastAsia="en-GB"/>
    </w:rPr>
  </w:style>
  <w:style w:type="character" w:customStyle="1" w:styleId="Footer2Middle">
    <w:name w:val="Footer2Middle"/>
    <w:rsid w:val="00E5625F"/>
    <w:rPr>
      <w:rFonts w:ascii="Arial" w:hAnsi="Arial" w:cs="Arial" w:hint="default"/>
      <w:b w:val="0"/>
      <w:bCs w:val="0"/>
      <w:i/>
      <w:iCs w:val="0"/>
      <w:color w:val="C0C0C0"/>
      <w:sz w:val="22"/>
    </w:rPr>
  </w:style>
  <w:style w:type="paragraph" w:customStyle="1" w:styleId="EntPE">
    <w:name w:val="EntPE"/>
    <w:basedOn w:val="Normal12"/>
    <w:rsid w:val="00E5625F"/>
    <w:pPr>
      <w:jc w:val="center"/>
    </w:pPr>
    <w:rPr>
      <w:noProof w:val="0"/>
      <w:sz w:val="56"/>
    </w:rPr>
  </w:style>
  <w:style w:type="character" w:styleId="CommentReference">
    <w:name w:val="annotation reference"/>
    <w:basedOn w:val="DefaultParagraphFont"/>
    <w:uiPriority w:val="99"/>
    <w:rsid w:val="00E5625F"/>
    <w:rPr>
      <w:sz w:val="16"/>
      <w:szCs w:val="16"/>
    </w:rPr>
  </w:style>
  <w:style w:type="paragraph" w:styleId="CommentText">
    <w:name w:val="annotation text"/>
    <w:basedOn w:val="Normal"/>
    <w:link w:val="CommentTextChar"/>
    <w:uiPriority w:val="99"/>
    <w:rsid w:val="00E5625F"/>
    <w:pPr>
      <w:widowControl w:val="0"/>
      <w:jc w:val="left"/>
    </w:pPr>
    <w:rPr>
      <w:rFonts w:eastAsia="Times New Roman"/>
      <w:sz w:val="20"/>
      <w:szCs w:val="20"/>
      <w:lang w:eastAsia="en-GB"/>
    </w:rPr>
  </w:style>
  <w:style w:type="character" w:customStyle="1" w:styleId="CommentTextChar">
    <w:name w:val="Comment Text Char"/>
    <w:basedOn w:val="DefaultParagraphFont"/>
    <w:link w:val="CommentText"/>
    <w:uiPriority w:val="99"/>
    <w:rsid w:val="00E5625F"/>
    <w:rPr>
      <w:rFonts w:ascii="Times New Roman" w:eastAsia="Times New Roman" w:hAnsi="Times New Roman"/>
      <w:sz w:val="20"/>
      <w:szCs w:val="20"/>
      <w:lang w:val="sl-SI" w:eastAsia="en-GB"/>
    </w:rPr>
  </w:style>
  <w:style w:type="paragraph" w:styleId="CommentSubject">
    <w:name w:val="annotation subject"/>
    <w:basedOn w:val="CommentText"/>
    <w:next w:val="CommentText"/>
    <w:link w:val="CommentSubjectChar"/>
    <w:uiPriority w:val="99"/>
    <w:unhideWhenUsed/>
    <w:rsid w:val="00E5625F"/>
    <w:rPr>
      <w:b/>
      <w:bCs/>
    </w:rPr>
  </w:style>
  <w:style w:type="character" w:customStyle="1" w:styleId="CommentSubjectChar">
    <w:name w:val="Comment Subject Char"/>
    <w:basedOn w:val="CommentTextChar"/>
    <w:link w:val="CommentSubject"/>
    <w:uiPriority w:val="99"/>
    <w:rsid w:val="00E5625F"/>
    <w:rPr>
      <w:rFonts w:ascii="Times New Roman" w:eastAsia="Times New Roman" w:hAnsi="Times New Roman"/>
      <w:b/>
      <w:bCs/>
      <w:sz w:val="20"/>
      <w:szCs w:val="20"/>
      <w:lang w:val="sl-SI" w:eastAsia="en-GB"/>
    </w:rPr>
  </w:style>
  <w:style w:type="paragraph" w:styleId="BalloonText">
    <w:name w:val="Balloon Text"/>
    <w:basedOn w:val="Normal"/>
    <w:link w:val="BalloonTextChar"/>
    <w:uiPriority w:val="99"/>
    <w:unhideWhenUsed/>
    <w:rsid w:val="00E5625F"/>
    <w:pPr>
      <w:widowControl w:val="0"/>
      <w:jc w:val="left"/>
    </w:pPr>
    <w:rPr>
      <w:rFonts w:ascii="Segoe UI" w:eastAsia="Times New Roman" w:hAnsi="Segoe UI" w:cs="Segoe UI"/>
      <w:sz w:val="18"/>
      <w:szCs w:val="18"/>
      <w:lang w:eastAsia="en-GB"/>
    </w:rPr>
  </w:style>
  <w:style w:type="character" w:customStyle="1" w:styleId="BalloonTextChar">
    <w:name w:val="Balloon Text Char"/>
    <w:basedOn w:val="DefaultParagraphFont"/>
    <w:link w:val="BalloonText"/>
    <w:uiPriority w:val="99"/>
    <w:rsid w:val="00E5625F"/>
    <w:rPr>
      <w:rFonts w:ascii="Segoe UI" w:eastAsia="Times New Roman" w:hAnsi="Segoe UI" w:cs="Segoe UI"/>
      <w:sz w:val="18"/>
      <w:szCs w:val="18"/>
      <w:lang w:val="sl-SI" w:eastAsia="en-GB"/>
    </w:rPr>
  </w:style>
  <w:style w:type="character" w:customStyle="1" w:styleId="PageHeadingChar">
    <w:name w:val="PageHeading Char"/>
    <w:basedOn w:val="DefaultParagraphFont"/>
    <w:link w:val="PageHeading"/>
    <w:rsid w:val="00E5625F"/>
    <w:rPr>
      <w:rFonts w:ascii="Arial" w:eastAsia="Times New Roman" w:hAnsi="Arial" w:cs="Arial"/>
      <w:b/>
      <w:sz w:val="24"/>
      <w:szCs w:val="20"/>
      <w:lang w:val="sl-SI" w:eastAsia="en-GB"/>
    </w:rPr>
  </w:style>
  <w:style w:type="character" w:customStyle="1" w:styleId="EPFooter2Char">
    <w:name w:val="EPFooter2 Char"/>
    <w:basedOn w:val="PageHeadingChar"/>
    <w:link w:val="EPFooter2"/>
    <w:rsid w:val="00E5625F"/>
    <w:rPr>
      <w:rFonts w:ascii="Arial" w:eastAsia="Times New Roman" w:hAnsi="Arial" w:cs="Arial"/>
      <w:b/>
      <w:sz w:val="48"/>
      <w:szCs w:val="20"/>
      <w:lang w:val="sl-SI" w:eastAsia="en-GB"/>
    </w:rPr>
  </w:style>
  <w:style w:type="character" w:customStyle="1" w:styleId="EPFooterChar">
    <w:name w:val="EPFooter Char"/>
    <w:basedOn w:val="PageHeadingChar"/>
    <w:link w:val="EPFooter"/>
    <w:rsid w:val="00E5625F"/>
    <w:rPr>
      <w:rFonts w:ascii="Times New Roman" w:eastAsia="Times New Roman" w:hAnsi="Times New Roman" w:cs="Arial"/>
      <w:b w:val="0"/>
      <w:sz w:val="24"/>
      <w:szCs w:val="20"/>
      <w:lang w:val="sl-SI" w:eastAsia="en-GB"/>
    </w:rPr>
  </w:style>
  <w:style w:type="paragraph" w:customStyle="1" w:styleId="RollCallVotes">
    <w:name w:val="RollCallVotes"/>
    <w:basedOn w:val="Normal"/>
    <w:rsid w:val="00E5625F"/>
    <w:pPr>
      <w:widowControl w:val="0"/>
      <w:spacing w:before="120" w:after="120"/>
      <w:jc w:val="center"/>
    </w:pPr>
    <w:rPr>
      <w:rFonts w:eastAsia="Times New Roman"/>
      <w:b/>
      <w:bCs/>
      <w:snapToGrid w:val="0"/>
      <w:sz w:val="16"/>
      <w:szCs w:val="20"/>
    </w:rPr>
  </w:style>
  <w:style w:type="paragraph" w:customStyle="1" w:styleId="RollCallTabs">
    <w:name w:val="RollCallTabs"/>
    <w:basedOn w:val="Normal"/>
    <w:qFormat/>
    <w:rsid w:val="00E5625F"/>
    <w:pPr>
      <w:widowControl w:val="0"/>
      <w:tabs>
        <w:tab w:val="center" w:pos="284"/>
        <w:tab w:val="left" w:pos="426"/>
      </w:tabs>
      <w:jc w:val="left"/>
    </w:pPr>
    <w:rPr>
      <w:rFonts w:eastAsia="Times New Roman"/>
      <w:snapToGrid w:val="0"/>
      <w:szCs w:val="20"/>
    </w:rPr>
  </w:style>
  <w:style w:type="paragraph" w:customStyle="1" w:styleId="RollCallSymbols14pt">
    <w:name w:val="RollCallSymbols14pt"/>
    <w:basedOn w:val="Normal"/>
    <w:rsid w:val="00E5625F"/>
    <w:pPr>
      <w:widowControl w:val="0"/>
      <w:spacing w:before="120" w:after="120"/>
      <w:jc w:val="center"/>
    </w:pPr>
    <w:rPr>
      <w:rFonts w:ascii="Arial" w:eastAsia="Times New Roman" w:hAnsi="Arial"/>
      <w:b/>
      <w:bCs/>
      <w:snapToGrid w:val="0"/>
      <w:sz w:val="28"/>
      <w:szCs w:val="20"/>
    </w:rPr>
  </w:style>
  <w:style w:type="paragraph" w:customStyle="1" w:styleId="RollCallTable">
    <w:name w:val="RollCallTable"/>
    <w:basedOn w:val="Normal"/>
    <w:rsid w:val="00E5625F"/>
    <w:pPr>
      <w:widowControl w:val="0"/>
      <w:spacing w:before="120" w:after="120"/>
      <w:jc w:val="left"/>
    </w:pPr>
    <w:rPr>
      <w:rFonts w:eastAsia="Times New Roman"/>
      <w:snapToGrid w:val="0"/>
      <w:sz w:val="16"/>
      <w:szCs w:val="20"/>
    </w:rPr>
  </w:style>
  <w:style w:type="character" w:customStyle="1" w:styleId="AmNumberTabsChar">
    <w:name w:val="AmNumberTabs Char"/>
    <w:basedOn w:val="DefaultParagraphFont"/>
    <w:link w:val="AmNumberTabs"/>
    <w:rsid w:val="00E5625F"/>
    <w:rPr>
      <w:rFonts w:ascii="Times New Roman" w:eastAsia="Times New Roman" w:hAnsi="Times New Roman"/>
      <w:b/>
      <w:sz w:val="24"/>
      <w:szCs w:val="20"/>
      <w:lang w:val="sl-SI" w:eastAsia="en-GB"/>
    </w:rPr>
  </w:style>
  <w:style w:type="character" w:customStyle="1" w:styleId="NormalBold12bChar">
    <w:name w:val="NormalBold12b Char"/>
    <w:basedOn w:val="AmNumberTabsChar"/>
    <w:link w:val="NormalBold12b"/>
    <w:rsid w:val="00E5625F"/>
    <w:rPr>
      <w:rFonts w:ascii="Times New Roman" w:eastAsia="Times New Roman" w:hAnsi="Times New Roman"/>
      <w:b/>
      <w:sz w:val="24"/>
      <w:szCs w:val="20"/>
      <w:lang w:val="sl-SI" w:eastAsia="en-GB"/>
    </w:rPr>
  </w:style>
  <w:style w:type="paragraph" w:customStyle="1" w:styleId="PageHeadingNotTOC">
    <w:name w:val="PageHeadingNotTOC"/>
    <w:basedOn w:val="Normal"/>
    <w:rsid w:val="00E5625F"/>
    <w:pPr>
      <w:keepNext/>
      <w:widowControl w:val="0"/>
      <w:spacing w:after="480"/>
      <w:jc w:val="center"/>
    </w:pPr>
    <w:rPr>
      <w:rFonts w:ascii="Arial" w:eastAsia="Times New Roman" w:hAnsi="Arial" w:cs="Arial"/>
      <w:b/>
      <w:szCs w:val="20"/>
      <w:lang w:eastAsia="en-GB"/>
    </w:rPr>
  </w:style>
  <w:style w:type="paragraph" w:customStyle="1" w:styleId="AmHeadingPA">
    <w:name w:val="AmHeadingPA"/>
    <w:basedOn w:val="Normal"/>
    <w:next w:val="Normal"/>
    <w:rsid w:val="00E5625F"/>
    <w:pPr>
      <w:widowControl w:val="0"/>
      <w:spacing w:before="480" w:after="240"/>
      <w:jc w:val="center"/>
    </w:pPr>
    <w:rPr>
      <w:rFonts w:ascii="Arial" w:eastAsia="Times New Roman" w:hAnsi="Arial"/>
      <w:b/>
      <w:caps/>
      <w:snapToGrid w:val="0"/>
    </w:rPr>
  </w:style>
  <w:style w:type="character" w:customStyle="1" w:styleId="Sup">
    <w:name w:val="Sup"/>
    <w:uiPriority w:val="1"/>
    <w:qFormat/>
    <w:rsid w:val="00E5625F"/>
    <w:rPr>
      <w:vertAlign w:val="superscript"/>
    </w:rPr>
  </w:style>
  <w:style w:type="character" w:customStyle="1" w:styleId="Hyperlink1">
    <w:name w:val="Hyperlink1"/>
    <w:basedOn w:val="DefaultParagraphFont"/>
    <w:uiPriority w:val="99"/>
    <w:rsid w:val="00E5625F"/>
    <w:rPr>
      <w:color w:val="0563C1"/>
      <w:u w:val="single"/>
    </w:rPr>
  </w:style>
  <w:style w:type="paragraph" w:customStyle="1" w:styleId="LetterSalutation">
    <w:name w:val="LetterSalutation"/>
    <w:basedOn w:val="Normal"/>
    <w:rsid w:val="00E5625F"/>
    <w:pPr>
      <w:widowControl w:val="0"/>
      <w:spacing w:before="600" w:after="360"/>
      <w:jc w:val="left"/>
    </w:pPr>
    <w:rPr>
      <w:rFonts w:eastAsia="Times New Roman"/>
      <w:szCs w:val="20"/>
      <w:lang w:eastAsia="en-GB"/>
    </w:rPr>
  </w:style>
  <w:style w:type="paragraph" w:customStyle="1" w:styleId="LetterSubject">
    <w:name w:val="LetterSubject"/>
    <w:basedOn w:val="Normal"/>
    <w:rsid w:val="00E5625F"/>
    <w:pPr>
      <w:widowControl w:val="0"/>
      <w:spacing w:before="480"/>
      <w:ind w:left="1134" w:hanging="1134"/>
      <w:jc w:val="left"/>
    </w:pPr>
    <w:rPr>
      <w:rFonts w:eastAsia="Times New Roman"/>
      <w:szCs w:val="20"/>
      <w:lang w:eastAsia="en-GB"/>
    </w:rPr>
  </w:style>
  <w:style w:type="character" w:customStyle="1" w:styleId="Normal24aChar">
    <w:name w:val="Normal24a Char"/>
    <w:basedOn w:val="DefaultParagraphFont"/>
    <w:link w:val="Normal24a"/>
    <w:rsid w:val="00E5625F"/>
    <w:rPr>
      <w:rFonts w:ascii="Times New Roman" w:eastAsia="Times New Roman" w:hAnsi="Times New Roman"/>
      <w:sz w:val="24"/>
      <w:szCs w:val="20"/>
      <w:lang w:val="sl-SI" w:eastAsia="en-GB"/>
    </w:rPr>
  </w:style>
  <w:style w:type="paragraph" w:customStyle="1" w:styleId="CoverBold">
    <w:name w:val="CoverBold"/>
    <w:basedOn w:val="Normal"/>
    <w:rsid w:val="00E5625F"/>
    <w:pPr>
      <w:widowControl w:val="0"/>
      <w:ind w:left="1417"/>
      <w:jc w:val="left"/>
    </w:pPr>
    <w:rPr>
      <w:rFonts w:eastAsia="Times New Roman"/>
      <w:b/>
      <w:szCs w:val="20"/>
      <w:lang w:eastAsia="en-GB"/>
    </w:rPr>
  </w:style>
  <w:style w:type="paragraph" w:customStyle="1" w:styleId="Normal2">
    <w:name w:val="Normal2"/>
    <w:basedOn w:val="Normal"/>
    <w:qFormat/>
    <w:rsid w:val="00E5625F"/>
    <w:pPr>
      <w:widowControl w:val="0"/>
      <w:spacing w:line="120" w:lineRule="auto"/>
      <w:jc w:val="left"/>
    </w:pPr>
    <w:rPr>
      <w:rFonts w:eastAsia="Times New Roman"/>
      <w:sz w:val="4"/>
      <w:szCs w:val="20"/>
      <w:lang w:eastAsia="en-GB"/>
    </w:rPr>
  </w:style>
  <w:style w:type="paragraph" w:customStyle="1" w:styleId="NormalItalic6a">
    <w:name w:val="NormalItalic6a"/>
    <w:basedOn w:val="Normal6a"/>
    <w:qFormat/>
    <w:rsid w:val="00E5625F"/>
    <w:rPr>
      <w:i/>
    </w:rPr>
  </w:style>
  <w:style w:type="paragraph" w:customStyle="1" w:styleId="NormalBoldItalic6a">
    <w:name w:val="NormalBoldItalic6a"/>
    <w:basedOn w:val="Normal6a"/>
    <w:qFormat/>
    <w:rsid w:val="00E5625F"/>
    <w:rPr>
      <w:b/>
      <w:i/>
    </w:rPr>
  </w:style>
  <w:style w:type="paragraph" w:customStyle="1" w:styleId="NormalBoldItalicCenter6a">
    <w:name w:val="NormalBoldItalicCenter6a"/>
    <w:basedOn w:val="Normal6a"/>
    <w:qFormat/>
    <w:rsid w:val="00E5625F"/>
    <w:pPr>
      <w:jc w:val="center"/>
    </w:pPr>
    <w:rPr>
      <w:b/>
      <w:i/>
    </w:rPr>
  </w:style>
  <w:style w:type="paragraph" w:customStyle="1" w:styleId="AnnexRight">
    <w:name w:val="AnnexRight"/>
    <w:basedOn w:val="Normal"/>
    <w:rsid w:val="00E5625F"/>
    <w:pPr>
      <w:widowControl w:val="0"/>
      <w:spacing w:after="480"/>
      <w:jc w:val="right"/>
    </w:pPr>
    <w:rPr>
      <w:rFonts w:eastAsia="Times New Roman"/>
      <w:szCs w:val="20"/>
      <w:lang w:eastAsia="en-GB"/>
    </w:rPr>
  </w:style>
  <w:style w:type="paragraph" w:styleId="Footer">
    <w:name w:val="footer"/>
    <w:basedOn w:val="Normal"/>
    <w:link w:val="FooterChar"/>
    <w:uiPriority w:val="99"/>
    <w:rsid w:val="00E5625F"/>
    <w:pPr>
      <w:widowControl w:val="0"/>
      <w:tabs>
        <w:tab w:val="center" w:pos="4513"/>
        <w:tab w:val="right" w:pos="9026"/>
      </w:tabs>
      <w:jc w:val="left"/>
    </w:pPr>
    <w:rPr>
      <w:rFonts w:eastAsia="Times New Roman"/>
      <w:szCs w:val="20"/>
      <w:lang w:eastAsia="en-GB"/>
    </w:rPr>
  </w:style>
  <w:style w:type="character" w:customStyle="1" w:styleId="FooterChar">
    <w:name w:val="Footer Char"/>
    <w:basedOn w:val="DefaultParagraphFont"/>
    <w:link w:val="Footer"/>
    <w:uiPriority w:val="99"/>
    <w:rsid w:val="00E5625F"/>
    <w:rPr>
      <w:rFonts w:ascii="Times New Roman" w:eastAsia="Times New Roman" w:hAnsi="Times New Roman"/>
      <w:sz w:val="24"/>
      <w:szCs w:val="20"/>
      <w:lang w:val="sl-SI" w:eastAsia="en-GB"/>
    </w:rPr>
  </w:style>
  <w:style w:type="paragraph" w:customStyle="1" w:styleId="AmDocTypeTab">
    <w:name w:val="AmDocTypeTab"/>
    <w:basedOn w:val="Normal"/>
    <w:rsid w:val="00E5625F"/>
    <w:pPr>
      <w:widowControl w:val="0"/>
      <w:tabs>
        <w:tab w:val="right" w:pos="9072"/>
      </w:tabs>
      <w:jc w:val="left"/>
    </w:pPr>
    <w:rPr>
      <w:rFonts w:eastAsia="Times New Roman"/>
      <w:b/>
      <w:szCs w:val="20"/>
      <w:lang w:eastAsia="en-GB"/>
    </w:rPr>
  </w:style>
  <w:style w:type="paragraph" w:customStyle="1" w:styleId="NormalCenter12a">
    <w:name w:val="NormalCenter12a"/>
    <w:basedOn w:val="Normal"/>
    <w:rsid w:val="00E5625F"/>
    <w:pPr>
      <w:widowControl w:val="0"/>
      <w:spacing w:after="240"/>
      <w:jc w:val="center"/>
    </w:pPr>
    <w:rPr>
      <w:rFonts w:eastAsia="Times New Roman"/>
      <w:szCs w:val="20"/>
      <w:lang w:eastAsia="en-GB"/>
    </w:rPr>
  </w:style>
  <w:style w:type="paragraph" w:customStyle="1" w:styleId="AmDateTab">
    <w:name w:val="AmDateTab"/>
    <w:basedOn w:val="Normal"/>
    <w:rsid w:val="00E5625F"/>
    <w:pPr>
      <w:widowControl w:val="0"/>
      <w:tabs>
        <w:tab w:val="right" w:pos="9072"/>
      </w:tabs>
      <w:jc w:val="left"/>
    </w:pPr>
    <w:rPr>
      <w:rFonts w:eastAsia="Times New Roman"/>
      <w:szCs w:val="20"/>
      <w:lang w:eastAsia="en-GB"/>
    </w:rPr>
  </w:style>
  <w:style w:type="paragraph" w:customStyle="1" w:styleId="AmHeadingConsam">
    <w:name w:val="AmHeadingConsam"/>
    <w:basedOn w:val="Normal"/>
    <w:next w:val="NormalCenter12a"/>
    <w:rsid w:val="00E5625F"/>
    <w:pPr>
      <w:widowControl w:val="0"/>
      <w:spacing w:before="720" w:after="240"/>
      <w:jc w:val="center"/>
    </w:pPr>
    <w:rPr>
      <w:rFonts w:eastAsia="Times New Roman"/>
      <w:szCs w:val="20"/>
      <w:lang w:eastAsia="en-GB"/>
    </w:rPr>
  </w:style>
  <w:style w:type="paragraph" w:customStyle="1" w:styleId="Typedudocument">
    <w:name w:val="Type du document"/>
    <w:basedOn w:val="Normal"/>
    <w:next w:val="Normal"/>
    <w:rsid w:val="00E5625F"/>
    <w:pPr>
      <w:spacing w:before="360" w:line="360" w:lineRule="auto"/>
      <w:jc w:val="center"/>
    </w:pPr>
    <w:rPr>
      <w:b/>
      <w:szCs w:val="22"/>
    </w:rPr>
  </w:style>
  <w:style w:type="paragraph" w:customStyle="1" w:styleId="SectionTitle">
    <w:name w:val="SectionTitle"/>
    <w:basedOn w:val="Normal"/>
    <w:next w:val="Heading1"/>
    <w:rsid w:val="00E5625F"/>
    <w:pPr>
      <w:keepNext/>
      <w:spacing w:before="120" w:after="360"/>
      <w:jc w:val="center"/>
    </w:pPr>
    <w:rPr>
      <w:rFonts w:eastAsia="Calibri"/>
      <w:b/>
      <w:smallCaps/>
      <w:sz w:val="28"/>
      <w:szCs w:val="22"/>
    </w:rPr>
  </w:style>
  <w:style w:type="paragraph" w:customStyle="1" w:styleId="Titreobjet">
    <w:name w:val="Titre objet"/>
    <w:basedOn w:val="Normal"/>
    <w:next w:val="Normal"/>
    <w:rsid w:val="00E5625F"/>
    <w:pPr>
      <w:spacing w:before="360" w:after="360" w:line="360" w:lineRule="auto"/>
      <w:jc w:val="center"/>
    </w:pPr>
    <w:rPr>
      <w:rFonts w:eastAsia="Times New Roman"/>
      <w:b/>
    </w:rPr>
  </w:style>
  <w:style w:type="paragraph" w:customStyle="1" w:styleId="IntrtEEE">
    <w:name w:val="Intérêt EEE"/>
    <w:basedOn w:val="Normal"/>
    <w:next w:val="Normal"/>
    <w:rsid w:val="00E5625F"/>
    <w:pPr>
      <w:spacing w:before="360" w:after="240" w:line="360" w:lineRule="auto"/>
      <w:jc w:val="center"/>
    </w:pPr>
    <w:rPr>
      <w:rFonts w:eastAsia="Times New Roman"/>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E5625F"/>
    <w:pPr>
      <w:spacing w:after="160" w:line="240" w:lineRule="exact"/>
      <w:jc w:val="left"/>
    </w:pPr>
    <w:rPr>
      <w:rFonts w:asciiTheme="minorHAnsi" w:hAnsiTheme="minorHAnsi"/>
      <w:sz w:val="22"/>
      <w:szCs w:val="22"/>
      <w:vertAlign w:val="superscript"/>
      <w:lang w:val="en-GB"/>
    </w:rPr>
  </w:style>
  <w:style w:type="paragraph" w:customStyle="1" w:styleId="Rfrenceinterinstitutionelle">
    <w:name w:val="Référence interinstitutionelle"/>
    <w:basedOn w:val="Normal"/>
    <w:next w:val="Normal"/>
    <w:rsid w:val="00E5625F"/>
    <w:pPr>
      <w:spacing w:line="360" w:lineRule="auto"/>
      <w:ind w:left="5103"/>
      <w:jc w:val="left"/>
    </w:pPr>
    <w:rPr>
      <w:szCs w:val="22"/>
      <w:lang w:val="en-GB"/>
    </w:rPr>
  </w:style>
  <w:style w:type="paragraph" w:customStyle="1" w:styleId="Datedadoption">
    <w:name w:val="Date d'adoption"/>
    <w:basedOn w:val="Normal"/>
    <w:next w:val="Titreobjet"/>
    <w:rsid w:val="00E5625F"/>
    <w:pPr>
      <w:spacing w:before="360" w:line="360" w:lineRule="auto"/>
      <w:jc w:val="center"/>
    </w:pPr>
    <w:rPr>
      <w:b/>
      <w:szCs w:val="22"/>
      <w:lang w:val="en-GB"/>
    </w:rPr>
  </w:style>
  <w:style w:type="paragraph" w:styleId="Revision">
    <w:name w:val="Revision"/>
    <w:hidden/>
    <w:uiPriority w:val="99"/>
    <w:semiHidden/>
    <w:rsid w:val="00E5625F"/>
    <w:rPr>
      <w:rFonts w:ascii="Times New Roman" w:eastAsia="Times New Roman" w:hAnsi="Times New Roman"/>
      <w:sz w:val="24"/>
      <w:szCs w:val="20"/>
      <w:lang w:val="sl-SI" w:eastAsia="en-GB"/>
    </w:rPr>
  </w:style>
  <w:style w:type="character" w:customStyle="1" w:styleId="UnresolvedMention1">
    <w:name w:val="Unresolved Mention1"/>
    <w:basedOn w:val="DefaultParagraphFont"/>
    <w:uiPriority w:val="99"/>
    <w:semiHidden/>
    <w:unhideWhenUsed/>
    <w:rsid w:val="00E5625F"/>
    <w:rPr>
      <w:color w:val="605E5C"/>
      <w:shd w:val="clear" w:color="auto" w:fill="E1DFDD"/>
    </w:rPr>
  </w:style>
  <w:style w:type="character" w:customStyle="1" w:styleId="FollowedHyperlink1">
    <w:name w:val="FollowedHyperlink1"/>
    <w:basedOn w:val="DefaultParagraphFont"/>
    <w:rsid w:val="00E5625F"/>
    <w:rPr>
      <w:color w:val="954F72"/>
      <w:u w:val="single"/>
    </w:rPr>
  </w:style>
  <w:style w:type="character" w:styleId="Hyperlink">
    <w:name w:val="Hyperlink"/>
    <w:basedOn w:val="DefaultParagraphFont"/>
    <w:uiPriority w:val="99"/>
    <w:semiHidden/>
    <w:unhideWhenUsed/>
    <w:rsid w:val="00E5625F"/>
    <w:rPr>
      <w:color w:val="0563C1" w:themeColor="hyperlink"/>
      <w:u w:val="single"/>
    </w:rPr>
  </w:style>
  <w:style w:type="character" w:styleId="FollowedHyperlink">
    <w:name w:val="FollowedHyperlink"/>
    <w:basedOn w:val="DefaultParagraphFont"/>
    <w:uiPriority w:val="99"/>
    <w:semiHidden/>
    <w:unhideWhenUsed/>
    <w:rsid w:val="00E562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6743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 Anita</dc:creator>
  <cp:keywords/>
  <dc:description/>
  <cp:lastModifiedBy>GOROPECNIK Tina</cp:lastModifiedBy>
  <cp:revision>2</cp:revision>
  <dcterms:created xsi:type="dcterms:W3CDTF">2024-12-04T09:08:00Z</dcterms:created>
  <dcterms:modified xsi:type="dcterms:W3CDTF">2024-12-04T09:08:00Z</dcterms:modified>
</cp:coreProperties>
</file>