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P9_TA(2024)0164</w:t>
      </w:r>
      <w:bookmarkEnd w:id="0"/>
    </w:p>
    <w:p>
      <w:pPr>
        <w:pStyle w:val="ATHeading2"/>
      </w:pPr>
      <w:bookmarkStart w:id="1" w:name="title"/>
      <w:r>
        <w:t>Priemyselné vlastníctvo: ochrana dizajnov Spoločenstva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A9-0315/2023</w:instrText>
      </w:r>
      <w:bookmarkEnd w:id="2"/>
      <w:r>
        <w:rPr>
          <w:i/>
        </w:rPr>
        <w:instrText xml:space="preserve"> - Spravodajca: Gilles Lebreton)"\l3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právne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PE749.960</w:t>
      </w:r>
      <w:bookmarkEnd w:id="4"/>
    </w:p>
    <w:p>
      <w:pPr>
        <w:pStyle w:val="ATHeading3"/>
      </w:pPr>
      <w:bookmarkStart w:id="5" w:name="Sujet"/>
      <w:r>
        <w:t>Legislatívne uznesenie Európskeho parlamentu zo 14. marca 2024 o návrhu nariadenia Európskeho parlamentu a Rady, ktorým sa mení nariadenie Rady (ES) č. 6/2002 o dizajnoch Spoločenstva a zrušuje nariadenie Komisie (ES) č. 2246/2002</w:t>
      </w:r>
      <w:bookmarkEnd w:id="5"/>
      <w:r>
        <w:t xml:space="preserve"> </w:t>
      </w:r>
      <w:bookmarkStart w:id="6" w:name="References"/>
      <w:r>
        <w:t>(COM(2022)0666 – C9-0394/2022 – 2022/0391(COD))</w:t>
      </w:r>
      <w:bookmarkEnd w:id="6"/>
    </w:p>
    <w:p/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(COM(2022)0666),</w:t>
      </w:r>
    </w:p>
    <w:p>
      <w:pPr>
        <w:pStyle w:val="NormalHanging12a"/>
      </w:pPr>
      <w:r>
        <w:t>–</w:t>
      </w:r>
      <w:r>
        <w:tab/>
        <w:t>so zreteľom na článok 294 ods. 2 a článok 118 ods. 1 Zmluvy o fungovaní Európskej únie, v súlade s ktorými Komisia predložila návrh Európskemu parlamentu (C9</w:t>
      </w:r>
      <w:r>
        <w:noBreakHyphen/>
        <w:t>0394/2022),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</w:pPr>
      <w:r>
        <w:t>–</w:t>
      </w:r>
      <w:r>
        <w:tab/>
        <w:t>so zreteľom na stanovisko Európskeho hospodárskeho a sociálneho výboru z 22. marca 2023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 20. decembra 2023,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 článok 59 rokovacieho poriadku,</w:t>
      </w:r>
    </w:p>
    <w:p>
      <w:pPr>
        <w:pStyle w:val="NormalHanging12a"/>
      </w:pPr>
      <w:r>
        <w:t>–</w:t>
      </w:r>
      <w:r>
        <w:tab/>
        <w:t>so zreteľom na správu Výboru pre právne veci (A9-0315/2023),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 xml:space="preserve">žiada Komisiu, aby mu vec znovu predložila, ak nahrádza, podstatne mení alebo má v </w:t>
      </w:r>
      <w:r>
        <w:lastRenderedPageBreak/>
        <w:t>úmysle podstatne zmeniť svoj návrh;</w:t>
      </w:r>
    </w:p>
    <w:p>
      <w:pPr>
        <w:pStyle w:val="NormalHanging12a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3.</w:t>
      </w:r>
      <w:r>
        <w:tab/>
        <w:t>poveruje svoju predsedníčku, aby postúpila túto pozíciu Rade, Komisii a národným parlamentom.</w:t>
      </w:r>
    </w:p>
    <w:p>
      <w:pPr>
        <w:pStyle w:val="Institutionquiagit"/>
        <w:keepNext w:val="0"/>
        <w:spacing w:before="120"/>
        <w:jc w:val="left"/>
        <w:outlineLvl w:val="0"/>
        <w:rPr>
          <w:b/>
        </w:rPr>
      </w:pPr>
      <w:r>
        <w:rPr>
          <w:b/>
        </w:rPr>
        <w:lastRenderedPageBreak/>
        <w:t>P9_TC1-COD(2022)0391</w:t>
      </w:r>
    </w:p>
    <w:p>
      <w:pPr>
        <w:pStyle w:val="NormalHanging12a"/>
        <w:ind w:left="0" w:firstLine="0"/>
        <w:rPr>
          <w:b/>
        </w:rPr>
      </w:pPr>
      <w:r>
        <w:rPr>
          <w:b/>
        </w:rPr>
        <w:t>Pozícia Európskeho parlamentu prijatá v prvom čítaní 14. marca 2024 na účely prijatia nariadenia Európskeho parlamentu a Rady (EÚ) 2024/..., ktorým sa mení nariadenie Rady (ES) č. 6/2002 o dizajnoch Spoločenstva a zrušuje nariadenie Komisie (ES) č. 2246/2002</w:t>
      </w: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nariadeniu </w:t>
      </w:r>
      <w:r>
        <w:rPr>
          <w:i/>
          <w:iCs/>
        </w:rPr>
        <w:t>(EÚ) 2024/2822</w:t>
      </w:r>
      <w:bookmarkStart w:id="8" w:name="_GoBack"/>
      <w:bookmarkEnd w:id="8"/>
      <w:r>
        <w:rPr>
          <w:i/>
          <w:iCs/>
        </w:rPr>
        <w:t>.)</w:t>
      </w:r>
    </w:p>
    <w:p>
      <w:pPr>
        <w:pStyle w:val="NormalHanging12a"/>
        <w:ind w:left="0" w:firstLine="0"/>
        <w:rPr>
          <w:b/>
          <w:bCs/>
        </w:rPr>
      </w:pPr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851" w:hanging="851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 v. EÚ C 184, 25.5.2023, s. 39.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25"/>
    <w:lvlOverride w:ilvl="0">
      <w:startOverride w:val="1"/>
    </w:lvlOverride>
  </w:num>
  <w:num w:numId="9">
    <w:abstractNumId w:val="36"/>
    <w:lvlOverride w:ilvl="0">
      <w:startOverride w:val="1"/>
    </w:lvlOverride>
  </w:num>
  <w:num w:numId="10">
    <w:abstractNumId w:val="15"/>
  </w:num>
  <w:num w:numId="11">
    <w:abstractNumId w:val="27"/>
  </w:num>
  <w:num w:numId="12">
    <w:abstractNumId w:val="1"/>
  </w:num>
  <w:num w:numId="13">
    <w:abstractNumId w:val="28"/>
  </w:num>
  <w:num w:numId="14">
    <w:abstractNumId w:val="23"/>
  </w:num>
  <w:num w:numId="15">
    <w:abstractNumId w:val="3"/>
  </w:num>
  <w:num w:numId="16">
    <w:abstractNumId w:val="30"/>
  </w:num>
  <w:num w:numId="17">
    <w:abstractNumId w:val="35"/>
  </w:num>
  <w:num w:numId="18">
    <w:abstractNumId w:val="19"/>
  </w:num>
  <w:num w:numId="19">
    <w:abstractNumId w:val="29"/>
  </w:num>
  <w:num w:numId="20">
    <w:abstractNumId w:val="24"/>
  </w:num>
  <w:num w:numId="21">
    <w:abstractNumId w:val="16"/>
  </w:num>
  <w:num w:numId="22">
    <w:abstractNumId w:val="7"/>
  </w:num>
  <w:num w:numId="23">
    <w:abstractNumId w:val="5"/>
  </w:num>
  <w:num w:numId="24">
    <w:abstractNumId w:val="26"/>
  </w:num>
  <w:num w:numId="25">
    <w:abstractNumId w:val="31"/>
  </w:num>
  <w:num w:numId="26">
    <w:abstractNumId w:val="0"/>
  </w:num>
  <w:num w:numId="27">
    <w:abstractNumId w:val="9"/>
  </w:num>
  <w:num w:numId="28">
    <w:abstractNumId w:val="4"/>
  </w:num>
  <w:num w:numId="29">
    <w:abstractNumId w:val="10"/>
  </w:num>
  <w:num w:numId="30">
    <w:abstractNumId w:val="20"/>
  </w:num>
  <w:num w:numId="31">
    <w:abstractNumId w:val="12"/>
  </w:num>
  <w:num w:numId="32">
    <w:abstractNumId w:val="13"/>
  </w:num>
  <w:num w:numId="33">
    <w:abstractNumId w:val="18"/>
  </w:num>
  <w:num w:numId="34">
    <w:abstractNumId w:val="21"/>
  </w:num>
  <w:num w:numId="35">
    <w:abstractNumId w:val="33"/>
  </w:num>
  <w:num w:numId="36">
    <w:abstractNumId w:val="32"/>
  </w:num>
  <w:num w:numId="37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SK"/>
    <w:docVar w:name="dvnumam" w:val="39"/>
    <w:docVar w:name="dvpe" w:val="749.960"/>
    <w:docVar w:name="dvrapporteur" w:val="Spravodajca: "/>
    <w:docVar w:name="dvstar" w:val="***I"/>
    <w:docVar w:name="dvtitre" w:val="Legislatívne uznesenie Európskeho parlamentu z xx. marca 2024 o návrhu nariadenia Európskeho parlamentu a Rady, ktorým sa mení nariadenie Rady (ES) č. 6/2002 o dizajnoch Spoločenstva a zrušuje nariadenie Komisie (ES) č. 2246/2002(COM(2022)0666 – C9-0394/2022 – 2022/0391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C12708-EE3F-434F-98BC-CD2BE1D7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pPr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uiPriority w:val="9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12Italic">
    <w:name w:val="Normal12Italic"/>
    <w:basedOn w:val="Normal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Pr>
      <w:b/>
      <w:sz w:val="24"/>
      <w:lang w:val="sk-SK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numbering" w:customStyle="1" w:styleId="NoList1">
    <w:name w:val="No List1"/>
    <w:next w:val="No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Pr>
      <w:rFonts w:ascii="Times New Roman" w:hAnsi="Times New Roman" w:cs="Times New Roman"/>
      <w:sz w:val="24"/>
      <w:lang w:val="sk-SK"/>
    </w:rPr>
  </w:style>
  <w:style w:type="character" w:customStyle="1" w:styleId="HeaderCouncilLargeChar">
    <w:name w:val="Header Council Large Char"/>
    <w:basedOn w:val="TechnicalBlockChar"/>
    <w:link w:val="HeaderCouncilLarge"/>
    <w:rPr>
      <w:rFonts w:ascii="Times New Roman" w:eastAsia="Calibri" w:hAnsi="Times New Roman" w:cs="Times New Roman"/>
      <w:sz w:val="2"/>
      <w:szCs w:val="22"/>
      <w:lang w:val="sk-SK" w:eastAsia="en-US"/>
    </w:rPr>
  </w:style>
  <w:style w:type="paragraph" w:customStyle="1" w:styleId="FooterText">
    <w:name w:val="Footer Text"/>
    <w:basedOn w:val="Normal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yperlink1">
    <w:name w:val="Hyperlink1"/>
    <w:basedOn w:val="DefaultParagraphFont"/>
    <w:uiPriority w:val="99"/>
    <w:unhideWhenUsed/>
    <w:rPr>
      <w:color w:val="0000FF"/>
      <w:u w:val="single"/>
    </w:rPr>
  </w:style>
  <w:style w:type="paragraph" w:customStyle="1" w:styleId="Normal2">
    <w:name w:val="Normal2"/>
    <w:basedOn w:val="Normal"/>
    <w:uiPriority w:val="99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aliases w:val="List,List1,List Paragraph compact,Normal bullet 2,Paragraphe de liste 2,Reference list,Bullet list,Numbered List,List Paragraph1,1st level - Bullet List Paragraph,Lettre d'introduction,Paragraph,Bullet EY,List Paragraph11,Normal bullet 21"/>
    <w:basedOn w:val="Normal"/>
    <w:link w:val="ListParagraphChar"/>
    <w:uiPriority w:val="34"/>
    <w:qFormat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ListParagraph"/>
    <w:uiPriority w:val="34"/>
    <w:qFormat/>
    <w:locked/>
    <w:rPr>
      <w:rFonts w:eastAsia="Calibri"/>
      <w:sz w:val="24"/>
      <w:szCs w:val="22"/>
      <w:lang w:val="sk-SK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sk-SK" w:eastAsia="en-US"/>
    </w:rPr>
  </w:style>
  <w:style w:type="paragraph" w:customStyle="1" w:styleId="CM4">
    <w:name w:val="CM4"/>
    <w:basedOn w:val="Normal"/>
    <w:next w:val="Normal"/>
    <w:uiPriority w:val="99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="Calibri"/>
      <w:lang w:val="sk-SK" w:eastAsia="en-US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unhideWhenUsed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  <w:lang w:val="sk-SK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eastAsia="Calibri"/>
      <w:b/>
      <w:bCs/>
      <w:lang w:val="sk-SK" w:eastAsia="en-US"/>
    </w:rPr>
  </w:style>
  <w:style w:type="paragraph" w:styleId="Revision">
    <w:name w:val="Revision"/>
    <w:hidden/>
    <w:uiPriority w:val="99"/>
    <w:semiHidden/>
    <w:rPr>
      <w:rFonts w:eastAsia="Calibri"/>
      <w:sz w:val="24"/>
      <w:szCs w:val="22"/>
      <w:lang w:val="sk-SK" w:eastAsia="en-US"/>
    </w:rPr>
  </w:style>
  <w:style w:type="paragraph" w:customStyle="1" w:styleId="Normal1">
    <w:name w:val="Normal1"/>
    <w:basedOn w:val="Normal"/>
    <w:uiPriority w:val="99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</w:style>
  <w:style w:type="paragraph" w:customStyle="1" w:styleId="li">
    <w:name w:val="li"/>
    <w:basedOn w:val="Normal"/>
    <w:uiPriority w:val="99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Normal4">
    <w:name w:val="Normal4"/>
    <w:basedOn w:val="Normal"/>
    <w:uiPriority w:val="9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Spacing">
    <w:name w:val="No Spacing"/>
    <w:uiPriority w:val="1"/>
    <w:qFormat/>
    <w:pPr>
      <w:jc w:val="both"/>
    </w:pPr>
    <w:rPr>
      <w:rFonts w:eastAsia="Calibri"/>
      <w:sz w:val="24"/>
      <w:szCs w:val="22"/>
      <w:lang w:val="sk-SK" w:eastAsia="en-US"/>
    </w:rPr>
  </w:style>
  <w:style w:type="paragraph" w:customStyle="1" w:styleId="point0number0">
    <w:name w:val="point0number"/>
    <w:basedOn w:val="Normal"/>
    <w:uiPriority w:val="99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styleId="TOC4">
    <w:name w:val="toc 4"/>
    <w:basedOn w:val="Normal"/>
    <w:next w:val="Normal"/>
    <w:uiPriority w:val="39"/>
    <w:unhideWhenUsed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pPr>
      <w:numPr>
        <w:numId w:val="6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pPr>
      <w:numPr>
        <w:numId w:val="7"/>
      </w:numPr>
      <w:tabs>
        <w:tab w:val="clear" w:pos="1417"/>
        <w:tab w:val="num" w:pos="720"/>
      </w:tabs>
      <w:ind w:left="720" w:hanging="360"/>
    </w:pPr>
  </w:style>
  <w:style w:type="paragraph" w:customStyle="1" w:styleId="Tiret2">
    <w:name w:val="Tiret 2"/>
    <w:basedOn w:val="Point2"/>
    <w:pPr>
      <w:numPr>
        <w:numId w:val="8"/>
      </w:numPr>
      <w:tabs>
        <w:tab w:val="clear" w:pos="1984"/>
        <w:tab w:val="num" w:pos="720"/>
      </w:tabs>
      <w:ind w:left="720" w:hanging="360"/>
    </w:pPr>
  </w:style>
  <w:style w:type="paragraph" w:customStyle="1" w:styleId="Tiret3">
    <w:name w:val="Tiret 3"/>
    <w:basedOn w:val="Point3"/>
    <w:pPr>
      <w:tabs>
        <w:tab w:val="num" w:pos="2551"/>
      </w:tabs>
    </w:pPr>
  </w:style>
  <w:style w:type="paragraph" w:customStyle="1" w:styleId="Tiret4">
    <w:name w:val="Tiret 4"/>
    <w:basedOn w:val="Point4"/>
    <w:pPr>
      <w:tabs>
        <w:tab w:val="num" w:pos="3118"/>
      </w:tabs>
    </w:pPr>
  </w:style>
  <w:style w:type="paragraph" w:customStyle="1" w:styleId="Tiret5">
    <w:name w:val="Tiret 5"/>
    <w:basedOn w:val="Point5"/>
    <w:pPr>
      <w:numPr>
        <w:numId w:val="10"/>
      </w:numPr>
      <w:tabs>
        <w:tab w:val="clear" w:pos="3685"/>
        <w:tab w:val="num" w:pos="1080"/>
      </w:tabs>
      <w:ind w:left="1080" w:hanging="360"/>
    </w:p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pPr>
      <w:widowControl/>
      <w:numPr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pPr>
      <w:widowControl/>
      <w:numPr>
        <w:ilvl w:val="4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numPr>
        <w:ilvl w:val="5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numPr>
        <w:ilvl w:val="6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widowControl/>
      <w:numPr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pPr>
      <w:widowControl/>
      <w:numPr>
        <w:ilvl w:val="4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pPr>
      <w:widowControl/>
      <w:numPr>
        <w:ilvl w:val="3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numPr>
        <w:ilvl w:val="5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3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pPr>
      <w:widowControl/>
      <w:numPr>
        <w:numId w:val="9"/>
      </w:numPr>
      <w:tabs>
        <w:tab w:val="clear" w:pos="709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</w:style>
  <w:style w:type="paragraph" w:customStyle="1" w:styleId="StatutPagedecouverture">
    <w:name w:val="Statut (Page de couverture)"/>
    <w:basedOn w:val="Statut"/>
    <w:next w:val="TypedudocumentPagedecouverture"/>
    <w:uiPriority w:val="99"/>
  </w:style>
  <w:style w:type="paragraph" w:customStyle="1" w:styleId="TitreobjetPagedecouverture">
    <w:name w:val="Titre objet (Page de couverture)"/>
    <w:basedOn w:val="Titreobjet"/>
    <w:next w:val="IntrtEEEPagedecouverture"/>
    <w:uiPriority w:val="99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</w:style>
  <w:style w:type="paragraph" w:customStyle="1" w:styleId="Volume">
    <w:name w:val="Volume"/>
    <w:basedOn w:val="Normal"/>
    <w:next w:val="Confidentialit"/>
    <w:uiPriority w:val="9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</w:style>
  <w:style w:type="paragraph" w:customStyle="1" w:styleId="LanguesfaisantfoiPagedecouverture">
    <w:name w:val="Langues faisant foi (Page de couverture)"/>
    <w:basedOn w:val="Normal"/>
    <w:next w:val="Normal"/>
    <w:uiPriority w:val="9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Pr>
      <w:rFonts w:ascii="Times New Roman" w:eastAsia="Calibri" w:hAnsi="Times New Roman" w:cs="Times New Roman"/>
      <w:sz w:val="24"/>
      <w:szCs w:val="22"/>
      <w:lang w:val="sk-SK" w:eastAsia="en-US"/>
    </w:rPr>
  </w:style>
  <w:style w:type="paragraph" w:customStyle="1" w:styleId="nbbordered">
    <w:name w:val="nb bordered"/>
    <w:basedOn w:val="Normal"/>
    <w:link w:val="nbborderedChar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Pr>
      <w:rFonts w:ascii="Times New Roman" w:eastAsia="Calibri" w:hAnsi="Times New Roman" w:cs="Times New Roman"/>
      <w:b/>
      <w:sz w:val="24"/>
      <w:szCs w:val="22"/>
      <w:lang w:val="sk-SK" w:eastAsia="en-US"/>
    </w:rPr>
  </w:style>
  <w:style w:type="character" w:customStyle="1" w:styleId="HeaderCouncilChar">
    <w:name w:val="Header Council Char"/>
    <w:basedOn w:val="DefaultParagraphFont"/>
    <w:rPr>
      <w:rFonts w:ascii="Times New Roman" w:hAnsi="Times New Roman" w:cs="Times New Roman"/>
      <w:sz w:val="2"/>
      <w:lang w:val="sk-SK"/>
    </w:rPr>
  </w:style>
  <w:style w:type="character" w:customStyle="1" w:styleId="FooterCouncilChar">
    <w:name w:val="Footer Council Char"/>
    <w:basedOn w:val="DefaultParagraphFont"/>
    <w:rPr>
      <w:rFonts w:ascii="Times New Roman" w:hAnsi="Times New Roman" w:cs="Times New Roman"/>
      <w:sz w:val="2"/>
      <w:lang w:val="sk-SK"/>
    </w:rPr>
  </w:style>
  <w:style w:type="numbering" w:customStyle="1" w:styleId="NoList11">
    <w:name w:val="No List11"/>
    <w:next w:val="NoList"/>
    <w:uiPriority w:val="99"/>
    <w:semiHidden/>
    <w:unhideWhenUsed/>
  </w:style>
  <w:style w:type="paragraph" w:customStyle="1" w:styleId="msonormal0">
    <w:name w:val="msonormal"/>
    <w:basedOn w:val="Normal"/>
    <w:uiPriority w:val="99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</w:style>
  <w:style w:type="table" w:customStyle="1" w:styleId="TableGrid2">
    <w:name w:val="Table Grid2"/>
    <w:basedOn w:val="TableNormal"/>
    <w:next w:val="TableGrid"/>
    <w:uiPriority w:val="5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</w:style>
  <w:style w:type="paragraph" w:customStyle="1" w:styleId="Sous-titreobjet">
    <w:name w:val="Sous-titre objet"/>
    <w:basedOn w:val="Normal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pPr>
      <w:widowControl/>
      <w:numPr>
        <w:ilvl w:val="1"/>
        <w:numId w:val="2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pPr>
      <w:widowControl/>
      <w:numPr>
        <w:ilvl w:val="3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pPr>
      <w:widowControl/>
      <w:numPr>
        <w:ilvl w:val="5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pPr>
      <w:widowControl/>
      <w:numPr>
        <w:ilvl w:val="7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pPr>
      <w:widowControl/>
      <w:numPr>
        <w:ilvl w:val="8"/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pPr>
      <w:widowControl/>
      <w:numPr>
        <w:ilvl w:val="2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pPr>
      <w:widowControl/>
      <w:numPr>
        <w:ilvl w:val="4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pPr>
      <w:widowControl/>
      <w:numPr>
        <w:ilvl w:val="6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pPr>
      <w:widowControl/>
      <w:numPr>
        <w:ilvl w:val="1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pPr>
      <w:widowControl/>
      <w:numPr>
        <w:ilvl w:val="2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pPr>
      <w:widowControl/>
      <w:numPr>
        <w:ilvl w:val="3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pPr>
      <w:widowControl/>
      <w:numPr>
        <w:ilvl w:val="4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pPr>
      <w:widowControl/>
      <w:numPr>
        <w:numId w:val="21"/>
      </w:numPr>
      <w:tabs>
        <w:tab w:val="clear" w:pos="567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22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2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2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2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pPr>
      <w:numPr>
        <w:numId w:val="16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pPr>
      <w:numPr>
        <w:numId w:val="17"/>
      </w:numPr>
      <w:tabs>
        <w:tab w:val="clear" w:pos="1134"/>
        <w:tab w:val="num" w:pos="850"/>
      </w:tabs>
      <w:ind w:left="850" w:hanging="850"/>
    </w:pPr>
  </w:style>
  <w:style w:type="paragraph" w:customStyle="1" w:styleId="DashEqual2">
    <w:name w:val="Dash Equal 2"/>
    <w:basedOn w:val="Dash2"/>
    <w:pPr>
      <w:numPr>
        <w:numId w:val="18"/>
      </w:numPr>
      <w:tabs>
        <w:tab w:val="clear" w:pos="1701"/>
        <w:tab w:val="num" w:pos="1417"/>
      </w:tabs>
      <w:ind w:left="1417"/>
    </w:pPr>
  </w:style>
  <w:style w:type="paragraph" w:customStyle="1" w:styleId="DashEqual3">
    <w:name w:val="Dash Equal 3"/>
    <w:basedOn w:val="Dash3"/>
    <w:pPr>
      <w:numPr>
        <w:numId w:val="19"/>
      </w:numPr>
      <w:tabs>
        <w:tab w:val="clear" w:pos="2268"/>
        <w:tab w:val="num" w:pos="1984"/>
      </w:tabs>
      <w:ind w:left="1984"/>
    </w:pPr>
  </w:style>
  <w:style w:type="paragraph" w:customStyle="1" w:styleId="DashEqual4">
    <w:name w:val="Dash Equal 4"/>
    <w:basedOn w:val="Dash4"/>
    <w:pPr>
      <w:numPr>
        <w:numId w:val="20"/>
      </w:numPr>
      <w:tabs>
        <w:tab w:val="clear" w:pos="2835"/>
        <w:tab w:val="num" w:pos="709"/>
      </w:tabs>
      <w:ind w:left="709" w:hanging="709"/>
    </w:p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pPr>
      <w:numPr>
        <w:numId w:val="2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pPr>
      <w:jc w:val="center"/>
    </w:pPr>
  </w:style>
  <w:style w:type="paragraph" w:customStyle="1" w:styleId="Jardin">
    <w:name w:val="Jardin"/>
    <w:basedOn w:val="Normal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Pr>
      <w:b/>
    </w:rPr>
  </w:style>
  <w:style w:type="paragraph" w:customStyle="1" w:styleId="Annex">
    <w:name w:val="Annex"/>
    <w:basedOn w:val="Normal"/>
    <w:next w:val="Normal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Pr>
      <w:sz w:val="24"/>
      <w:szCs w:val="24"/>
      <w:lang w:val="sk-SK" w:eastAsia="en-US"/>
    </w:rPr>
  </w:style>
  <w:style w:type="character" w:customStyle="1" w:styleId="fontstyle01">
    <w:name w:val="fontstyle01"/>
    <w:basedOn w:val="DefaultParagraphFont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szCs w:val="24"/>
    </w:rPr>
  </w:style>
  <w:style w:type="character" w:customStyle="1" w:styleId="CRSeparatorChar">
    <w:name w:val="CR Separator Char"/>
    <w:basedOn w:val="DefaultParagraphFont"/>
    <w:link w:val="CRSeparator"/>
    <w:locked/>
    <w:rPr>
      <w:sz w:val="24"/>
      <w:szCs w:val="24"/>
      <w:lang w:val="sk-SK"/>
    </w:rPr>
  </w:style>
  <w:style w:type="paragraph" w:customStyle="1" w:styleId="Centred">
    <w:name w:val="Centred"/>
    <w:basedOn w:val="Titrearticle"/>
    <w:pPr>
      <w:spacing w:line="360" w:lineRule="auto"/>
    </w:pPr>
  </w:style>
  <w:style w:type="paragraph" w:customStyle="1" w:styleId="leglisttextstandard">
    <w:name w:val="leglisttextstandard"/>
    <w:basedOn w:val="Normal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</w:style>
  <w:style w:type="table" w:customStyle="1" w:styleId="TableGridLight1">
    <w:name w:val="Table Grid Light1"/>
    <w:basedOn w:val="TableNormal"/>
    <w:next w:val="TableGridLight"/>
    <w:uiPriority w:val="40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Pr>
      <w:rFonts w:eastAsia="Calibri"/>
      <w:sz w:val="24"/>
      <w:szCs w:val="22"/>
      <w:u w:val="single"/>
      <w:lang w:val="sk-SK" w:eastAsia="en-US"/>
    </w:rPr>
  </w:style>
  <w:style w:type="character" w:customStyle="1" w:styleId="CRMarker">
    <w:name w:val="CR Marker"/>
    <w:basedOn w:val="DefaultParagraphFont"/>
    <w:rPr>
      <w:rFonts w:ascii="Wingdings" w:hAnsi="Wingdings"/>
    </w:rPr>
  </w:style>
  <w:style w:type="paragraph" w:customStyle="1" w:styleId="Popint12">
    <w:name w:val="Popint 12"/>
    <w:basedOn w:val="Normal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</w:style>
  <w:style w:type="paragraph" w:customStyle="1" w:styleId="Text7">
    <w:name w:val="Text 7"/>
    <w:basedOn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pPr>
      <w:widowControl/>
      <w:numPr>
        <w:numId w:val="3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pPr>
      <w:widowControl/>
      <w:numPr>
        <w:numId w:val="3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pPr>
      <w:widowControl/>
      <w:numPr>
        <w:numId w:val="3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pPr>
      <w:spacing w:before="240"/>
    </w:pPr>
  </w:style>
  <w:style w:type="paragraph" w:customStyle="1" w:styleId="Accordtitre">
    <w:name w:val="Accord titre"/>
    <w:basedOn w:val="Normal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Pr>
      <w:b/>
      <w:i/>
    </w:rPr>
  </w:style>
  <w:style w:type="character" w:customStyle="1" w:styleId="diff-tte-removed">
    <w:name w:val="diff-tte-removed"/>
    <w:basedOn w:val="DefaultParagraphFont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eadingDocType24a">
    <w:name w:val="HeadingDocType24a"/>
    <w:basedOn w:val="Normal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pPr>
      <w:jc w:val="center"/>
    </w:pPr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norm">
    <w:name w:val="norm"/>
    <w:basedOn w:val="Normal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D3C7D-50BF-4B70-8A38-7731B77CA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2024-12-03T13:10:00Z</dcterms:created>
  <dcterms:modified xsi:type="dcterms:W3CDTF">2024-12-03T13:10:00Z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