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75CE5" w:rsidRPr="005103B5" w:rsidTr="00275CE5">
        <w:trPr>
          <w:trHeight w:hRule="exact" w:val="1418"/>
        </w:trPr>
        <w:tc>
          <w:tcPr>
            <w:tcW w:w="6804" w:type="dxa"/>
            <w:vAlign w:val="center"/>
            <w:hideMark/>
          </w:tcPr>
          <w:p w:rsidR="00275CE5" w:rsidRPr="005103B5" w:rsidRDefault="00275CE5" w:rsidP="00275CE5">
            <w:pPr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eastAsia="en-GB"/>
              </w:rPr>
            </w:pPr>
            <w:proofErr w:type="spellStart"/>
            <w:r w:rsidRPr="005103B5">
              <w:rPr>
                <w:rFonts w:ascii="Arial Narrow" w:eastAsia="Times New Roman" w:hAnsi="Arial Narrow" w:cs="Arial"/>
                <w:b/>
                <w:sz w:val="32"/>
                <w:szCs w:val="22"/>
                <w:lang w:eastAsia="en-GB"/>
              </w:rPr>
              <w:t>Euroopan</w:t>
            </w:r>
            <w:proofErr w:type="spellEnd"/>
            <w:r w:rsidRPr="005103B5">
              <w:rPr>
                <w:rFonts w:ascii="Arial Narrow" w:eastAsia="Times New Roman" w:hAnsi="Arial Narrow" w:cs="Arial"/>
                <w:b/>
                <w:sz w:val="32"/>
                <w:szCs w:val="22"/>
                <w:lang w:eastAsia="en-GB"/>
              </w:rPr>
              <w:t xml:space="preserve"> </w:t>
            </w:r>
            <w:proofErr w:type="spellStart"/>
            <w:r w:rsidRPr="005103B5">
              <w:rPr>
                <w:rFonts w:ascii="Arial Narrow" w:eastAsia="Times New Roman" w:hAnsi="Arial Narrow" w:cs="Arial"/>
                <w:b/>
                <w:sz w:val="32"/>
                <w:szCs w:val="22"/>
                <w:lang w:eastAsia="en-GB"/>
              </w:rPr>
              <w:t>parlamentti</w:t>
            </w:r>
            <w:proofErr w:type="spellEnd"/>
          </w:p>
          <w:p w:rsidR="00275CE5" w:rsidRPr="005103B5" w:rsidRDefault="00275CE5" w:rsidP="00275CE5">
            <w:pPr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fi-FI" w:eastAsia="en-GB"/>
              </w:rPr>
            </w:pPr>
            <w:r w:rsidRPr="005103B5">
              <w:rPr>
                <w:rFonts w:ascii="Arial" w:eastAsia="Times New Roman" w:hAnsi="Arial" w:cs="Arial"/>
                <w:sz w:val="20"/>
                <w:szCs w:val="22"/>
                <w:lang w:eastAsia="en-GB"/>
              </w:rPr>
              <w:t>2019-2024</w:t>
            </w:r>
          </w:p>
        </w:tc>
        <w:tc>
          <w:tcPr>
            <w:tcW w:w="2268" w:type="dxa"/>
            <w:hideMark/>
          </w:tcPr>
          <w:p w:rsidR="00275CE5" w:rsidRPr="005103B5" w:rsidRDefault="00275CE5" w:rsidP="00275CE5">
            <w:pPr>
              <w:jc w:val="right"/>
              <w:rPr>
                <w:rFonts w:eastAsia="Times New Roman"/>
                <w:szCs w:val="20"/>
                <w:lang w:val="fi-FI" w:eastAsia="en-GB"/>
              </w:rPr>
            </w:pPr>
            <w:r w:rsidRPr="005103B5">
              <w:rPr>
                <w:rFonts w:eastAsia="Times New Roman"/>
                <w:noProof/>
                <w:szCs w:val="20"/>
                <w:lang w:val="fi-FI" w:eastAsia="fi-FI"/>
              </w:rPr>
              <w:drawing>
                <wp:inline distT="0" distB="0" distL="0" distR="0" wp14:anchorId="4AFFFEC4" wp14:editId="7E44E45E">
                  <wp:extent cx="1158875" cy="648335"/>
                  <wp:effectExtent l="0" t="0" r="3175" b="0"/>
                  <wp:docPr id="2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5CE5" w:rsidRPr="005103B5" w:rsidRDefault="00275CE5" w:rsidP="00275CE5">
      <w:pPr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275CE5" w:rsidRPr="005103B5" w:rsidRDefault="00275CE5" w:rsidP="00275CE5">
      <w:pPr>
        <w:jc w:val="center"/>
        <w:rPr>
          <w:rFonts w:ascii="Arial" w:eastAsia="Times New Roman" w:hAnsi="Arial" w:cs="Arial"/>
          <w:b/>
          <w:sz w:val="22"/>
          <w:szCs w:val="22"/>
          <w:lang w:val="fi-FI" w:eastAsia="en-GB"/>
        </w:rPr>
      </w:pPr>
      <w:r w:rsidRPr="005103B5">
        <w:rPr>
          <w:rFonts w:ascii="Arial" w:eastAsia="Times New Roman" w:hAnsi="Arial" w:cs="Arial"/>
          <w:b/>
          <w:sz w:val="22"/>
          <w:szCs w:val="22"/>
          <w:lang w:val="fi-FI" w:eastAsia="en-GB"/>
        </w:rPr>
        <w:t>HYVÄKSYTYT TEKSTIT</w:t>
      </w:r>
    </w:p>
    <w:p w:rsidR="00275CE5" w:rsidRPr="005103B5" w:rsidRDefault="00275CE5" w:rsidP="00275CE5">
      <w:pPr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275CE5" w:rsidRPr="005103B5" w:rsidRDefault="00275CE5" w:rsidP="005103B5">
      <w:pPr>
        <w:pStyle w:val="ATHeading1"/>
      </w:pPr>
      <w:bookmarkStart w:id="0" w:name="TANumber"/>
      <w:r w:rsidRPr="005103B5">
        <w:t>P9_</w:t>
      </w:r>
      <w:proofErr w:type="gramStart"/>
      <w:r w:rsidRPr="005103B5">
        <w:t>TA(</w:t>
      </w:r>
      <w:proofErr w:type="gramEnd"/>
      <w:r w:rsidRPr="005103B5">
        <w:t>2024)0166</w:t>
      </w:r>
      <w:bookmarkEnd w:id="0"/>
    </w:p>
    <w:p w:rsidR="00275CE5" w:rsidRPr="005103B5" w:rsidRDefault="00275CE5" w:rsidP="005103B5">
      <w:pPr>
        <w:pStyle w:val="ATHeading2"/>
      </w:pPr>
      <w:bookmarkStart w:id="1" w:name="title"/>
      <w:r w:rsidRPr="005103B5">
        <w:t>Paikkatietoinfrastruktuureja koskevat raportointivaatimukset</w:t>
      </w:r>
      <w:bookmarkEnd w:id="1"/>
    </w:p>
    <w:p w:rsidR="00275CE5" w:rsidRPr="005103B5" w:rsidRDefault="00275CE5" w:rsidP="00275CE5">
      <w:pPr>
        <w:jc w:val="left"/>
        <w:rPr>
          <w:rFonts w:eastAsia="Times New Roman"/>
          <w:i/>
          <w:vanish/>
          <w:szCs w:val="20"/>
          <w:lang w:val="fi-FI" w:eastAsia="en-GB"/>
        </w:rPr>
      </w:pPr>
      <w:r w:rsidRPr="005103B5">
        <w:rPr>
          <w:rFonts w:eastAsia="Times New Roman"/>
          <w:i/>
          <w:szCs w:val="20"/>
          <w:lang w:val="fi-FI" w:eastAsia="en-GB"/>
        </w:rPr>
        <w:fldChar w:fldCharType="begin"/>
      </w:r>
      <w:r w:rsidRPr="005103B5">
        <w:rPr>
          <w:rFonts w:eastAsia="Times New Roman"/>
          <w:i/>
          <w:szCs w:val="20"/>
          <w:lang w:val="fi-FI" w:eastAsia="en-GB"/>
        </w:rPr>
        <w:instrText xml:space="preserve"> TC"(</w:instrText>
      </w:r>
      <w:bookmarkStart w:id="2" w:name="DocNumber"/>
      <w:r w:rsidRPr="005103B5">
        <w:rPr>
          <w:rFonts w:eastAsia="Times New Roman"/>
          <w:i/>
          <w:szCs w:val="20"/>
          <w:lang w:val="fi-FI" w:eastAsia="en-GB"/>
        </w:rPr>
        <w:instrText>A9-0037/2024</w:instrText>
      </w:r>
      <w:bookmarkEnd w:id="2"/>
      <w:r w:rsidRPr="005103B5">
        <w:rPr>
          <w:rFonts w:eastAsia="Times New Roman"/>
          <w:i/>
          <w:szCs w:val="20"/>
          <w:lang w:val="fi-FI" w:eastAsia="en-GB"/>
        </w:rPr>
        <w:instrText xml:space="preserve"> - Esittelijä: Ivan </w:instrText>
      </w:r>
      <w:proofErr w:type="spellStart"/>
      <w:r w:rsidRPr="005103B5">
        <w:rPr>
          <w:rFonts w:eastAsia="Times New Roman"/>
          <w:i/>
          <w:szCs w:val="20"/>
          <w:lang w:val="fi-FI" w:eastAsia="en-GB"/>
        </w:rPr>
        <w:instrText>Vilibor</w:instrText>
      </w:r>
      <w:proofErr w:type="spellEnd"/>
      <w:r w:rsidRPr="005103B5">
        <w:rPr>
          <w:rFonts w:eastAsia="Times New Roman"/>
          <w:i/>
          <w:szCs w:val="20"/>
          <w:lang w:val="fi-FI" w:eastAsia="en-GB"/>
        </w:rPr>
        <w:instrText xml:space="preserve"> </w:instrText>
      </w:r>
      <w:proofErr w:type="spellStart"/>
      <w:r w:rsidRPr="005103B5">
        <w:rPr>
          <w:rFonts w:eastAsia="Times New Roman"/>
          <w:i/>
          <w:szCs w:val="20"/>
          <w:lang w:val="fi-FI" w:eastAsia="en-GB"/>
        </w:rPr>
        <w:instrText>Sinčić</w:instrText>
      </w:r>
      <w:proofErr w:type="spellEnd"/>
      <w:r w:rsidRPr="005103B5">
        <w:rPr>
          <w:rFonts w:eastAsia="Times New Roman"/>
          <w:i/>
          <w:szCs w:val="20"/>
          <w:lang w:val="fi-FI" w:eastAsia="en-GB"/>
        </w:rPr>
        <w:instrText xml:space="preserve">)"\l3 \n&gt; \* MERGEFORMAT </w:instrText>
      </w:r>
      <w:r w:rsidRPr="005103B5">
        <w:rPr>
          <w:rFonts w:eastAsia="Times New Roman"/>
          <w:i/>
          <w:szCs w:val="20"/>
          <w:lang w:val="fi-FI" w:eastAsia="en-GB"/>
        </w:rPr>
        <w:fldChar w:fldCharType="end"/>
      </w:r>
    </w:p>
    <w:p w:rsidR="00275CE5" w:rsidRPr="005103B5" w:rsidRDefault="00275CE5" w:rsidP="00275CE5">
      <w:pPr>
        <w:jc w:val="left"/>
        <w:rPr>
          <w:rFonts w:eastAsia="Times New Roman"/>
          <w:vanish/>
          <w:szCs w:val="20"/>
          <w:lang w:val="fi-FI" w:eastAsia="en-GB"/>
        </w:rPr>
      </w:pPr>
      <w:bookmarkStart w:id="3" w:name="Commission"/>
      <w:r w:rsidRPr="005103B5">
        <w:rPr>
          <w:rFonts w:eastAsia="Times New Roman"/>
          <w:vanish/>
          <w:szCs w:val="20"/>
          <w:lang w:val="fi-FI" w:eastAsia="en-GB"/>
        </w:rPr>
        <w:t>Ympäristön, kansanterveyden ja elintarvikkeiden turvallisuuden valiokunta</w:t>
      </w:r>
      <w:bookmarkEnd w:id="3"/>
    </w:p>
    <w:p w:rsidR="00275CE5" w:rsidRPr="005103B5" w:rsidRDefault="00275CE5" w:rsidP="00275CE5">
      <w:pPr>
        <w:jc w:val="left"/>
        <w:rPr>
          <w:rFonts w:eastAsia="Times New Roman"/>
          <w:vanish/>
          <w:szCs w:val="20"/>
          <w:lang w:val="fi-FI" w:eastAsia="en-GB"/>
        </w:rPr>
      </w:pPr>
      <w:bookmarkStart w:id="4" w:name="PE"/>
      <w:r w:rsidRPr="005103B5">
        <w:rPr>
          <w:rFonts w:eastAsia="Times New Roman"/>
          <w:vanish/>
          <w:szCs w:val="20"/>
          <w:lang w:val="fi-FI" w:eastAsia="en-GB"/>
        </w:rPr>
        <w:t>PE757.105</w:t>
      </w:r>
      <w:bookmarkEnd w:id="4"/>
    </w:p>
    <w:p w:rsidR="00275CE5" w:rsidRPr="005103B5" w:rsidRDefault="00275CE5" w:rsidP="005103B5">
      <w:pPr>
        <w:pStyle w:val="ATHeading3"/>
      </w:pPr>
      <w:bookmarkStart w:id="5" w:name="Sujet"/>
      <w:r w:rsidRPr="005103B5">
        <w:t>Euroopan parlamentin lainsäädäntöpäätöslauselma 14. maaliskuuta 2024 ehdotuksesta Euroopan parlamentin ja neuvoston päätökseksi direktiivin 2007/2/EY muuttamisesta tiettyjä paikkatietoinfrastruktuureja koskevien raportointivaatimusten osalta</w:t>
      </w:r>
      <w:bookmarkEnd w:id="5"/>
      <w:r w:rsidRPr="005103B5">
        <w:t xml:space="preserve"> </w:t>
      </w:r>
      <w:bookmarkStart w:id="6" w:name="References"/>
      <w:r w:rsidRPr="005103B5">
        <w:t>(</w:t>
      </w:r>
      <w:proofErr w:type="gramStart"/>
      <w:r w:rsidRPr="005103B5">
        <w:t>COM(</w:t>
      </w:r>
      <w:proofErr w:type="gramEnd"/>
      <w:r w:rsidRPr="005103B5">
        <w:t>2023)0584 – C9-0385/2023 – 2023/0356(COD))</w:t>
      </w:r>
      <w:bookmarkEnd w:id="6"/>
    </w:p>
    <w:p w:rsidR="00275CE5" w:rsidRPr="005103B5" w:rsidRDefault="00275CE5" w:rsidP="00275CE5">
      <w:pPr>
        <w:jc w:val="left"/>
        <w:rPr>
          <w:rFonts w:eastAsia="Times New Roman"/>
          <w:b/>
          <w:szCs w:val="20"/>
          <w:lang w:val="fi-FI" w:eastAsia="en-GB"/>
        </w:rPr>
      </w:pPr>
      <w:bookmarkStart w:id="7" w:name="TextBodyBegin"/>
      <w:bookmarkEnd w:id="7"/>
      <w:r w:rsidRPr="005103B5">
        <w:rPr>
          <w:rFonts w:eastAsia="Times New Roman"/>
          <w:b/>
          <w:szCs w:val="20"/>
          <w:lang w:val="fi-FI" w:eastAsia="en-GB"/>
        </w:rPr>
        <w:t>(Tavallinen lainsäätämisjärjestys: ensimmäinen käsittely)</w:t>
      </w:r>
    </w:p>
    <w:p w:rsidR="00275CE5" w:rsidRPr="005103B5" w:rsidRDefault="00275CE5" w:rsidP="00275CE5">
      <w:pPr>
        <w:spacing w:before="480" w:after="240"/>
        <w:jc w:val="left"/>
        <w:rPr>
          <w:rFonts w:eastAsia="Times New Roman"/>
          <w:szCs w:val="20"/>
          <w:lang w:val="fi-FI" w:eastAsia="en-GB"/>
        </w:rPr>
      </w:pPr>
      <w:r w:rsidRPr="005103B5">
        <w:rPr>
          <w:rFonts w:eastAsia="Times New Roman"/>
          <w:i/>
          <w:iCs/>
          <w:szCs w:val="20"/>
          <w:lang w:val="fi-FI" w:eastAsia="en-GB"/>
        </w:rPr>
        <w:t>Euroopan parlamentti</w:t>
      </w:r>
      <w:r w:rsidRPr="005103B5">
        <w:rPr>
          <w:rFonts w:eastAsia="Times New Roman"/>
          <w:szCs w:val="20"/>
          <w:lang w:val="fi-FI" w:eastAsia="en-GB"/>
        </w:rPr>
        <w:t>, joka</w:t>
      </w:r>
    </w:p>
    <w:p w:rsidR="00275CE5" w:rsidRPr="005103B5" w:rsidRDefault="00275CE5" w:rsidP="00275CE5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5103B5">
        <w:rPr>
          <w:rFonts w:eastAsia="Times New Roman"/>
          <w:szCs w:val="20"/>
          <w:lang w:val="fi-FI" w:eastAsia="en-GB"/>
        </w:rPr>
        <w:t>–</w:t>
      </w:r>
      <w:r w:rsidRPr="005103B5">
        <w:rPr>
          <w:rFonts w:eastAsia="Times New Roman"/>
          <w:szCs w:val="20"/>
          <w:lang w:val="fi-FI" w:eastAsia="en-GB"/>
        </w:rPr>
        <w:tab/>
        <w:t xml:space="preserve">ottaa huomioon komission ehdotuksen </w:t>
      </w:r>
      <w:bookmarkStart w:id="8" w:name="_GoBack"/>
      <w:bookmarkEnd w:id="8"/>
      <w:r w:rsidRPr="005103B5">
        <w:rPr>
          <w:rFonts w:eastAsia="Times New Roman"/>
          <w:szCs w:val="20"/>
          <w:lang w:val="fi-FI" w:eastAsia="en-GB"/>
        </w:rPr>
        <w:t>Euroopan parlamentille ja neuvostolle (</w:t>
      </w:r>
      <w:proofErr w:type="gramStart"/>
      <w:r w:rsidRPr="005103B5">
        <w:rPr>
          <w:rFonts w:eastAsia="Times New Roman"/>
          <w:szCs w:val="20"/>
          <w:lang w:val="fi-FI" w:eastAsia="en-GB"/>
        </w:rPr>
        <w:t>COM(</w:t>
      </w:r>
      <w:proofErr w:type="gramEnd"/>
      <w:r w:rsidRPr="005103B5">
        <w:rPr>
          <w:rFonts w:eastAsia="Times New Roman"/>
          <w:szCs w:val="20"/>
          <w:lang w:val="fi-FI" w:eastAsia="en-GB"/>
        </w:rPr>
        <w:t>2023)0584),</w:t>
      </w:r>
    </w:p>
    <w:p w:rsidR="00275CE5" w:rsidRPr="005103B5" w:rsidRDefault="00275CE5" w:rsidP="00275CE5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5103B5">
        <w:rPr>
          <w:rFonts w:eastAsia="Times New Roman"/>
          <w:szCs w:val="20"/>
          <w:lang w:val="fi-FI" w:eastAsia="en-GB"/>
        </w:rPr>
        <w:t>–</w:t>
      </w:r>
      <w:r w:rsidRPr="005103B5">
        <w:rPr>
          <w:rFonts w:eastAsia="Times New Roman"/>
          <w:szCs w:val="20"/>
          <w:lang w:val="fi-FI" w:eastAsia="en-GB"/>
        </w:rPr>
        <w:tab/>
        <w:t>ottaa huomioon Euroopan unionin toiminnasta tehdyn sopimuksen 294 artiklan 2 kohdan ja 192 artiklan 1 kohdan, joiden mukaisesti komissio on antanut ehdotuksen Euroopan parlamentille (C9</w:t>
      </w:r>
      <w:r w:rsidRPr="005103B5">
        <w:rPr>
          <w:rFonts w:eastAsia="Times New Roman"/>
          <w:szCs w:val="20"/>
          <w:lang w:val="fi-FI" w:eastAsia="en-GB"/>
        </w:rPr>
        <w:noBreakHyphen/>
        <w:t>0385/2023),</w:t>
      </w:r>
    </w:p>
    <w:p w:rsidR="00275CE5" w:rsidRPr="005103B5" w:rsidRDefault="00275CE5" w:rsidP="00275CE5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5103B5">
        <w:rPr>
          <w:rFonts w:eastAsia="Times New Roman"/>
          <w:szCs w:val="20"/>
          <w:lang w:val="fi-FI" w:eastAsia="en-GB"/>
        </w:rPr>
        <w:t>–</w:t>
      </w:r>
      <w:r w:rsidRPr="005103B5">
        <w:rPr>
          <w:rFonts w:eastAsia="Times New Roman"/>
          <w:szCs w:val="20"/>
          <w:lang w:val="fi-FI" w:eastAsia="en-GB"/>
        </w:rPr>
        <w:tab/>
        <w:t>ottaa huomioon Euroopan unionin toiminnasta tehdyn sopimuksen 294 artiklan 3 kohdan,</w:t>
      </w:r>
    </w:p>
    <w:p w:rsidR="00275CE5" w:rsidRPr="005103B5" w:rsidRDefault="00275CE5" w:rsidP="00275CE5">
      <w:pPr>
        <w:spacing w:after="240"/>
        <w:ind w:left="567" w:hanging="567"/>
        <w:jc w:val="left"/>
        <w:rPr>
          <w:rFonts w:eastAsia="Times New Roman"/>
          <w:vertAlign w:val="superscript"/>
          <w:lang w:val="fi-FI" w:eastAsia="en-GB"/>
        </w:rPr>
      </w:pPr>
      <w:r w:rsidRPr="005103B5">
        <w:rPr>
          <w:rFonts w:eastAsia="Times New Roman"/>
          <w:szCs w:val="20"/>
          <w:lang w:val="fi-FI" w:eastAsia="en-GB"/>
        </w:rPr>
        <w:t>–</w:t>
      </w:r>
      <w:r w:rsidRPr="005103B5">
        <w:rPr>
          <w:rFonts w:eastAsia="Times New Roman"/>
          <w:szCs w:val="20"/>
          <w:lang w:val="fi-FI" w:eastAsia="en-GB"/>
        </w:rPr>
        <w:tab/>
        <w:t>ottaa huomioon Euroopan talous- ja sosiaalikomitean 13. joulukuuta 2023 antaman lausunnon</w:t>
      </w:r>
      <w:r w:rsidRPr="005103B5">
        <w:rPr>
          <w:rFonts w:eastAsia="Times New Roman"/>
          <w:vertAlign w:val="superscript"/>
          <w:lang w:val="fi-FI" w:eastAsia="en-GB"/>
        </w:rPr>
        <w:footnoteReference w:id="1"/>
      </w:r>
      <w:r w:rsidRPr="005103B5">
        <w:rPr>
          <w:rFonts w:eastAsia="Times New Roman"/>
          <w:szCs w:val="20"/>
          <w:lang w:val="fi-FI" w:eastAsia="en-GB"/>
        </w:rPr>
        <w:t>,</w:t>
      </w:r>
    </w:p>
    <w:p w:rsidR="00275CE5" w:rsidRPr="005103B5" w:rsidRDefault="00275CE5" w:rsidP="00275CE5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5103B5">
        <w:rPr>
          <w:rFonts w:eastAsia="Times New Roman"/>
          <w:szCs w:val="20"/>
          <w:lang w:val="fi-FI" w:eastAsia="en-GB"/>
        </w:rPr>
        <w:t>–</w:t>
      </w:r>
      <w:r w:rsidRPr="005103B5">
        <w:rPr>
          <w:rFonts w:eastAsia="Times New Roman"/>
          <w:szCs w:val="20"/>
          <w:lang w:val="fi-FI" w:eastAsia="en-GB"/>
        </w:rPr>
        <w:tab/>
        <w:t>on kuullut alueiden komiteaa,</w:t>
      </w:r>
    </w:p>
    <w:p w:rsidR="00275CE5" w:rsidRPr="005103B5" w:rsidRDefault="00275CE5" w:rsidP="00275CE5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5103B5">
        <w:rPr>
          <w:rFonts w:eastAsia="Times New Roman"/>
          <w:szCs w:val="20"/>
          <w:lang w:val="fi-FI" w:eastAsia="en-GB"/>
        </w:rPr>
        <w:t>–</w:t>
      </w:r>
      <w:r w:rsidRPr="005103B5">
        <w:rPr>
          <w:rFonts w:eastAsia="Times New Roman"/>
          <w:szCs w:val="20"/>
          <w:lang w:val="fi-FI" w:eastAsia="en-GB"/>
        </w:rPr>
        <w:tab/>
        <w:t>ottaa huomioon neuvoston edustajan 21. helmikuuta 2024 päivätyllä kirjeellä antaman sitoumuksen hyväksyä Euroopan parlamentin kanta Euroopan unionin toiminnasta tehdyn sopimuksen 294 artiklan 4 kohdan mukaisesti,</w:t>
      </w:r>
    </w:p>
    <w:p w:rsidR="00275CE5" w:rsidRPr="005103B5" w:rsidRDefault="00275CE5" w:rsidP="00275CE5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5103B5">
        <w:rPr>
          <w:rFonts w:eastAsia="Times New Roman"/>
          <w:szCs w:val="20"/>
          <w:lang w:val="fi-FI" w:eastAsia="en-GB"/>
        </w:rPr>
        <w:t>–</w:t>
      </w:r>
      <w:r w:rsidRPr="005103B5">
        <w:rPr>
          <w:rFonts w:eastAsia="Times New Roman"/>
          <w:szCs w:val="20"/>
          <w:lang w:val="fi-FI" w:eastAsia="en-GB"/>
        </w:rPr>
        <w:tab/>
        <w:t>ottaa huomioon työjärjestyksen 59 artiklan,</w:t>
      </w:r>
    </w:p>
    <w:p w:rsidR="00275CE5" w:rsidRPr="005103B5" w:rsidRDefault="00275CE5" w:rsidP="00275CE5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5103B5">
        <w:rPr>
          <w:rFonts w:eastAsia="Times New Roman"/>
          <w:szCs w:val="20"/>
          <w:lang w:val="fi-FI" w:eastAsia="en-GB"/>
        </w:rPr>
        <w:t>–</w:t>
      </w:r>
      <w:r w:rsidRPr="005103B5">
        <w:rPr>
          <w:rFonts w:eastAsia="Times New Roman"/>
          <w:szCs w:val="20"/>
          <w:lang w:val="fi-FI" w:eastAsia="en-GB"/>
        </w:rPr>
        <w:tab/>
        <w:t>ottaa huomioon ympäristön, kansanterveyden ja elintarvikkeiden turvallisuuden valiokunnan mietinnön (A9-0037/2024),</w:t>
      </w:r>
    </w:p>
    <w:p w:rsidR="00275CE5" w:rsidRPr="005103B5" w:rsidRDefault="00275CE5" w:rsidP="00275CE5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5103B5">
        <w:rPr>
          <w:rFonts w:eastAsia="Times New Roman"/>
          <w:szCs w:val="20"/>
          <w:lang w:val="fi-FI" w:eastAsia="en-GB"/>
        </w:rPr>
        <w:lastRenderedPageBreak/>
        <w:t>1.</w:t>
      </w:r>
      <w:r w:rsidRPr="005103B5">
        <w:rPr>
          <w:rFonts w:eastAsia="Times New Roman"/>
          <w:szCs w:val="20"/>
          <w:lang w:val="fi-FI" w:eastAsia="en-GB"/>
        </w:rPr>
        <w:tab/>
        <w:t>vahvistaa jäljempänä esitetyn ensimmäisen käsittelyn kannan;</w:t>
      </w:r>
    </w:p>
    <w:p w:rsidR="00275CE5" w:rsidRPr="005103B5" w:rsidRDefault="00275CE5" w:rsidP="00275CE5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5103B5">
        <w:rPr>
          <w:rFonts w:eastAsia="Times New Roman"/>
          <w:szCs w:val="20"/>
          <w:lang w:val="fi-FI" w:eastAsia="en-GB"/>
        </w:rPr>
        <w:t>2.</w:t>
      </w:r>
      <w:r w:rsidRPr="005103B5">
        <w:rPr>
          <w:rFonts w:eastAsia="Times New Roman"/>
          <w:szCs w:val="20"/>
          <w:lang w:val="fi-FI" w:eastAsia="en-GB"/>
        </w:rPr>
        <w:tab/>
        <w:t>pyytää komissiota antamaan asian uudelleen Euroopan parlamentin käsiteltäväksi, jos se korvaa ehdotuksensa, muuttaa sitä huomattavasti tai aikoo muuttaa sitä huomattavasti;</w:t>
      </w:r>
    </w:p>
    <w:p w:rsidR="00275CE5" w:rsidRPr="005103B5" w:rsidRDefault="00275CE5" w:rsidP="00275CE5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  <w:sectPr w:rsidR="00275CE5" w:rsidRPr="005103B5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5103B5">
        <w:rPr>
          <w:rFonts w:eastAsia="Times New Roman"/>
          <w:szCs w:val="20"/>
          <w:lang w:val="fi-FI" w:eastAsia="en-GB"/>
        </w:rPr>
        <w:t>3.</w:t>
      </w:r>
      <w:r w:rsidRPr="005103B5">
        <w:rPr>
          <w:rFonts w:eastAsia="Times New Roman"/>
          <w:szCs w:val="20"/>
          <w:lang w:val="fi-FI" w:eastAsia="en-GB"/>
        </w:rPr>
        <w:tab/>
        <w:t>kehottaa puhemiestä välittämään parlamentin kannan neuvostolle ja komissiolle sekä kansallisille parlamenteille.</w:t>
      </w:r>
    </w:p>
    <w:p w:rsidR="00275CE5" w:rsidRPr="005103B5" w:rsidRDefault="00275CE5" w:rsidP="00275CE5">
      <w:pPr>
        <w:spacing w:after="240"/>
        <w:rPr>
          <w:b/>
          <w:lang w:val="fi-FI"/>
        </w:rPr>
      </w:pPr>
      <w:r w:rsidRPr="005103B5">
        <w:rPr>
          <w:b/>
          <w:lang w:val="fi-FI"/>
        </w:rPr>
        <w:lastRenderedPageBreak/>
        <w:t>P9_TC1-</w:t>
      </w:r>
      <w:proofErr w:type="gramStart"/>
      <w:r w:rsidRPr="005103B5">
        <w:rPr>
          <w:b/>
          <w:lang w:val="fi-FI"/>
        </w:rPr>
        <w:t>COD(</w:t>
      </w:r>
      <w:proofErr w:type="gramEnd"/>
      <w:r w:rsidRPr="005103B5">
        <w:rPr>
          <w:b/>
          <w:lang w:val="fi-FI"/>
        </w:rPr>
        <w:t>2023)0</w:t>
      </w:r>
      <w:r w:rsidR="00910485" w:rsidRPr="005103B5">
        <w:rPr>
          <w:b/>
          <w:lang w:val="fi-FI"/>
        </w:rPr>
        <w:t>356</w:t>
      </w:r>
    </w:p>
    <w:p w:rsidR="00275CE5" w:rsidRPr="005103B5" w:rsidRDefault="00275CE5" w:rsidP="00B920AB">
      <w:pPr>
        <w:spacing w:after="240"/>
        <w:jc w:val="left"/>
        <w:rPr>
          <w:rFonts w:eastAsia="Calibri"/>
          <w:b/>
          <w:noProof/>
          <w:szCs w:val="22"/>
          <w:lang w:val="fi-FI"/>
        </w:rPr>
      </w:pPr>
      <w:r w:rsidRPr="005103B5">
        <w:rPr>
          <w:b/>
          <w:lang w:val="fi-FI"/>
        </w:rPr>
        <w:t xml:space="preserve">Euroopan parlamentin kanta, vahvistettu ensimmäisessä käsittelyssä </w:t>
      </w:r>
      <w:r w:rsidR="00910485" w:rsidRPr="005103B5">
        <w:rPr>
          <w:b/>
          <w:lang w:val="fi-FI"/>
        </w:rPr>
        <w:t>14. maalis</w:t>
      </w:r>
      <w:r w:rsidRPr="005103B5">
        <w:rPr>
          <w:b/>
          <w:lang w:val="fi-FI"/>
        </w:rPr>
        <w:t xml:space="preserve">kuuta 2024, Euroopan parlamentin ja neuvoston päätöksen (EU) 2024/… antamiseksi </w:t>
      </w:r>
      <w:r w:rsidRPr="005103B5">
        <w:rPr>
          <w:rFonts w:eastAsia="Calibri"/>
          <w:b/>
          <w:noProof/>
          <w:szCs w:val="22"/>
          <w:lang w:val="fi-FI"/>
        </w:rPr>
        <w:t>direktiivin 2007/2/EY muuttamisesta tiettyjä paikkatietoinfrastruktuureja koskevien raportointivaatimusten osalta</w:t>
      </w:r>
    </w:p>
    <w:p w:rsidR="000C7157" w:rsidRPr="005103B5" w:rsidRDefault="000C7157" w:rsidP="000C7157">
      <w:pPr>
        <w:widowControl w:val="0"/>
        <w:suppressAutoHyphens/>
        <w:rPr>
          <w:i/>
          <w:lang w:val="fi-FI"/>
        </w:rPr>
      </w:pPr>
      <w:r w:rsidRPr="005103B5">
        <w:rPr>
          <w:i/>
          <w:lang w:val="fi-FI"/>
        </w:rPr>
        <w:t xml:space="preserve">(Euroopan parlamentin ja neuvoston päästyä sopimukseen parlamentin kanta vastaa lopullista säädöstä, päätöstä (EU) </w:t>
      </w:r>
      <w:r w:rsidRPr="005103B5">
        <w:rPr>
          <w:rFonts w:eastAsia="Times New Roman"/>
          <w:i/>
          <w:szCs w:val="20"/>
          <w:lang w:val="fi-FI" w:eastAsia="en-GB"/>
        </w:rPr>
        <w:t>2024/2829</w:t>
      </w:r>
      <w:r w:rsidRPr="005103B5">
        <w:rPr>
          <w:i/>
          <w:lang w:val="fi-FI"/>
        </w:rPr>
        <w:t>.)</w:t>
      </w:r>
    </w:p>
    <w:sectPr w:rsidR="000C7157" w:rsidRPr="005103B5">
      <w:footnotePr>
        <w:numRestart w:val="eachSect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CE5" w:rsidRDefault="00275CE5" w:rsidP="00275CE5">
      <w:r>
        <w:separator/>
      </w:r>
    </w:p>
  </w:endnote>
  <w:endnote w:type="continuationSeparator" w:id="0">
    <w:p w:rsidR="00275CE5" w:rsidRDefault="00275CE5" w:rsidP="00275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CE5" w:rsidRDefault="00275CE5" w:rsidP="00275CE5">
      <w:r>
        <w:separator/>
      </w:r>
    </w:p>
  </w:footnote>
  <w:footnote w:type="continuationSeparator" w:id="0">
    <w:p w:rsidR="00275CE5" w:rsidRDefault="00275CE5" w:rsidP="00275CE5">
      <w:r>
        <w:continuationSeparator/>
      </w:r>
    </w:p>
  </w:footnote>
  <w:footnote w:id="1">
    <w:p w:rsidR="00275CE5" w:rsidRPr="00B920AB" w:rsidRDefault="00275CE5" w:rsidP="00B920AB">
      <w:pPr>
        <w:pStyle w:val="FootnoteText"/>
        <w:ind w:left="567" w:hanging="567"/>
        <w:jc w:val="left"/>
        <w:rPr>
          <w:sz w:val="24"/>
          <w:szCs w:val="24"/>
          <w:lang w:val="fi-FI"/>
        </w:rPr>
      </w:pPr>
      <w:r w:rsidRPr="00B920AB">
        <w:rPr>
          <w:rStyle w:val="FootnoteReference"/>
          <w:sz w:val="24"/>
          <w:szCs w:val="24"/>
          <w:lang w:val="fi-FI"/>
        </w:rPr>
        <w:footnoteRef/>
      </w:r>
      <w:r w:rsidRPr="00B920AB">
        <w:rPr>
          <w:sz w:val="24"/>
          <w:szCs w:val="24"/>
          <w:lang w:val="fi-FI"/>
        </w:rPr>
        <w:t xml:space="preserve"> </w:t>
      </w:r>
      <w:r w:rsidRPr="00B920AB">
        <w:rPr>
          <w:sz w:val="24"/>
          <w:szCs w:val="24"/>
          <w:lang w:val="fi-FI"/>
        </w:rPr>
        <w:tab/>
        <w:t xml:space="preserve">EUVL C, C/2024/1586, 05.03.2024, ELI: </w:t>
      </w:r>
      <w:hyperlink r:id="rId1" w:history="1">
        <w:r w:rsidRPr="00B920AB">
          <w:rPr>
            <w:rStyle w:val="Hyperlink"/>
            <w:sz w:val="24"/>
            <w:szCs w:val="24"/>
            <w:lang w:val="fi-FI"/>
          </w:rPr>
          <w:t>http://data.europa.eu/eli/C/2024/1586/oj</w:t>
        </w:r>
      </w:hyperlink>
      <w:r w:rsidRPr="00B920AB">
        <w:rPr>
          <w:sz w:val="24"/>
          <w:szCs w:val="24"/>
          <w:lang w:val="fi-FI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C5D"/>
    <w:rsid w:val="000C7157"/>
    <w:rsid w:val="00275CE5"/>
    <w:rsid w:val="005103B5"/>
    <w:rsid w:val="005762E3"/>
    <w:rsid w:val="008765BE"/>
    <w:rsid w:val="00910485"/>
    <w:rsid w:val="00B920AB"/>
    <w:rsid w:val="00D2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1B6A8"/>
  <w15:chartTrackingRefBased/>
  <w15:docId w15:val="{8D15935E-2D60-46C9-971C-FF2850898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75CE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5CE5"/>
    <w:rPr>
      <w:rFonts w:ascii="Times New Roman" w:hAnsi="Times New Roman"/>
      <w:sz w:val="20"/>
      <w:szCs w:val="20"/>
    </w:rPr>
  </w:style>
  <w:style w:type="character" w:styleId="FootnoteReference">
    <w:name w:val="footnote reference"/>
    <w:semiHidden/>
    <w:unhideWhenUsed/>
    <w:rsid w:val="00275CE5"/>
    <w:rPr>
      <w:b w:val="0"/>
      <w:bCs w:val="0"/>
      <w:vertAlign w:val="superscript"/>
    </w:rPr>
  </w:style>
  <w:style w:type="character" w:customStyle="1" w:styleId="Hyperlink1">
    <w:name w:val="Hyperlink1"/>
    <w:basedOn w:val="DefaultParagraphFont"/>
    <w:semiHidden/>
    <w:unhideWhenUsed/>
    <w:rsid w:val="00275CE5"/>
    <w:rPr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275CE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nhideWhenUsed/>
    <w:rsid w:val="000C71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7157"/>
    <w:pPr>
      <w:widowControl w:val="0"/>
      <w:autoSpaceDE w:val="0"/>
      <w:autoSpaceDN w:val="0"/>
      <w:spacing w:line="360" w:lineRule="auto"/>
      <w:jc w:val="left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7157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1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15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7157"/>
    <w:rPr>
      <w:color w:val="954F72" w:themeColor="followedHyperlink"/>
      <w:u w:val="single"/>
    </w:rPr>
  </w:style>
  <w:style w:type="paragraph" w:customStyle="1" w:styleId="ATHeading1">
    <w:name w:val="AT Heading 1"/>
    <w:basedOn w:val="Normal"/>
    <w:next w:val="Normal"/>
    <w:rsid w:val="005103B5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fi-FI" w:eastAsia="fr-FR"/>
    </w:rPr>
  </w:style>
  <w:style w:type="paragraph" w:customStyle="1" w:styleId="ATHeading2">
    <w:name w:val="AT Heading 2"/>
    <w:basedOn w:val="Normal"/>
    <w:next w:val="Normal"/>
    <w:rsid w:val="005103B5"/>
    <w:pPr>
      <w:spacing w:before="120" w:after="120"/>
      <w:jc w:val="left"/>
      <w:outlineLvl w:val="1"/>
    </w:pPr>
    <w:rPr>
      <w:rFonts w:eastAsia="Times New Roman"/>
      <w:b/>
      <w:sz w:val="28"/>
      <w:szCs w:val="20"/>
      <w:lang w:val="fi-FI" w:eastAsia="fr-FR"/>
    </w:rPr>
  </w:style>
  <w:style w:type="paragraph" w:customStyle="1" w:styleId="ATHeading3">
    <w:name w:val="AT Heading 3"/>
    <w:basedOn w:val="Normal"/>
    <w:next w:val="Normal"/>
    <w:rsid w:val="005103B5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val="fi-FI" w:eastAsia="fr-FR"/>
    </w:rPr>
  </w:style>
  <w:style w:type="paragraph" w:customStyle="1" w:styleId="NormalBold">
    <w:name w:val="NormalBold"/>
    <w:basedOn w:val="Normal"/>
    <w:rsid w:val="005103B5"/>
    <w:pPr>
      <w:widowControl w:val="0"/>
      <w:jc w:val="left"/>
    </w:pPr>
    <w:rPr>
      <w:rFonts w:eastAsia="Times New Roman"/>
      <w:b/>
      <w:szCs w:val="20"/>
      <w:lang w:val="fi-FI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74A51-B88C-448A-9379-AF696F72E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Hannele</dc:creator>
  <cp:keywords/>
  <dc:description/>
  <cp:lastModifiedBy>KINNUNEN Hannele</cp:lastModifiedBy>
  <cp:revision>3</cp:revision>
  <dcterms:created xsi:type="dcterms:W3CDTF">2024-11-28T14:46:00Z</dcterms:created>
  <dcterms:modified xsi:type="dcterms:W3CDTF">2025-01-08T14:12:00Z</dcterms:modified>
</cp:coreProperties>
</file>