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67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6703" w:rsidRDefault="007B08F8" w:rsidP="0010095E">
            <w:pPr>
              <w:pStyle w:val="EPName"/>
            </w:pPr>
            <w:r w:rsidRPr="009A6703">
              <w:t>Eiropas Parlaments</w:t>
            </w:r>
          </w:p>
          <w:p w:rsidR="00751A4A" w:rsidRPr="009A670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670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A6703" w:rsidRDefault="00187494" w:rsidP="0010095E">
            <w:pPr>
              <w:pStyle w:val="EPLogo"/>
            </w:pPr>
            <w:r w:rsidRPr="009A670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6703" w:rsidRDefault="00D058B8" w:rsidP="004C5D52">
      <w:pPr>
        <w:pStyle w:val="LineTop"/>
      </w:pPr>
    </w:p>
    <w:p w:rsidR="00680577" w:rsidRPr="009A6703" w:rsidRDefault="007B08F8" w:rsidP="00680577">
      <w:pPr>
        <w:pStyle w:val="EPBodyTA1"/>
      </w:pPr>
      <w:r w:rsidRPr="009A6703">
        <w:t>PIEŅEMTIE TEKSTI</w:t>
      </w:r>
    </w:p>
    <w:p w:rsidR="00D058B8" w:rsidRPr="009A6703" w:rsidRDefault="00D058B8" w:rsidP="00D058B8">
      <w:pPr>
        <w:pStyle w:val="LineBottom"/>
      </w:pPr>
    </w:p>
    <w:p w:rsidR="007B08F8" w:rsidRPr="009A6703" w:rsidRDefault="007B08F8" w:rsidP="007B08F8">
      <w:pPr>
        <w:pStyle w:val="ATHeading1"/>
      </w:pPr>
      <w:bookmarkStart w:id="0" w:name="TANumber"/>
      <w:r w:rsidRPr="009A6703">
        <w:t>P9_TA(2024)0</w:t>
      </w:r>
      <w:bookmarkEnd w:id="0"/>
      <w:r w:rsidR="008963EB" w:rsidRPr="009A6703">
        <w:t>166</w:t>
      </w:r>
    </w:p>
    <w:p w:rsidR="007B08F8" w:rsidRPr="009A6703" w:rsidRDefault="007B08F8" w:rsidP="007B08F8">
      <w:pPr>
        <w:pStyle w:val="ATHeading2"/>
      </w:pPr>
      <w:bookmarkStart w:id="1" w:name="title"/>
      <w:r w:rsidRPr="009A6703">
        <w:t>Prasības ziņošanai par telpiskās informācijas infrastruktūrām</w:t>
      </w:r>
      <w:bookmarkEnd w:id="1"/>
    </w:p>
    <w:p w:rsidR="007B08F8" w:rsidRPr="009A6703" w:rsidRDefault="007B08F8" w:rsidP="007B08F8">
      <w:pPr>
        <w:rPr>
          <w:i/>
          <w:vanish/>
        </w:rPr>
      </w:pPr>
      <w:r w:rsidRPr="009A6703">
        <w:rPr>
          <w:i/>
        </w:rPr>
        <w:fldChar w:fldCharType="begin"/>
      </w:r>
      <w:r w:rsidRPr="009A6703">
        <w:rPr>
          <w:i/>
        </w:rPr>
        <w:instrText xml:space="preserve"> TC"(</w:instrText>
      </w:r>
      <w:bookmarkStart w:id="2" w:name="DocNumber"/>
      <w:r w:rsidRPr="009A6703">
        <w:rPr>
          <w:i/>
        </w:rPr>
        <w:instrText>A9-0037/2024</w:instrText>
      </w:r>
      <w:bookmarkEnd w:id="2"/>
      <w:r w:rsidRPr="009A6703">
        <w:rPr>
          <w:i/>
        </w:rPr>
        <w:instrText xml:space="preserve"> - Referents: Ivan </w:instrText>
      </w:r>
      <w:proofErr w:type="spellStart"/>
      <w:r w:rsidRPr="009A6703">
        <w:rPr>
          <w:i/>
        </w:rPr>
        <w:instrText>Vilibor</w:instrText>
      </w:r>
      <w:proofErr w:type="spellEnd"/>
      <w:r w:rsidRPr="009A6703">
        <w:rPr>
          <w:i/>
        </w:rPr>
        <w:instrText xml:space="preserve"> </w:instrText>
      </w:r>
      <w:proofErr w:type="spellStart"/>
      <w:r w:rsidRPr="009A6703">
        <w:rPr>
          <w:i/>
        </w:rPr>
        <w:instrText>Sinčić</w:instrText>
      </w:r>
      <w:proofErr w:type="spellEnd"/>
      <w:r w:rsidRPr="009A6703">
        <w:rPr>
          <w:i/>
        </w:rPr>
        <w:instrText xml:space="preserve">)"\l3 \n&gt; \* MERGEFORMAT </w:instrText>
      </w:r>
      <w:r w:rsidRPr="009A6703">
        <w:rPr>
          <w:i/>
        </w:rPr>
        <w:fldChar w:fldCharType="end"/>
      </w:r>
    </w:p>
    <w:p w:rsidR="007B08F8" w:rsidRPr="009A6703" w:rsidRDefault="007B08F8" w:rsidP="007B08F8">
      <w:pPr>
        <w:rPr>
          <w:vanish/>
        </w:rPr>
      </w:pPr>
      <w:bookmarkStart w:id="3" w:name="Commission"/>
      <w:r w:rsidRPr="009A6703">
        <w:rPr>
          <w:vanish/>
        </w:rPr>
        <w:t>Vides, sabiedrības veselības un pārtikas nekaitīguma komiteja</w:t>
      </w:r>
      <w:bookmarkEnd w:id="3"/>
    </w:p>
    <w:p w:rsidR="007B08F8" w:rsidRPr="009A6703" w:rsidRDefault="007B08F8" w:rsidP="007B08F8">
      <w:pPr>
        <w:rPr>
          <w:vanish/>
        </w:rPr>
      </w:pPr>
      <w:bookmarkStart w:id="4" w:name="PE"/>
      <w:r w:rsidRPr="009A6703">
        <w:rPr>
          <w:vanish/>
        </w:rPr>
        <w:t>PE757.105</w:t>
      </w:r>
      <w:bookmarkEnd w:id="4"/>
    </w:p>
    <w:p w:rsidR="007B08F8" w:rsidRPr="009A6703" w:rsidRDefault="007B08F8" w:rsidP="007B08F8">
      <w:pPr>
        <w:pStyle w:val="ATHeading3"/>
      </w:pPr>
      <w:bookmarkStart w:id="5" w:name="Sujet"/>
      <w:r w:rsidRPr="009A6703">
        <w:t xml:space="preserve">Eiropas Parlamenta 2024. gada </w:t>
      </w:r>
      <w:r w:rsidR="00582C32" w:rsidRPr="009A6703">
        <w:t>14</w:t>
      </w:r>
      <w:r w:rsidRPr="009A6703">
        <w:t xml:space="preserve">. </w:t>
      </w:r>
      <w:r w:rsidR="00582C32" w:rsidRPr="009A6703">
        <w:t>marta</w:t>
      </w:r>
      <w:r w:rsidRPr="009A6703">
        <w:t xml:space="preserve"> normatīvā rezolūcija par priekšlikumu Eiropas Parlamenta un Padomes lēmumam, </w:t>
      </w:r>
      <w:bookmarkEnd w:id="5"/>
      <w:r w:rsidR="005D6C09" w:rsidRPr="00A41107">
        <w:rPr>
          <w:noProof/>
        </w:rPr>
        <w:t>ar ko Direktīvu 2007/2/EK groza attiecībā uz dažām prasībām ziņošanai par telpiskās informācijas infrastruktūrām</w:t>
      </w:r>
      <w:r w:rsidRPr="009A6703">
        <w:t xml:space="preserve"> </w:t>
      </w:r>
      <w:bookmarkStart w:id="6" w:name="References"/>
      <w:r w:rsidRPr="009A6703">
        <w:t>(COM(2023)0584 – C9-0385/2023 – 2023/0356(COD))</w:t>
      </w:r>
      <w:bookmarkEnd w:id="6"/>
    </w:p>
    <w:p w:rsidR="009B0D8D" w:rsidRPr="009A6703" w:rsidRDefault="009B0D8D" w:rsidP="009B0D8D">
      <w:pPr>
        <w:pStyle w:val="NormalBold"/>
      </w:pPr>
      <w:bookmarkStart w:id="7" w:name="TextBodyBegin"/>
      <w:bookmarkEnd w:id="7"/>
      <w:r w:rsidRPr="009A6703">
        <w:t>(Parastā likumdošanas procedūra: pirmais lasījums)</w:t>
      </w:r>
    </w:p>
    <w:p w:rsidR="009B0D8D" w:rsidRPr="009A6703" w:rsidRDefault="009B0D8D" w:rsidP="009B0D8D">
      <w:pPr>
        <w:pStyle w:val="EPComma"/>
      </w:pPr>
      <w:r w:rsidRPr="009A6703">
        <w:rPr>
          <w:i/>
        </w:rPr>
        <w:t>Eiropas Parlaments</w:t>
      </w:r>
      <w:r w:rsidRPr="009A6703">
        <w:t>,</w:t>
      </w:r>
    </w:p>
    <w:p w:rsidR="009B0D8D" w:rsidRPr="009A6703" w:rsidRDefault="009B0D8D" w:rsidP="009B0D8D">
      <w:pPr>
        <w:pStyle w:val="NormalHanging12a"/>
      </w:pPr>
      <w:r w:rsidRPr="009A6703">
        <w:t>–</w:t>
      </w:r>
      <w:r w:rsidRPr="009A6703">
        <w:tab/>
        <w:t>ņemot vērā Komisijas priekšlikumu Eiropas Parlamentam un Padomei (COM(2023)0584),</w:t>
      </w:r>
    </w:p>
    <w:p w:rsidR="009B0D8D" w:rsidRPr="009A6703" w:rsidRDefault="009B0D8D" w:rsidP="009B0D8D">
      <w:pPr>
        <w:pStyle w:val="NormalHanging12a"/>
      </w:pPr>
      <w:r w:rsidRPr="009A6703">
        <w:t>–</w:t>
      </w:r>
      <w:r w:rsidRPr="009A6703">
        <w:tab/>
        <w:t>ņemot vērā Līguma par Eiropas Savienības darbību 294. panta 2. punktu un 192. panta 1. punktu, saskaņā ar kuriem Komisija tam ir iesniegusi priekšlikumu (C9</w:t>
      </w:r>
      <w:r w:rsidRPr="009A6703">
        <w:noBreakHyphen/>
        <w:t>0385/2023),</w:t>
      </w:r>
    </w:p>
    <w:p w:rsidR="009B0D8D" w:rsidRPr="009A6703" w:rsidRDefault="009B0D8D" w:rsidP="009B0D8D">
      <w:pPr>
        <w:pStyle w:val="NormalHanging12a"/>
      </w:pPr>
      <w:r w:rsidRPr="009A6703">
        <w:t>–</w:t>
      </w:r>
      <w:r w:rsidRPr="009A6703">
        <w:tab/>
        <w:t>ņemot vērā Līguma par Eiropas Savienības darbību 294. panta 3. punktu,</w:t>
      </w:r>
    </w:p>
    <w:p w:rsidR="009B0D8D" w:rsidRPr="009A6703" w:rsidRDefault="009B0D8D" w:rsidP="009B0D8D">
      <w:pPr>
        <w:pStyle w:val="NormalHanging12a"/>
        <w:rPr>
          <w:szCs w:val="24"/>
          <w:vertAlign w:val="superscript"/>
        </w:rPr>
      </w:pPr>
      <w:r w:rsidRPr="009A6703">
        <w:t>–</w:t>
      </w:r>
      <w:r w:rsidRPr="009A6703">
        <w:tab/>
        <w:t>ņemot vērā Eiropas Ekonomikas un sociālo lietu komitejas 2023. gada 13. decembra atzinumu</w:t>
      </w:r>
      <w:r w:rsidRPr="009A6703">
        <w:rPr>
          <w:rStyle w:val="FootnoteReference"/>
          <w:szCs w:val="24"/>
        </w:rPr>
        <w:footnoteReference w:id="1"/>
      </w:r>
      <w:r w:rsidRPr="009A6703">
        <w:t>,</w:t>
      </w:r>
    </w:p>
    <w:p w:rsidR="009B0D8D" w:rsidRPr="009A6703" w:rsidRDefault="009B0D8D" w:rsidP="009B0D8D">
      <w:pPr>
        <w:pStyle w:val="NormalHanging12a"/>
      </w:pPr>
      <w:r w:rsidRPr="009A6703">
        <w:t>–</w:t>
      </w:r>
      <w:r w:rsidRPr="009A6703">
        <w:tab/>
        <w:t>pēc apspriešanās ar Reģionu komiteju,</w:t>
      </w:r>
    </w:p>
    <w:p w:rsidR="00582C32" w:rsidRPr="009A6703" w:rsidRDefault="00582C32" w:rsidP="009B0D8D">
      <w:pPr>
        <w:pStyle w:val="NormalHanging12a"/>
      </w:pPr>
      <w:r w:rsidRPr="009A6703">
        <w:t>–</w:t>
      </w:r>
      <w:r w:rsidRPr="009A6703">
        <w:tab/>
        <w:t>ņemot vērā Padomes pārstāvja 2024. gada 21. februāra vēstulē pausto apņemšanos apstiprināt minēto nostāju saskaņā ar Līguma par Eiropas Savienības darbību 294. panta 4. punktu,</w:t>
      </w:r>
    </w:p>
    <w:p w:rsidR="009B0D8D" w:rsidRPr="009A6703" w:rsidRDefault="009B0D8D" w:rsidP="009B0D8D">
      <w:pPr>
        <w:pStyle w:val="NormalHanging12a"/>
      </w:pPr>
      <w:r w:rsidRPr="009A6703">
        <w:t>–</w:t>
      </w:r>
      <w:r w:rsidRPr="009A6703">
        <w:tab/>
        <w:t>ņemot vērā Reglamenta 59. pantu,</w:t>
      </w:r>
    </w:p>
    <w:p w:rsidR="009B0D8D" w:rsidRPr="009A6703" w:rsidRDefault="009B0D8D" w:rsidP="009B0D8D">
      <w:pPr>
        <w:pStyle w:val="NormalHanging12a"/>
      </w:pPr>
      <w:r w:rsidRPr="009A6703">
        <w:t>–</w:t>
      </w:r>
      <w:r w:rsidRPr="009A6703">
        <w:tab/>
        <w:t>ņemot vērā Vides, sabiedrības veselības un pārtikas nekaitīguma komitejas ziņojumu (A9</w:t>
      </w:r>
      <w:r w:rsidRPr="009A6703">
        <w:noBreakHyphen/>
        <w:t>0037/2024),</w:t>
      </w:r>
    </w:p>
    <w:p w:rsidR="009B0D8D" w:rsidRPr="009A6703" w:rsidRDefault="009B0D8D" w:rsidP="009B0D8D">
      <w:pPr>
        <w:pStyle w:val="NormalHanging12a"/>
      </w:pPr>
      <w:r w:rsidRPr="009A6703">
        <w:t>1.</w:t>
      </w:r>
      <w:r w:rsidRPr="009A6703">
        <w:tab/>
      </w:r>
      <w:r w:rsidR="00582C32" w:rsidRPr="009A6703">
        <w:t>pieņem pirmajā lasījumā turpmāk izklāstīto nostāju</w:t>
      </w:r>
      <w:r w:rsidRPr="009A6703">
        <w:t>;</w:t>
      </w:r>
    </w:p>
    <w:p w:rsidR="009B0D8D" w:rsidRPr="009A6703" w:rsidRDefault="009B0D8D" w:rsidP="009B0D8D">
      <w:pPr>
        <w:pStyle w:val="NormalHanging12a"/>
      </w:pPr>
      <w:r w:rsidRPr="009A6703">
        <w:lastRenderedPageBreak/>
        <w:t>2.</w:t>
      </w:r>
      <w:r w:rsidRPr="009A6703">
        <w:tab/>
        <w:t>prasa Komisijai priekšlikumu Parlamentam iesniegt vēlreiz, ja tā savu priekšlikumu aizstāj, būtiski groza vai ir paredzējusi to būtiski grozīt;</w:t>
      </w:r>
    </w:p>
    <w:p w:rsidR="009A6703" w:rsidRPr="009A6703" w:rsidRDefault="009B0D8D" w:rsidP="009A6703">
      <w:pPr>
        <w:pStyle w:val="NormalHanging12a"/>
        <w:sectPr w:rsidR="009A6703" w:rsidRPr="009A6703" w:rsidSect="004214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A6703">
        <w:t>3.</w:t>
      </w:r>
      <w:r w:rsidRPr="009A6703">
        <w:tab/>
        <w:t>uzdod priekšsēdētājai Parlamenta nostāju nosūtīt Padomei un Komisijai, kā arī dalībvalstu parlamentiem.</w:t>
      </w:r>
    </w:p>
    <w:p w:rsidR="009A6703" w:rsidRPr="009A6703" w:rsidRDefault="009A6703" w:rsidP="009A6703">
      <w:pPr>
        <w:pStyle w:val="Normal12Hanging"/>
        <w:tabs>
          <w:tab w:val="left" w:pos="357"/>
        </w:tabs>
        <w:rPr>
          <w:b/>
          <w:noProof/>
        </w:rPr>
      </w:pPr>
      <w:bookmarkStart w:id="8" w:name="TextBodyEnd"/>
      <w:bookmarkEnd w:id="8"/>
      <w:r w:rsidRPr="009A6703">
        <w:rPr>
          <w:b/>
          <w:noProof/>
        </w:rPr>
        <w:lastRenderedPageBreak/>
        <w:t>P9_TC1-COD(</w:t>
      </w:r>
      <w:r w:rsidRPr="009A6703">
        <w:rPr>
          <w:b/>
          <w:bCs/>
          <w:color w:val="000000"/>
        </w:rPr>
        <w:t>2023)0356</w:t>
      </w:r>
    </w:p>
    <w:p w:rsidR="009A6703" w:rsidRPr="009A6703" w:rsidRDefault="009A6703" w:rsidP="00F6516F">
      <w:pPr>
        <w:pStyle w:val="NormalHanging12a"/>
        <w:ind w:left="0" w:firstLine="0"/>
        <w:rPr>
          <w:b/>
          <w:i/>
        </w:rPr>
      </w:pPr>
      <w:r w:rsidRPr="009A6703">
        <w:rPr>
          <w:b/>
          <w:noProof/>
        </w:rPr>
        <w:t xml:space="preserve">Eiropas Parlamenta nostāja, pieņemta pirmajā lasījumā </w:t>
      </w:r>
      <w:r w:rsidRPr="009A6703">
        <w:rPr>
          <w:b/>
        </w:rPr>
        <w:t>2024. gada 1</w:t>
      </w:r>
      <w:r w:rsidR="00F6516F">
        <w:rPr>
          <w:b/>
        </w:rPr>
        <w:t>4</w:t>
      </w:r>
      <w:bookmarkStart w:id="9" w:name="_GoBack"/>
      <w:bookmarkEnd w:id="9"/>
      <w:r w:rsidRPr="009A6703">
        <w:rPr>
          <w:b/>
        </w:rPr>
        <w:t>. martā</w:t>
      </w:r>
      <w:r w:rsidRPr="009A6703">
        <w:rPr>
          <w:b/>
          <w:noProof/>
        </w:rPr>
        <w:t xml:space="preserve">, lai pieņemtu Eiropas Parlamenta un Padomes Lēmumu (ES) 2024/..., </w:t>
      </w:r>
      <w:bookmarkStart w:id="10" w:name="_Hlk150443673"/>
      <w:r w:rsidR="005D6C09">
        <w:rPr>
          <w:b/>
          <w:bCs/>
          <w:color w:val="000000"/>
          <w:shd w:val="clear" w:color="auto" w:fill="FFFFFF"/>
        </w:rPr>
        <w:t>ar ko Direktīvu 2007/2/EK groza attiecībā uz dažām prasībām ziņošanai par telpiskās informācijas infrastruktūrām</w:t>
      </w:r>
    </w:p>
    <w:bookmarkEnd w:id="10"/>
    <w:p w:rsidR="005D6C09" w:rsidRPr="00DB0BB1" w:rsidRDefault="005D6C09" w:rsidP="005D6C09">
      <w:pPr>
        <w:spacing w:before="360"/>
        <w:ind w:right="-856"/>
        <w:rPr>
          <w:i/>
        </w:rPr>
      </w:pPr>
      <w:r w:rsidRPr="00FB0770">
        <w:rPr>
          <w:i/>
        </w:rPr>
        <w:t>(Tā kā starp Parlamentu un Padomi tika</w:t>
      </w:r>
      <w:r w:rsidRPr="00DB0BB1">
        <w:rPr>
          <w:i/>
        </w:rPr>
        <w:t xml:space="preserve"> panākta vienošanās, Parlamenta nostāja atbilst galīgajam tiesību aktam Lēmumam </w:t>
      </w:r>
      <w:r w:rsidRPr="00D40C2D">
        <w:rPr>
          <w:i/>
          <w:iCs/>
        </w:rPr>
        <w:t>(E</w:t>
      </w:r>
      <w:r>
        <w:rPr>
          <w:i/>
          <w:iCs/>
        </w:rPr>
        <w:t>S</w:t>
      </w:r>
      <w:r w:rsidRPr="00D40C2D">
        <w:rPr>
          <w:i/>
          <w:iCs/>
        </w:rPr>
        <w:t>)</w:t>
      </w:r>
      <w:r>
        <w:rPr>
          <w:i/>
          <w:iCs/>
        </w:rPr>
        <w:t> </w:t>
      </w:r>
      <w:r w:rsidRPr="00D40C2D">
        <w:rPr>
          <w:i/>
          <w:iCs/>
        </w:rPr>
        <w:t>20</w:t>
      </w:r>
      <w:r>
        <w:rPr>
          <w:i/>
          <w:iCs/>
        </w:rPr>
        <w:t>24</w:t>
      </w:r>
      <w:r w:rsidRPr="00D40C2D">
        <w:rPr>
          <w:i/>
          <w:iCs/>
        </w:rPr>
        <w:t>/</w:t>
      </w:r>
      <w:r>
        <w:rPr>
          <w:i/>
          <w:iCs/>
        </w:rPr>
        <w:t>2829</w:t>
      </w:r>
      <w:r w:rsidRPr="00D40C2D">
        <w:rPr>
          <w:i/>
          <w:iCs/>
          <w:noProof/>
        </w:rPr>
        <w:t>.</w:t>
      </w:r>
      <w:r>
        <w:rPr>
          <w:i/>
          <w:iCs/>
          <w:noProof/>
        </w:rPr>
        <w:t>)</w:t>
      </w:r>
    </w:p>
    <w:p w:rsidR="009A6703" w:rsidRPr="008963EB" w:rsidRDefault="009A6703" w:rsidP="009A6703">
      <w:pPr>
        <w:pStyle w:val="NormalHanging12a"/>
      </w:pPr>
    </w:p>
    <w:sectPr w:rsidR="009A6703" w:rsidRPr="008963EB" w:rsidSect="0042147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8F8" w:rsidRPr="00421474" w:rsidRDefault="007B08F8">
      <w:r w:rsidRPr="00421474">
        <w:separator/>
      </w:r>
    </w:p>
  </w:endnote>
  <w:endnote w:type="continuationSeparator" w:id="0">
    <w:p w:rsidR="007B08F8" w:rsidRPr="00421474" w:rsidRDefault="007B08F8">
      <w:r w:rsidRPr="004214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14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14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14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8F8" w:rsidRPr="00421474" w:rsidRDefault="007B08F8">
      <w:r w:rsidRPr="00421474">
        <w:separator/>
      </w:r>
    </w:p>
  </w:footnote>
  <w:footnote w:type="continuationSeparator" w:id="0">
    <w:p w:rsidR="007B08F8" w:rsidRPr="00421474" w:rsidRDefault="007B08F8">
      <w:r w:rsidRPr="00421474">
        <w:continuationSeparator/>
      </w:r>
    </w:p>
  </w:footnote>
  <w:footnote w:id="1">
    <w:p w:rsidR="009B0D8D" w:rsidRPr="00421474" w:rsidRDefault="009B0D8D" w:rsidP="00421474">
      <w:pPr>
        <w:pStyle w:val="FootnoteText"/>
        <w:ind w:left="567" w:hanging="567"/>
        <w:rPr>
          <w:sz w:val="24"/>
          <w:lang w:val="lv-LV"/>
        </w:rPr>
      </w:pPr>
      <w:r w:rsidRPr="00421474">
        <w:rPr>
          <w:rStyle w:val="FootnoteReference"/>
          <w:sz w:val="24"/>
          <w:lang w:val="lv-LV"/>
        </w:rPr>
        <w:footnoteRef/>
      </w:r>
      <w:r w:rsidR="00421474" w:rsidRPr="00421474">
        <w:rPr>
          <w:sz w:val="24"/>
          <w:lang w:val="lv-LV"/>
        </w:rPr>
        <w:t xml:space="preserve"> </w:t>
      </w:r>
      <w:r w:rsidR="00421474" w:rsidRPr="00421474">
        <w:rPr>
          <w:sz w:val="24"/>
          <w:lang w:val="lv-LV"/>
        </w:rPr>
        <w:tab/>
      </w:r>
      <w:r w:rsidR="00582C32" w:rsidRPr="00F57B6C">
        <w:rPr>
          <w:sz w:val="24"/>
          <w:szCs w:val="24"/>
          <w:lang w:val="fi-FI"/>
        </w:rPr>
        <w:t>O</w:t>
      </w:r>
      <w:r w:rsidR="00582C32">
        <w:rPr>
          <w:sz w:val="24"/>
          <w:szCs w:val="24"/>
          <w:lang w:val="fi-FI"/>
        </w:rPr>
        <w:t>V C, C/</w:t>
      </w:r>
      <w:r w:rsidR="00582C32" w:rsidRPr="00895A18">
        <w:rPr>
          <w:sz w:val="24"/>
          <w:szCs w:val="24"/>
          <w:lang w:val="fi-FI"/>
        </w:rPr>
        <w:t>2024</w:t>
      </w:r>
      <w:r w:rsidR="00582C32">
        <w:rPr>
          <w:sz w:val="24"/>
          <w:szCs w:val="24"/>
          <w:lang w:val="fi-FI"/>
        </w:rPr>
        <w:t>/</w:t>
      </w:r>
      <w:r w:rsidR="00582C32" w:rsidRPr="00895A18">
        <w:rPr>
          <w:sz w:val="24"/>
          <w:szCs w:val="24"/>
          <w:lang w:val="fi-FI"/>
        </w:rPr>
        <w:t>1586</w:t>
      </w:r>
      <w:r w:rsidR="00582C32">
        <w:rPr>
          <w:sz w:val="24"/>
          <w:szCs w:val="24"/>
          <w:lang w:val="fi-FI"/>
        </w:rPr>
        <w:t xml:space="preserve">, </w:t>
      </w:r>
      <w:r w:rsidR="00582C32" w:rsidRPr="00895A18">
        <w:rPr>
          <w:sz w:val="24"/>
          <w:szCs w:val="24"/>
          <w:lang w:val="fi-FI"/>
        </w:rPr>
        <w:t>5</w:t>
      </w:r>
      <w:r w:rsidR="00582C32">
        <w:rPr>
          <w:sz w:val="24"/>
          <w:szCs w:val="24"/>
          <w:lang w:val="fi-FI"/>
        </w:rPr>
        <w:t>.</w:t>
      </w:r>
      <w:r w:rsidR="00582C32" w:rsidRPr="00895A18">
        <w:rPr>
          <w:sz w:val="24"/>
          <w:szCs w:val="24"/>
          <w:lang w:val="fi-FI"/>
        </w:rPr>
        <w:t>3</w:t>
      </w:r>
      <w:r w:rsidR="00582C32" w:rsidRPr="00F57B6C">
        <w:rPr>
          <w:sz w:val="24"/>
          <w:szCs w:val="24"/>
          <w:lang w:val="fi-FI"/>
        </w:rPr>
        <w:t>.</w:t>
      </w:r>
      <w:r w:rsidR="00582C32" w:rsidRPr="00895A18">
        <w:rPr>
          <w:sz w:val="24"/>
          <w:szCs w:val="24"/>
          <w:lang w:val="fi-FI"/>
        </w:rPr>
        <w:t>2024</w:t>
      </w:r>
      <w:r w:rsidR="00582C32">
        <w:rPr>
          <w:sz w:val="24"/>
          <w:szCs w:val="24"/>
          <w:lang w:val="fi-FI"/>
        </w:rPr>
        <w:t>.</w:t>
      </w:r>
      <w:r w:rsidR="00582C32" w:rsidRPr="00F57B6C">
        <w:rPr>
          <w:sz w:val="24"/>
          <w:szCs w:val="24"/>
          <w:lang w:val="fi-FI"/>
        </w:rPr>
        <w:t xml:space="preserve">, ELI: </w:t>
      </w:r>
      <w:hyperlink r:id="rId1" w:history="1">
        <w:r w:rsidR="00895A18" w:rsidRPr="00D71B94">
          <w:rPr>
            <w:rStyle w:val="Hyperlink"/>
            <w:sz w:val="24"/>
            <w:szCs w:val="24"/>
            <w:lang w:val="fi-FI"/>
          </w:rPr>
          <w:t>http://data.europa.eu/eli/C/</w:t>
        </w:r>
        <w:r w:rsidR="00895A18" w:rsidRPr="00895A18">
          <w:rPr>
            <w:rStyle w:val="Hyperlink"/>
            <w:sz w:val="24"/>
            <w:szCs w:val="24"/>
            <w:lang w:val="fi-FI"/>
          </w:rPr>
          <w:t>2024</w:t>
        </w:r>
        <w:r w:rsidR="00895A18" w:rsidRPr="00D71B94">
          <w:rPr>
            <w:rStyle w:val="Hyperlink"/>
            <w:sz w:val="24"/>
            <w:szCs w:val="24"/>
            <w:lang w:val="fi-FI"/>
          </w:rPr>
          <w:t>/</w:t>
        </w:r>
        <w:r w:rsidR="00895A18" w:rsidRPr="00895A18">
          <w:rPr>
            <w:rStyle w:val="Hyperlink"/>
            <w:sz w:val="24"/>
            <w:szCs w:val="24"/>
            <w:lang w:val="fi-FI"/>
          </w:rPr>
          <w:t>1586</w:t>
        </w:r>
        <w:r w:rsidR="00895A18" w:rsidRPr="00D71B94">
          <w:rPr>
            <w:rStyle w:val="Hyperlink"/>
            <w:sz w:val="24"/>
            <w:szCs w:val="24"/>
            <w:lang w:val="fi-FI"/>
          </w:rPr>
          <w:t>/oj</w:t>
        </w:r>
      </w:hyperlink>
      <w:r w:rsidR="00895A18">
        <w:rPr>
          <w:sz w:val="24"/>
          <w:szCs w:val="24"/>
          <w:lang w:val="fi-FI"/>
        </w:rPr>
        <w:t xml:space="preserve"> </w:t>
      </w:r>
      <w:r w:rsidR="00582C32" w:rsidRPr="00CC4ABC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14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14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14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LV"/>
    <w:docVar w:name="dvnumam" w:val="2"/>
    <w:docVar w:name="dvpe" w:val="757.105"/>
    <w:docVar w:name="dvrapporteur" w:val="Referents: "/>
    <w:docVar w:name="dvstar" w:val="***I"/>
    <w:docVar w:name="dvtitre" w:val="Eiropas Parlamenta 2024. gada XX. XXX normatīvā rezolūcija par priekšlikumu Eiropas Parlamenta un Padomes lēmumam, ar ko Direktīvu 2007/2/EK groza attiecībā uz dažām prasībām ziņošanai par telpiskās informācijas infrastruktūrām(COM(2023)0584 – C9-0385/2023 – 2023/0356(COD))"/>
  </w:docVars>
  <w:rsids>
    <w:rsidRoot w:val="007B08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AF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47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C32"/>
    <w:rsid w:val="005C2568"/>
    <w:rsid w:val="005D6C0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8F8"/>
    <w:rsid w:val="007D1690"/>
    <w:rsid w:val="007E22AD"/>
    <w:rsid w:val="00817416"/>
    <w:rsid w:val="00842779"/>
    <w:rsid w:val="00865F67"/>
    <w:rsid w:val="00881A7B"/>
    <w:rsid w:val="008840E5"/>
    <w:rsid w:val="00887B3E"/>
    <w:rsid w:val="00895A18"/>
    <w:rsid w:val="008963EB"/>
    <w:rsid w:val="008C2AC6"/>
    <w:rsid w:val="00930C23"/>
    <w:rsid w:val="0093193B"/>
    <w:rsid w:val="00944EF7"/>
    <w:rsid w:val="009509D8"/>
    <w:rsid w:val="00950B64"/>
    <w:rsid w:val="00981893"/>
    <w:rsid w:val="009A6703"/>
    <w:rsid w:val="009B0D8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16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5C8F3"/>
  <w15:chartTrackingRefBased/>
  <w15:docId w15:val="{1550EEC2-07B1-4AAF-A5D6-EDF39F73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0D8D"/>
    <w:pPr>
      <w:spacing w:before="480" w:after="240"/>
    </w:pPr>
  </w:style>
  <w:style w:type="paragraph" w:customStyle="1" w:styleId="NormalBold">
    <w:name w:val="NormalBold"/>
    <w:basedOn w:val="Normal"/>
    <w:rsid w:val="009B0D8D"/>
    <w:rPr>
      <w:b/>
    </w:rPr>
  </w:style>
  <w:style w:type="paragraph" w:customStyle="1" w:styleId="NormalBold12a">
    <w:name w:val="NormalBold12a"/>
    <w:basedOn w:val="Normal"/>
    <w:rsid w:val="009B0D8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B0D8D"/>
    <w:pPr>
      <w:spacing w:after="240"/>
      <w:ind w:left="567" w:hanging="567"/>
    </w:pPr>
  </w:style>
  <w:style w:type="paragraph" w:customStyle="1" w:styleId="Normal6a">
    <w:name w:val="Normal6a"/>
    <w:basedOn w:val="Normal"/>
    <w:rsid w:val="009B0D8D"/>
    <w:pPr>
      <w:spacing w:after="120"/>
    </w:pPr>
  </w:style>
  <w:style w:type="paragraph" w:customStyle="1" w:styleId="AmColumnHeading">
    <w:name w:val="AmColumnHeading"/>
    <w:basedOn w:val="Normal"/>
    <w:rsid w:val="009B0D8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B0D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B0D8D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582C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2C32"/>
    <w:rPr>
      <w:rFonts w:ascii="Segoe UI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rsid w:val="00895A18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A6703"/>
    <w:pPr>
      <w:spacing w:after="480"/>
    </w:pPr>
  </w:style>
  <w:style w:type="paragraph" w:customStyle="1" w:styleId="Fait">
    <w:name w:val="Fait à"/>
    <w:basedOn w:val="Normal"/>
    <w:next w:val="Institutionquisigne"/>
    <w:rsid w:val="009A670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A670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A670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A670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A670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A670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A670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A670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9A670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703"/>
    <w:rPr>
      <w:sz w:val="24"/>
      <w:lang w:val="en-US" w:eastAsia="fr-FR"/>
    </w:rPr>
  </w:style>
  <w:style w:type="paragraph" w:customStyle="1" w:styleId="Normal12Hanging">
    <w:name w:val="Normal12Hanging"/>
    <w:basedOn w:val="Normal"/>
    <w:qFormat/>
    <w:rsid w:val="009A6703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EDE4B-91AD-4374-9D0B-18718C7B5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1858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GOROPECNIK Tina</cp:lastModifiedBy>
  <cp:revision>2</cp:revision>
  <cp:lastPrinted>2004-11-19T15:42:00Z</cp:lastPrinted>
  <dcterms:created xsi:type="dcterms:W3CDTF">2025-01-13T14:59:00Z</dcterms:created>
  <dcterms:modified xsi:type="dcterms:W3CDTF">2025-01-13T14:59:00Z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