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P9_TA(2024)0166</w:t>
      </w:r>
      <w:bookmarkEnd w:id="0"/>
    </w:p>
    <w:p>
      <w:pPr>
        <w:pStyle w:val="ATHeading2"/>
      </w:pPr>
      <w:bookmarkStart w:id="1" w:name="title"/>
      <w:r>
        <w:t>Požiadavky na podávanie správ o infraštruktúrach pre priestorové informácie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A9-0037/2024</w:instrText>
      </w:r>
      <w:bookmarkEnd w:id="2"/>
      <w:r>
        <w:rPr>
          <w:i/>
        </w:rPr>
        <w:instrText xml:space="preserve"> - Spravodajca: Ivan Vilibor Sinčić)"\l3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PE757.105</w:t>
      </w:r>
      <w:bookmarkEnd w:id="4"/>
    </w:p>
    <w:p>
      <w:pPr>
        <w:pStyle w:val="ATHeading3"/>
      </w:pPr>
      <w:bookmarkStart w:id="5" w:name="Sujet"/>
      <w:r>
        <w:t>Legislatívne uznesenie Európskeho parlamentu zo 14. marca 2024 o návrhu rozhodnutia Európskeho parlamentu a Rady, ktorým sa mení smernica 2007/2/ES, pokiaľ ide o určité požiadavky na podávanie správ o infraštruktúrach pre priestorové informácie</w:t>
      </w:r>
      <w:bookmarkEnd w:id="5"/>
      <w:r>
        <w:t xml:space="preserve"> </w:t>
      </w:r>
      <w:bookmarkStart w:id="6" w:name="References"/>
      <w:r>
        <w:t>(COM(2023)0584 – C9-0385/2023 – 2023/0356(COD))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(COM(2023)0584),</w:t>
      </w:r>
    </w:p>
    <w:p>
      <w:pPr>
        <w:pStyle w:val="NormalHanging12a"/>
      </w:pPr>
      <w:r>
        <w:t>–</w:t>
      </w:r>
      <w:r>
        <w:tab/>
        <w:t>so zreteľom na článok 294 ods. 2 a článok 192 ods. 1 Zmluvy o fungovaní Európskej únie, v súlade s ktorými Komisia predložila návrh Európskemu parlamentu (C9</w:t>
      </w:r>
      <w:r>
        <w:noBreakHyphen/>
        <w:t>0385/2023),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szCs w:val="24"/>
          <w:vertAlign w:val="superscript"/>
        </w:rPr>
      </w:pPr>
      <w:r>
        <w:t>–</w:t>
      </w:r>
      <w:r>
        <w:tab/>
        <w:t>so zreteľom na stanovisko Európskeho hospodárskeho a sociálneho výboru z 13. decembra 2023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po porade s Výborom regiónov,</w:t>
      </w:r>
    </w:p>
    <w:p>
      <w:pPr>
        <w:pStyle w:val="NormalHanging12a"/>
      </w:pPr>
      <w:r>
        <w:t>–</w:t>
      </w:r>
      <w:r>
        <w:tab/>
      </w:r>
      <w:r>
        <w:rPr>
          <w:noProof/>
        </w:rPr>
        <w:t>so zreteľom na záväzok zástupcu Rady, vyjadrený v liste z 21. februára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životné prostredie, verejné zdravie a bezpečnosť potravín (A9-0037/2024),</w:t>
      </w:r>
    </w:p>
    <w:p>
      <w:pPr>
        <w:pStyle w:val="NormalHanging12a"/>
      </w:pPr>
      <w:r>
        <w:lastRenderedPageBreak/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Institutionquiagit"/>
        <w:keepNext w:val="0"/>
        <w:spacing w:before="0" w:after="240"/>
        <w:outlineLvl w:val="0"/>
        <w:rPr>
          <w:b/>
        </w:rPr>
      </w:pPr>
      <w:r>
        <w:rPr>
          <w:b/>
        </w:rPr>
        <w:lastRenderedPageBreak/>
        <w:t>P9_TC1-COD(2023)0356</w:t>
      </w:r>
    </w:p>
    <w:p>
      <w:pPr>
        <w:widowControl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14. marca 2024 na účely prijatia rozhodnutia Európskeho parlamentu a Rady (EÚ) 2024/..., </w:t>
      </w:r>
      <w:r>
        <w:rPr>
          <w:rFonts w:eastAsia="Calibri"/>
          <w:b/>
          <w:szCs w:val="22"/>
          <w:lang w:eastAsia="en-US"/>
        </w:rPr>
        <w:t>ktorým sa mení smernica 2007/2/ES, pokiaľ ide o určité požiadavky na podávanie správ o infraštruktúrach pre priestorové informácie</w:t>
      </w:r>
    </w:p>
    <w:p>
      <w:pPr>
        <w:widowControl/>
        <w:rPr>
          <w:rFonts w:eastAsia="Calibri"/>
          <w:b/>
          <w:szCs w:val="22"/>
          <w:lang w:eastAsia="en-US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rozhodnutiu</w:t>
      </w:r>
      <w:bookmarkStart w:id="8" w:name="_GoBack"/>
      <w:bookmarkEnd w:id="8"/>
      <w:r>
        <w:rPr>
          <w:i/>
          <w:iCs/>
        </w:rPr>
        <w:t xml:space="preserve"> (EÚ) 2024/</w:t>
      </w:r>
      <w:r>
        <w:rPr>
          <w:i/>
          <w:iCs/>
        </w:rPr>
        <w:t>2829</w:t>
      </w:r>
      <w:r>
        <w:rPr>
          <w:i/>
          <w:iCs/>
        </w:rPr>
        <w:t>.)</w:t>
      </w:r>
    </w:p>
    <w:p>
      <w:pPr>
        <w:widowControl/>
        <w:rPr>
          <w:rFonts w:eastAsia="Calibri"/>
          <w:b/>
          <w:szCs w:val="22"/>
          <w:lang w:eastAsia="en-US"/>
        </w:rPr>
      </w:pPr>
    </w:p>
    <w:sectPr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szCs w:val="24"/>
          <w:lang w:val="sk-SK"/>
        </w:rPr>
        <w:t xml:space="preserve">Ú. v. EÚ C, C/2024/1586, 5.3.2024, ELI: </w:t>
      </w:r>
      <w:hyperlink r:id="rId1" w:history="1">
        <w:r>
          <w:rPr>
            <w:rStyle w:val="Hyperlink"/>
            <w:sz w:val="24"/>
            <w:szCs w:val="24"/>
            <w:lang w:val="sk-SK"/>
          </w:rPr>
          <w:t>http://data.europa.eu/eli/C/2024/1586/oj</w:t>
        </w:r>
      </w:hyperlink>
      <w:r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SK"/>
    <w:docVar w:name="dvnumam" w:val="2"/>
    <w:docVar w:name="dvpe" w:val="757.105"/>
    <w:docVar w:name="dvrapporteur" w:val="Spravodajca: "/>
    <w:docVar w:name="dvstar" w:val="***I"/>
    <w:docVar w:name="dvtitre" w:val="Legislatívne uznesenie Európskeho parlamentu z xx. marca 2024 o návrhu rozhodnutia Európskeho parlamentu a Rady, ktorým sa mení smernica 2007/2/ES, pokiaľ ide o určité požiadavky na podávanie správ o infraštruktúrach pre priestorové informácie(COM(2023)0584 – C9-0385/2023 – 2023/0356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19E52-6018-4B6D-B9A5-3F6A5EB9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pPr>
      <w:keepNext/>
      <w:spacing w:before="600" w:after="120" w:line="360" w:lineRule="auto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670B-E933-40D8-9471-4C61D48C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2024-12-03T13:18:00Z</dcterms:created>
  <dcterms:modified xsi:type="dcterms:W3CDTF">2024-12-03T13:18:00Z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