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B0128" w:rsidRPr="00A220B9" w:rsidTr="00CB4F5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B0128" w:rsidRPr="00A220B9" w:rsidRDefault="00DB0128" w:rsidP="00DB0128">
            <w:pPr>
              <w:widowControl w:val="0"/>
              <w:spacing w:before="80" w:after="80"/>
              <w:jc w:val="left"/>
              <w:rPr>
                <w:rFonts w:ascii="Arial Narrow" w:eastAsia="Times New Roman" w:hAnsi="Arial Narrow" w:cs="Arial"/>
                <w:b/>
                <w:sz w:val="32"/>
                <w:szCs w:val="22"/>
                <w:lang w:val="fi-FI" w:eastAsia="en-GB"/>
              </w:rPr>
            </w:pPr>
            <w:r w:rsidRPr="00A220B9">
              <w:rPr>
                <w:rFonts w:ascii="Arial Narrow" w:eastAsia="Times New Roman" w:hAnsi="Arial Narrow" w:cs="Arial"/>
                <w:b/>
                <w:sz w:val="32"/>
                <w:szCs w:val="22"/>
                <w:lang w:val="fi-FI" w:eastAsia="en-GB"/>
              </w:rPr>
              <w:t>Euroopan parlamentti</w:t>
            </w:r>
          </w:p>
          <w:p w:rsidR="00DB0128" w:rsidRPr="00A220B9" w:rsidRDefault="00DB0128" w:rsidP="00DB0128">
            <w:pPr>
              <w:widowControl w:val="0"/>
              <w:spacing w:after="80"/>
              <w:jc w:val="left"/>
              <w:rPr>
                <w:rFonts w:ascii="Arial" w:eastAsia="Times New Roman" w:hAnsi="Arial" w:cs="Arial"/>
                <w:sz w:val="20"/>
                <w:szCs w:val="22"/>
                <w:lang w:val="fi-FI" w:eastAsia="en-GB"/>
              </w:rPr>
            </w:pPr>
            <w:r w:rsidRPr="00A220B9">
              <w:rPr>
                <w:rFonts w:ascii="Arial" w:eastAsia="Times New Roman" w:hAnsi="Arial" w:cs="Arial"/>
                <w:sz w:val="20"/>
                <w:szCs w:val="22"/>
                <w:lang w:val="fi-FI" w:eastAsia="en-GB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DB0128" w:rsidRPr="00A220B9" w:rsidRDefault="00DB0128" w:rsidP="00DB0128">
            <w:pPr>
              <w:widowControl w:val="0"/>
              <w:jc w:val="right"/>
              <w:rPr>
                <w:rFonts w:eastAsia="Times New Roman"/>
                <w:szCs w:val="20"/>
                <w:lang w:val="fi-FI" w:eastAsia="en-GB"/>
              </w:rPr>
            </w:pPr>
            <w:r w:rsidRPr="00A220B9">
              <w:rPr>
                <w:rFonts w:eastAsia="Times New Roman"/>
                <w:noProof/>
                <w:szCs w:val="20"/>
                <w:lang w:eastAsia="en-GB"/>
              </w:rPr>
              <w:drawing>
                <wp:inline distT="0" distB="0" distL="0" distR="0" wp14:anchorId="3D468FE3" wp14:editId="570AD3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0128" w:rsidRPr="00A220B9" w:rsidRDefault="00DB0128" w:rsidP="00DB0128">
      <w:pPr>
        <w:widowControl w:val="0"/>
        <w:pBdr>
          <w:top w:val="single" w:sz="4" w:space="1" w:color="auto"/>
        </w:pBdr>
        <w:jc w:val="center"/>
        <w:rPr>
          <w:rFonts w:ascii="Arial" w:eastAsia="Times New Roman" w:hAnsi="Arial" w:cs="Arial"/>
          <w:sz w:val="16"/>
          <w:szCs w:val="16"/>
          <w:lang w:val="fi-FI" w:eastAsia="en-GB"/>
        </w:rPr>
      </w:pPr>
    </w:p>
    <w:p w:rsidR="00DB0128" w:rsidRPr="00A220B9" w:rsidRDefault="00DB0128" w:rsidP="00DB0128">
      <w:pPr>
        <w:widowControl w:val="0"/>
        <w:jc w:val="center"/>
        <w:rPr>
          <w:rFonts w:ascii="Arial" w:eastAsia="Times New Roman" w:hAnsi="Arial" w:cs="Arial"/>
          <w:b/>
          <w:sz w:val="22"/>
          <w:szCs w:val="22"/>
          <w:lang w:val="fi-FI" w:eastAsia="en-GB"/>
        </w:rPr>
      </w:pPr>
      <w:r w:rsidRPr="00A220B9">
        <w:rPr>
          <w:rFonts w:ascii="Arial" w:eastAsia="Times New Roman" w:hAnsi="Arial" w:cs="Arial"/>
          <w:b/>
          <w:sz w:val="22"/>
          <w:szCs w:val="22"/>
          <w:lang w:val="fi-FI" w:eastAsia="en-GB"/>
        </w:rPr>
        <w:t>HYVÄKSYTYT TEKSTIT</w:t>
      </w:r>
    </w:p>
    <w:p w:rsidR="00DB0128" w:rsidRPr="00A220B9" w:rsidRDefault="00DB0128" w:rsidP="00DB0128">
      <w:pPr>
        <w:widowControl w:val="0"/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sz w:val="16"/>
          <w:szCs w:val="16"/>
          <w:lang w:val="fi-FI" w:eastAsia="en-GB"/>
        </w:rPr>
      </w:pPr>
    </w:p>
    <w:p w:rsidR="00DB0128" w:rsidRPr="00A220B9" w:rsidRDefault="00DB0128" w:rsidP="00A220B9">
      <w:pPr>
        <w:pStyle w:val="ATHeading1"/>
      </w:pPr>
      <w:bookmarkStart w:id="0" w:name="TANumber"/>
      <w:r w:rsidRPr="00A220B9">
        <w:t>P9_</w:t>
      </w:r>
      <w:proofErr w:type="gramStart"/>
      <w:r w:rsidRPr="00A220B9">
        <w:t>TA(</w:t>
      </w:r>
      <w:proofErr w:type="gramEnd"/>
      <w:r w:rsidRPr="00A220B9">
        <w:t>2024)0167</w:t>
      </w:r>
      <w:bookmarkEnd w:id="0"/>
    </w:p>
    <w:p w:rsidR="00DB0128" w:rsidRPr="00A220B9" w:rsidRDefault="00DB0128" w:rsidP="00A220B9">
      <w:pPr>
        <w:pStyle w:val="ATHeading2"/>
      </w:pPr>
      <w:bookmarkStart w:id="1" w:name="title"/>
      <w:r w:rsidRPr="00A220B9">
        <w:t>Raportointivaatimukset elintarvikkeiden ja elintarvikkeiden ainesosien, ulkona käytettävien laitteiden melupäästöjen, potilaiden oikeuksien ja radiolaitteiden alalla</w:t>
      </w:r>
      <w:bookmarkEnd w:id="1"/>
    </w:p>
    <w:p w:rsidR="00DB0128" w:rsidRPr="00A220B9" w:rsidRDefault="00DB0128" w:rsidP="00DB0128">
      <w:pPr>
        <w:widowControl w:val="0"/>
        <w:jc w:val="left"/>
        <w:rPr>
          <w:rFonts w:eastAsia="Times New Roman"/>
          <w:i/>
          <w:vanish/>
          <w:szCs w:val="20"/>
          <w:lang w:val="fi-FI" w:eastAsia="en-GB"/>
        </w:rPr>
      </w:pPr>
      <w:r w:rsidRPr="00A220B9">
        <w:rPr>
          <w:rFonts w:eastAsia="Times New Roman"/>
          <w:i/>
          <w:szCs w:val="20"/>
          <w:lang w:val="fi-FI" w:eastAsia="en-GB"/>
        </w:rPr>
        <w:fldChar w:fldCharType="begin"/>
      </w:r>
      <w:r w:rsidRPr="00A220B9">
        <w:rPr>
          <w:rFonts w:eastAsia="Times New Roman"/>
          <w:i/>
          <w:szCs w:val="20"/>
          <w:lang w:val="fi-FI" w:eastAsia="en-GB"/>
        </w:rPr>
        <w:instrText xml:space="preserve"> TC"(</w:instrText>
      </w:r>
      <w:bookmarkStart w:id="2" w:name="DocNumber"/>
      <w:r w:rsidRPr="00A220B9">
        <w:rPr>
          <w:rFonts w:eastAsia="Times New Roman"/>
          <w:i/>
          <w:szCs w:val="20"/>
          <w:lang w:val="fi-FI" w:eastAsia="en-GB"/>
        </w:rPr>
        <w:instrText>A9-0038/2024</w:instrText>
      </w:r>
      <w:bookmarkEnd w:id="2"/>
      <w:r w:rsidRPr="00A220B9">
        <w:rPr>
          <w:rFonts w:eastAsia="Times New Roman"/>
          <w:i/>
          <w:szCs w:val="20"/>
          <w:lang w:val="fi-FI" w:eastAsia="en-GB"/>
        </w:rPr>
        <w:instrText xml:space="preserve"> - Esittelijä: Ivan </w:instrText>
      </w:r>
      <w:proofErr w:type="spellStart"/>
      <w:r w:rsidRPr="00A220B9">
        <w:rPr>
          <w:rFonts w:eastAsia="Times New Roman"/>
          <w:i/>
          <w:szCs w:val="20"/>
          <w:lang w:val="fi-FI" w:eastAsia="en-GB"/>
        </w:rPr>
        <w:instrText>Vilibor</w:instrText>
      </w:r>
      <w:proofErr w:type="spellEnd"/>
      <w:r w:rsidRPr="00A220B9">
        <w:rPr>
          <w:rFonts w:eastAsia="Times New Roman"/>
          <w:i/>
          <w:szCs w:val="20"/>
          <w:lang w:val="fi-FI" w:eastAsia="en-GB"/>
        </w:rPr>
        <w:instrText xml:space="preserve"> </w:instrText>
      </w:r>
      <w:proofErr w:type="spellStart"/>
      <w:r w:rsidRPr="00A220B9">
        <w:rPr>
          <w:rFonts w:eastAsia="Times New Roman"/>
          <w:i/>
          <w:szCs w:val="20"/>
          <w:lang w:val="fi-FI" w:eastAsia="en-GB"/>
        </w:rPr>
        <w:instrText>Sinčić</w:instrText>
      </w:r>
      <w:proofErr w:type="spellEnd"/>
      <w:r w:rsidRPr="00A220B9">
        <w:rPr>
          <w:rFonts w:eastAsia="Times New Roman"/>
          <w:i/>
          <w:szCs w:val="20"/>
          <w:lang w:val="fi-FI" w:eastAsia="en-GB"/>
        </w:rPr>
        <w:instrText xml:space="preserve">)"\l3 \n&gt; \* MERGEFORMAT </w:instrText>
      </w:r>
      <w:r w:rsidRPr="00A220B9">
        <w:rPr>
          <w:rFonts w:eastAsia="Times New Roman"/>
          <w:i/>
          <w:szCs w:val="20"/>
          <w:lang w:val="fi-FI" w:eastAsia="en-GB"/>
        </w:rPr>
        <w:fldChar w:fldCharType="end"/>
      </w:r>
    </w:p>
    <w:p w:rsidR="00DB0128" w:rsidRPr="00A220B9" w:rsidRDefault="00DB0128" w:rsidP="00DB0128">
      <w:pPr>
        <w:widowControl w:val="0"/>
        <w:jc w:val="left"/>
        <w:rPr>
          <w:rFonts w:eastAsia="Times New Roman"/>
          <w:vanish/>
          <w:szCs w:val="20"/>
          <w:lang w:val="fi-FI" w:eastAsia="en-GB"/>
        </w:rPr>
      </w:pPr>
      <w:bookmarkStart w:id="3" w:name="Commission"/>
      <w:r w:rsidRPr="00A220B9">
        <w:rPr>
          <w:rFonts w:eastAsia="Times New Roman"/>
          <w:vanish/>
          <w:szCs w:val="20"/>
          <w:lang w:val="fi-FI" w:eastAsia="en-GB"/>
        </w:rPr>
        <w:t>Ympäristön, kansanterveyden ja elintarvikkeiden turvallisuuden valiokunta</w:t>
      </w:r>
      <w:bookmarkEnd w:id="3"/>
    </w:p>
    <w:p w:rsidR="00DB0128" w:rsidRPr="00A220B9" w:rsidRDefault="00DB0128" w:rsidP="00DB0128">
      <w:pPr>
        <w:widowControl w:val="0"/>
        <w:jc w:val="left"/>
        <w:rPr>
          <w:rFonts w:eastAsia="Times New Roman"/>
          <w:vanish/>
          <w:szCs w:val="20"/>
          <w:lang w:val="fi-FI" w:eastAsia="en-GB"/>
        </w:rPr>
      </w:pPr>
      <w:bookmarkStart w:id="4" w:name="PE"/>
      <w:r w:rsidRPr="00A220B9">
        <w:rPr>
          <w:rFonts w:eastAsia="Times New Roman"/>
          <w:vanish/>
          <w:szCs w:val="20"/>
          <w:lang w:val="fi-FI" w:eastAsia="en-GB"/>
        </w:rPr>
        <w:t>PE757.100</w:t>
      </w:r>
      <w:bookmarkEnd w:id="4"/>
    </w:p>
    <w:p w:rsidR="00DB0128" w:rsidRPr="00A220B9" w:rsidRDefault="00DB0128" w:rsidP="00A220B9">
      <w:pPr>
        <w:pStyle w:val="ATHeading3"/>
      </w:pPr>
      <w:bookmarkStart w:id="5" w:name="Sujet"/>
      <w:r w:rsidRPr="00A220B9">
        <w:t>Euroopan parlamentin lainsäädäntöpäätöslauselma 14. maaliskuuta 2024 ehdotuksesta Euroopan parlamentin ja neuvoston direktiiviksi direktiivien 1999/2/EY, 2000/14/EY, 2011/24/EU ja 2014/53/EU muuttamisesta siltä osin kuin on kyse tietyistä raportointivaatimuksista elintarvikkeiden ja elintarvikkeiden ainesosien, ulkona käytettävien laitteiden melupäästöjen, potilaiden oikeuksien ja radiolaitteiden alalla</w:t>
      </w:r>
      <w:bookmarkEnd w:id="5"/>
      <w:r w:rsidRPr="00A220B9">
        <w:t xml:space="preserve"> </w:t>
      </w:r>
      <w:bookmarkStart w:id="6" w:name="References"/>
      <w:r w:rsidRPr="00A220B9">
        <w:t>(</w:t>
      </w:r>
      <w:proofErr w:type="gramStart"/>
      <w:r w:rsidRPr="00A220B9">
        <w:t>COM(</w:t>
      </w:r>
      <w:proofErr w:type="gramEnd"/>
      <w:r w:rsidRPr="00A220B9">
        <w:t>2023)0639 – C9-0381/2023 – 2023/0369(COD))</w:t>
      </w:r>
      <w:bookmarkEnd w:id="6"/>
    </w:p>
    <w:p w:rsidR="00DB0128" w:rsidRPr="00A220B9" w:rsidRDefault="00DB0128" w:rsidP="00DB0128">
      <w:pPr>
        <w:jc w:val="left"/>
        <w:rPr>
          <w:rFonts w:eastAsia="Times New Roman"/>
          <w:b/>
          <w:szCs w:val="20"/>
          <w:lang w:val="fi-FI" w:eastAsia="en-GB"/>
        </w:rPr>
      </w:pPr>
      <w:bookmarkStart w:id="7" w:name="TextBodyBegin"/>
      <w:bookmarkEnd w:id="7"/>
      <w:r w:rsidRPr="00A220B9">
        <w:rPr>
          <w:rFonts w:eastAsia="Times New Roman"/>
          <w:b/>
          <w:szCs w:val="20"/>
          <w:lang w:val="fi-FI" w:eastAsia="en-GB"/>
        </w:rPr>
        <w:t>(Tavallinen lainsäätämisjärjestys: ensimmäinen käsittely)</w:t>
      </w:r>
    </w:p>
    <w:p w:rsidR="00DB0128" w:rsidRPr="00A220B9" w:rsidRDefault="00DB0128" w:rsidP="00DB0128">
      <w:pPr>
        <w:spacing w:before="480" w:after="240"/>
        <w:jc w:val="left"/>
        <w:rPr>
          <w:rFonts w:eastAsia="Times New Roman"/>
          <w:szCs w:val="20"/>
          <w:lang w:val="fi-FI" w:eastAsia="en-GB"/>
        </w:rPr>
      </w:pPr>
      <w:r w:rsidRPr="00A220B9">
        <w:rPr>
          <w:rFonts w:eastAsia="Times New Roman"/>
          <w:i/>
          <w:iCs/>
          <w:szCs w:val="20"/>
          <w:lang w:val="fi-FI" w:eastAsia="en-GB"/>
        </w:rPr>
        <w:t>Euroopan parlamentti</w:t>
      </w:r>
      <w:r w:rsidRPr="00A220B9">
        <w:rPr>
          <w:rFonts w:eastAsia="Times New Roman"/>
          <w:szCs w:val="20"/>
          <w:lang w:val="fi-FI" w:eastAsia="en-GB"/>
        </w:rPr>
        <w:t>, joka</w:t>
      </w:r>
    </w:p>
    <w:p w:rsidR="00DB0128" w:rsidRPr="00A220B9" w:rsidRDefault="00DB0128" w:rsidP="00DB0128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A220B9">
        <w:rPr>
          <w:rFonts w:eastAsia="Times New Roman"/>
          <w:szCs w:val="20"/>
          <w:lang w:val="fi-FI" w:eastAsia="en-GB"/>
        </w:rPr>
        <w:t>–</w:t>
      </w:r>
      <w:r w:rsidRPr="00A220B9">
        <w:rPr>
          <w:rFonts w:eastAsia="Times New Roman"/>
          <w:szCs w:val="20"/>
          <w:lang w:val="fi-FI" w:eastAsia="en-GB"/>
        </w:rPr>
        <w:tab/>
        <w:t>ottaa huomioon komission ehdotuksen Euroopan parlamentille ja neuvostolle (</w:t>
      </w:r>
      <w:proofErr w:type="gramStart"/>
      <w:r w:rsidRPr="00A220B9">
        <w:rPr>
          <w:rFonts w:eastAsia="Times New Roman"/>
          <w:szCs w:val="20"/>
          <w:lang w:val="fi-FI" w:eastAsia="en-GB"/>
        </w:rPr>
        <w:t>COM(</w:t>
      </w:r>
      <w:proofErr w:type="gramEnd"/>
      <w:r w:rsidRPr="00A220B9">
        <w:rPr>
          <w:rFonts w:eastAsia="Times New Roman"/>
          <w:szCs w:val="20"/>
          <w:lang w:val="fi-FI" w:eastAsia="en-GB"/>
        </w:rPr>
        <w:t>2023)0639),</w:t>
      </w:r>
    </w:p>
    <w:p w:rsidR="00DB0128" w:rsidRPr="00A220B9" w:rsidRDefault="00DB0128" w:rsidP="00DB0128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A220B9">
        <w:rPr>
          <w:rFonts w:eastAsia="Times New Roman"/>
          <w:szCs w:val="20"/>
          <w:lang w:val="fi-FI" w:eastAsia="en-GB"/>
        </w:rPr>
        <w:t>–</w:t>
      </w:r>
      <w:r w:rsidRPr="00A220B9">
        <w:rPr>
          <w:rFonts w:eastAsia="Times New Roman"/>
          <w:szCs w:val="20"/>
          <w:lang w:val="fi-FI" w:eastAsia="en-GB"/>
        </w:rPr>
        <w:tab/>
        <w:t>ottaa huomioon Euroopan unionin toiminnasta tehdyn sopimuksen 294 artiklan 2 kohdan ja 114 artiklan, joiden mukaisesti komissio on antanut ehdotuksen Euroopan parlamentille (C9</w:t>
      </w:r>
      <w:r w:rsidRPr="00A220B9">
        <w:rPr>
          <w:rFonts w:eastAsia="Times New Roman"/>
          <w:szCs w:val="20"/>
          <w:lang w:val="fi-FI" w:eastAsia="en-GB"/>
        </w:rPr>
        <w:noBreakHyphen/>
        <w:t>0381/2023),</w:t>
      </w:r>
    </w:p>
    <w:p w:rsidR="00DB0128" w:rsidRPr="00A220B9" w:rsidRDefault="00DB0128" w:rsidP="00DB0128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A220B9">
        <w:rPr>
          <w:rFonts w:eastAsia="Times New Roman"/>
          <w:szCs w:val="20"/>
          <w:lang w:val="fi-FI" w:eastAsia="en-GB"/>
        </w:rPr>
        <w:t>–</w:t>
      </w:r>
      <w:r w:rsidRPr="00A220B9">
        <w:rPr>
          <w:rFonts w:eastAsia="Times New Roman"/>
          <w:szCs w:val="20"/>
          <w:lang w:val="fi-FI" w:eastAsia="en-GB"/>
        </w:rPr>
        <w:tab/>
        <w:t>ottaa huomioon Euroopan unionin toiminnasta tehdyn sopimuksen 294 artiklan 3 kohdan,</w:t>
      </w:r>
    </w:p>
    <w:p w:rsidR="00DB0128" w:rsidRPr="00A220B9" w:rsidRDefault="00DB0128" w:rsidP="00DB0128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A220B9">
        <w:rPr>
          <w:rFonts w:eastAsia="Times New Roman"/>
          <w:szCs w:val="20"/>
          <w:lang w:val="fi-FI" w:eastAsia="en-GB"/>
        </w:rPr>
        <w:t>–</w:t>
      </w:r>
      <w:r w:rsidRPr="00A220B9">
        <w:rPr>
          <w:rFonts w:eastAsia="Times New Roman"/>
          <w:szCs w:val="20"/>
          <w:lang w:val="fi-FI" w:eastAsia="en-GB"/>
        </w:rPr>
        <w:tab/>
        <w:t>ottaa huomioon Euroopan talous- ja sosiaalikomitean 13. joulukuuta 2023 antaman lausunnon</w:t>
      </w:r>
      <w:r w:rsidRPr="00A220B9">
        <w:rPr>
          <w:rFonts w:eastAsia="Times New Roman"/>
          <w:vertAlign w:val="superscript"/>
          <w:lang w:val="fi-FI" w:eastAsia="en-GB"/>
        </w:rPr>
        <w:footnoteReference w:id="1"/>
      </w:r>
      <w:r w:rsidRPr="00A220B9">
        <w:rPr>
          <w:rFonts w:eastAsia="Times New Roman"/>
          <w:szCs w:val="20"/>
          <w:lang w:val="fi-FI" w:eastAsia="en-GB"/>
        </w:rPr>
        <w:t>,</w:t>
      </w:r>
    </w:p>
    <w:p w:rsidR="00DB0128" w:rsidRPr="00A220B9" w:rsidRDefault="00DB0128" w:rsidP="00DB0128">
      <w:pPr>
        <w:widowControl w:val="0"/>
        <w:spacing w:after="240"/>
        <w:ind w:left="567" w:hanging="567"/>
        <w:jc w:val="left"/>
        <w:rPr>
          <w:rFonts w:eastAsia="Times New Roman"/>
          <w:lang w:val="fi-FI" w:eastAsia="en-GB"/>
        </w:rPr>
      </w:pPr>
      <w:r w:rsidRPr="00A220B9">
        <w:rPr>
          <w:rFonts w:eastAsia="Times New Roman"/>
          <w:lang w:val="fi-FI" w:eastAsia="en-GB"/>
        </w:rPr>
        <w:t>–</w:t>
      </w:r>
      <w:r w:rsidRPr="00A220B9">
        <w:rPr>
          <w:rFonts w:eastAsia="Times New Roman"/>
          <w:lang w:val="fi-FI" w:eastAsia="en-GB"/>
        </w:rPr>
        <w:tab/>
        <w:t>ottaa huomioon neuvoston edustajan 28. helmikuuta 2024 päivätyllä kirjeellä antaman sitoumuksen hyväksyä Euroopan parlamentin kanta Euroopan unionin toiminnasta tehdyn sopimuksen 294 artiklan 4 kohdan mukaisesti,</w:t>
      </w:r>
    </w:p>
    <w:p w:rsidR="00DB0128" w:rsidRPr="00A220B9" w:rsidRDefault="00DB0128" w:rsidP="00DB0128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A220B9">
        <w:rPr>
          <w:rFonts w:eastAsia="Times New Roman"/>
          <w:szCs w:val="20"/>
          <w:lang w:val="fi-FI" w:eastAsia="en-GB"/>
        </w:rPr>
        <w:t>–</w:t>
      </w:r>
      <w:r w:rsidRPr="00A220B9">
        <w:rPr>
          <w:rFonts w:eastAsia="Times New Roman"/>
          <w:szCs w:val="20"/>
          <w:lang w:val="fi-FI" w:eastAsia="en-GB"/>
        </w:rPr>
        <w:tab/>
        <w:t>ottaa huomioon työjärjestyksen 59 artiklan,</w:t>
      </w:r>
    </w:p>
    <w:p w:rsidR="00DB0128" w:rsidRPr="00A220B9" w:rsidRDefault="00DB0128" w:rsidP="00DB0128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A220B9">
        <w:rPr>
          <w:rFonts w:eastAsia="Times New Roman"/>
          <w:szCs w:val="20"/>
          <w:lang w:val="fi-FI" w:eastAsia="en-GB"/>
        </w:rPr>
        <w:lastRenderedPageBreak/>
        <w:t>–</w:t>
      </w:r>
      <w:r w:rsidRPr="00A220B9">
        <w:rPr>
          <w:rFonts w:eastAsia="Times New Roman"/>
          <w:szCs w:val="20"/>
          <w:lang w:val="fi-FI" w:eastAsia="en-GB"/>
        </w:rPr>
        <w:tab/>
        <w:t>ottaa huomioon ympäristön, kansanterveyden ja elintarvikkeiden turvallisuuden valiokunnan mietinnön (A9-0038/2024),</w:t>
      </w:r>
    </w:p>
    <w:p w:rsidR="00DB0128" w:rsidRPr="00A220B9" w:rsidRDefault="00DB0128" w:rsidP="00DB0128">
      <w:pPr>
        <w:spacing w:after="240"/>
        <w:ind w:left="567" w:hanging="567"/>
        <w:rPr>
          <w:rFonts w:eastAsia="Times New Roman"/>
          <w:szCs w:val="20"/>
          <w:lang w:val="fi-FI" w:eastAsia="en-GB"/>
        </w:rPr>
      </w:pPr>
      <w:r w:rsidRPr="00A220B9">
        <w:rPr>
          <w:rFonts w:eastAsia="Times New Roman"/>
          <w:szCs w:val="20"/>
          <w:lang w:val="fi-FI" w:eastAsia="en-GB"/>
        </w:rPr>
        <w:t>1.</w:t>
      </w:r>
      <w:r w:rsidRPr="00A220B9">
        <w:rPr>
          <w:rFonts w:eastAsia="Times New Roman"/>
          <w:szCs w:val="20"/>
          <w:lang w:val="fi-FI" w:eastAsia="en-GB"/>
        </w:rPr>
        <w:tab/>
        <w:t>vahvistaa ensimmäisen käsittelyn kantanaan komission ehdotuksen;</w:t>
      </w:r>
    </w:p>
    <w:p w:rsidR="00DB0128" w:rsidRPr="00A220B9" w:rsidRDefault="00DB0128" w:rsidP="00DB0128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A220B9">
        <w:rPr>
          <w:rFonts w:eastAsia="Times New Roman"/>
          <w:szCs w:val="20"/>
          <w:lang w:val="fi-FI" w:eastAsia="en-GB"/>
        </w:rPr>
        <w:t>2.</w:t>
      </w:r>
      <w:r w:rsidRPr="00A220B9">
        <w:rPr>
          <w:rFonts w:eastAsia="Times New Roman"/>
          <w:szCs w:val="20"/>
          <w:lang w:val="fi-FI" w:eastAsia="en-GB"/>
        </w:rPr>
        <w:tab/>
        <w:t>pyytää komissiota antamaan asian uudelleen Euroopan parlamentin käsiteltäväksi, jos se korvaa ehdotuksensa, muuttaa sitä huomattavasti tai aikoo muuttaa sitä huomattavasti;</w:t>
      </w:r>
    </w:p>
    <w:p w:rsidR="00DB0128" w:rsidRPr="00A220B9" w:rsidRDefault="00DB0128" w:rsidP="00DB0128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A220B9">
        <w:rPr>
          <w:rFonts w:eastAsia="Times New Roman"/>
          <w:szCs w:val="20"/>
          <w:lang w:val="fi-FI" w:eastAsia="en-GB"/>
        </w:rPr>
        <w:t>3.</w:t>
      </w:r>
      <w:r w:rsidRPr="00A220B9">
        <w:rPr>
          <w:rFonts w:eastAsia="Times New Roman"/>
          <w:szCs w:val="20"/>
          <w:lang w:val="fi-FI" w:eastAsia="en-GB"/>
        </w:rPr>
        <w:tab/>
        <w:t>kehottaa puhemiestä välittämään parlamentin kannan neuvostolle ja komissiolle sekä kansallisille parlamenteille.</w:t>
      </w:r>
    </w:p>
    <w:p w:rsidR="00ED6B76" w:rsidRPr="00A220B9" w:rsidRDefault="00ED6B76">
      <w:pPr>
        <w:jc w:val="left"/>
        <w:rPr>
          <w:rFonts w:eastAsia="Times New Roman"/>
          <w:szCs w:val="20"/>
          <w:lang w:val="fi-FI" w:eastAsia="en-GB"/>
        </w:rPr>
        <w:sectPr w:rsidR="00ED6B76" w:rsidRPr="00A220B9" w:rsidSect="00097FA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B0128" w:rsidRPr="00A220B9" w:rsidRDefault="00DB0128" w:rsidP="00DB0128">
      <w:pPr>
        <w:spacing w:after="240"/>
        <w:jc w:val="left"/>
        <w:rPr>
          <w:rFonts w:eastAsia="Times New Roman"/>
          <w:b/>
          <w:lang w:val="fi-FI" w:eastAsia="en-GB"/>
        </w:rPr>
      </w:pPr>
      <w:r w:rsidRPr="00A220B9">
        <w:rPr>
          <w:rFonts w:eastAsia="Times New Roman"/>
          <w:b/>
          <w:lang w:val="fi-FI" w:eastAsia="en-GB"/>
        </w:rPr>
        <w:lastRenderedPageBreak/>
        <w:t>P9_TC1-</w:t>
      </w:r>
      <w:proofErr w:type="gramStart"/>
      <w:r w:rsidRPr="00A220B9">
        <w:rPr>
          <w:rFonts w:eastAsia="Times New Roman"/>
          <w:b/>
          <w:lang w:val="fi-FI" w:eastAsia="en-GB"/>
        </w:rPr>
        <w:t>COD(</w:t>
      </w:r>
      <w:proofErr w:type="gramEnd"/>
      <w:r w:rsidRPr="00A220B9">
        <w:rPr>
          <w:rFonts w:eastAsia="Times New Roman"/>
          <w:b/>
          <w:lang w:val="fi-FI" w:eastAsia="en-GB"/>
        </w:rPr>
        <w:t>2023)0369</w:t>
      </w:r>
    </w:p>
    <w:p w:rsidR="00DB0128" w:rsidRPr="00A220B9" w:rsidRDefault="00DB0128" w:rsidP="00DB0128">
      <w:pPr>
        <w:spacing w:after="240"/>
        <w:jc w:val="left"/>
        <w:rPr>
          <w:rFonts w:eastAsia="Calibri"/>
          <w:b/>
          <w:noProof/>
          <w:lang w:val="fi-FI"/>
        </w:rPr>
      </w:pPr>
      <w:r w:rsidRPr="00A220B9">
        <w:rPr>
          <w:rFonts w:eastAsia="Times New Roman"/>
          <w:b/>
          <w:lang w:val="fi-FI" w:eastAsia="en-GB"/>
        </w:rPr>
        <w:t xml:space="preserve">Euroopan parlamentin kanta, vahvistettu ensimmäisessä käsittelyssä 14. maaliskuuta 2024, Euroopan parlamentin ja neuvoston direktiivin (EU) 2024/… antamiseksi </w:t>
      </w:r>
      <w:r w:rsidRPr="00A220B9">
        <w:rPr>
          <w:rFonts w:eastAsia="Calibri"/>
          <w:b/>
          <w:noProof/>
          <w:lang w:val="fi-FI"/>
        </w:rPr>
        <w:t>direktiivien 1999/2/EY, 2000/14/EY, 2011/24/EU ja 2014/53/EU muuttamisesta siltä osin kuin on kyse tietyistä raportointivaatimuksista elintarvikkeiden ja elintarvikkeiden ainesosien, ulkona käytettävien laitteiden melupäästöjen, potilaiden oikeuksien ja radiolaitteiden alalla</w:t>
      </w:r>
    </w:p>
    <w:p w:rsidR="005B50CF" w:rsidRPr="00A220B9" w:rsidRDefault="005B50CF" w:rsidP="00B378DC">
      <w:pPr>
        <w:widowControl w:val="0"/>
        <w:suppressAutoHyphens/>
        <w:rPr>
          <w:i/>
          <w:lang w:val="fi-FI"/>
        </w:rPr>
      </w:pPr>
      <w:r w:rsidRPr="00A220B9">
        <w:rPr>
          <w:i/>
          <w:lang w:val="fi-FI"/>
        </w:rPr>
        <w:t xml:space="preserve">(Euroopan parlamentin ja neuvoston päästyä sopimukseen parlamentin kanta vastaa lopullista säädöstä, direktiiviä (EU) </w:t>
      </w:r>
      <w:bookmarkStart w:id="8" w:name="_GoBack"/>
      <w:bookmarkEnd w:id="8"/>
      <w:r w:rsidRPr="00A220B9">
        <w:rPr>
          <w:rFonts w:eastAsia="Times New Roman"/>
          <w:i/>
          <w:szCs w:val="20"/>
          <w:lang w:val="fi-FI" w:eastAsia="en-GB"/>
        </w:rPr>
        <w:t>2024/2839</w:t>
      </w:r>
      <w:r w:rsidRPr="00A220B9">
        <w:rPr>
          <w:i/>
          <w:lang w:val="fi-FI"/>
        </w:rPr>
        <w:t>.)</w:t>
      </w:r>
    </w:p>
    <w:sectPr w:rsidR="005B50CF" w:rsidRPr="00A220B9" w:rsidSect="00097FA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128" w:rsidRDefault="00DB0128" w:rsidP="00DB0128">
      <w:r>
        <w:separator/>
      </w:r>
    </w:p>
  </w:endnote>
  <w:endnote w:type="continuationSeparator" w:id="0">
    <w:p w:rsidR="00DB0128" w:rsidRDefault="00DB0128" w:rsidP="00DB0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128" w:rsidRDefault="00DB0128" w:rsidP="00DB0128">
      <w:r>
        <w:separator/>
      </w:r>
    </w:p>
  </w:footnote>
  <w:footnote w:type="continuationSeparator" w:id="0">
    <w:p w:rsidR="00DB0128" w:rsidRDefault="00DB0128" w:rsidP="00DB0128">
      <w:r>
        <w:continuationSeparator/>
      </w:r>
    </w:p>
  </w:footnote>
  <w:footnote w:id="1">
    <w:p w:rsidR="00DB0128" w:rsidRPr="00ED6B76" w:rsidRDefault="00DB0128" w:rsidP="00DB0128">
      <w:pPr>
        <w:pStyle w:val="FootnoteText"/>
        <w:ind w:left="567" w:hanging="567"/>
        <w:rPr>
          <w:sz w:val="24"/>
          <w:szCs w:val="24"/>
          <w:lang w:val="fi-FI"/>
        </w:rPr>
      </w:pPr>
      <w:r w:rsidRPr="00ED6B76">
        <w:rPr>
          <w:rStyle w:val="FootnoteReference"/>
          <w:sz w:val="24"/>
          <w:szCs w:val="24"/>
          <w:lang w:val="fi-FI"/>
        </w:rPr>
        <w:footnoteRef/>
      </w:r>
      <w:r w:rsidRPr="00ED6B76">
        <w:rPr>
          <w:sz w:val="24"/>
          <w:szCs w:val="24"/>
          <w:lang w:val="fi-FI"/>
        </w:rPr>
        <w:t xml:space="preserve"> </w:t>
      </w:r>
      <w:r w:rsidRPr="00ED6B76">
        <w:rPr>
          <w:sz w:val="24"/>
          <w:szCs w:val="24"/>
          <w:lang w:val="fi-FI"/>
        </w:rPr>
        <w:tab/>
        <w:t>EUVL C, C/2024/1585, 05.03.2024, ELI: http://data.europa.eu/eli/C/2024/1585/oj.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B5C"/>
    <w:rsid w:val="005762E3"/>
    <w:rsid w:val="005B50CF"/>
    <w:rsid w:val="00695C0C"/>
    <w:rsid w:val="006E3309"/>
    <w:rsid w:val="008765BE"/>
    <w:rsid w:val="00A220B9"/>
    <w:rsid w:val="00B378DC"/>
    <w:rsid w:val="00BD3B5C"/>
    <w:rsid w:val="00DB0128"/>
    <w:rsid w:val="00ED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C04DB-807C-4427-B132-6C6C3966A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B012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0128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rsid w:val="00DB0128"/>
    <w:rPr>
      <w:b w:val="0"/>
      <w:vertAlign w:val="superscript"/>
    </w:rPr>
  </w:style>
  <w:style w:type="character" w:styleId="Hyperlink">
    <w:name w:val="Hyperlink"/>
    <w:basedOn w:val="DefaultParagraphFont"/>
    <w:uiPriority w:val="99"/>
    <w:unhideWhenUsed/>
    <w:rsid w:val="005B50CF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50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50CF"/>
    <w:rPr>
      <w:rFonts w:ascii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nhideWhenUsed/>
    <w:rsid w:val="005B50CF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0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0CF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B50CF"/>
    <w:rPr>
      <w:color w:val="954F72" w:themeColor="followedHyperlink"/>
      <w:u w:val="single"/>
    </w:rPr>
  </w:style>
  <w:style w:type="paragraph" w:customStyle="1" w:styleId="ATHeading1">
    <w:name w:val="AT Heading 1"/>
    <w:basedOn w:val="Normal"/>
    <w:next w:val="Normal"/>
    <w:rsid w:val="00A220B9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val="fi-FI" w:eastAsia="fr-FR"/>
    </w:rPr>
  </w:style>
  <w:style w:type="paragraph" w:customStyle="1" w:styleId="ATHeading2">
    <w:name w:val="AT Heading 2"/>
    <w:basedOn w:val="Normal"/>
    <w:next w:val="Normal"/>
    <w:rsid w:val="00A220B9"/>
    <w:pPr>
      <w:spacing w:before="120" w:after="120"/>
      <w:jc w:val="left"/>
      <w:outlineLvl w:val="1"/>
    </w:pPr>
    <w:rPr>
      <w:rFonts w:eastAsia="Times New Roman"/>
      <w:b/>
      <w:sz w:val="28"/>
      <w:szCs w:val="20"/>
      <w:lang w:val="fi-FI" w:eastAsia="fr-FR"/>
    </w:rPr>
  </w:style>
  <w:style w:type="paragraph" w:customStyle="1" w:styleId="ATHeading3">
    <w:name w:val="AT Heading 3"/>
    <w:basedOn w:val="Normal"/>
    <w:next w:val="Normal"/>
    <w:rsid w:val="00A220B9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val="fi-FI" w:eastAsia="fr-FR"/>
    </w:rPr>
  </w:style>
  <w:style w:type="paragraph" w:customStyle="1" w:styleId="NormalBold">
    <w:name w:val="NormalBold"/>
    <w:basedOn w:val="Normal"/>
    <w:rsid w:val="00A220B9"/>
    <w:pPr>
      <w:widowControl w:val="0"/>
      <w:jc w:val="left"/>
    </w:pPr>
    <w:rPr>
      <w:rFonts w:eastAsia="Times New Roman"/>
      <w:b/>
      <w:szCs w:val="20"/>
      <w:lang w:val="fi-FI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F848C-1E8E-4CC1-8BB3-3CAB0719A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407</Words>
  <Characters>2325</Characters>
  <Application>Microsoft Office Word</Application>
  <DocSecurity>4</DocSecurity>
  <Lines>19</Lines>
  <Paragraphs>5</Paragraphs>
  <ScaleCrop>false</ScaleCrop>
  <Company>European Parliament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Hannele</dc:creator>
  <cp:keywords/>
  <dc:description/>
  <cp:lastModifiedBy>GOROPECNIK Tina</cp:lastModifiedBy>
  <cp:revision>2</cp:revision>
  <dcterms:created xsi:type="dcterms:W3CDTF">2025-01-13T15:03:00Z</dcterms:created>
  <dcterms:modified xsi:type="dcterms:W3CDTF">2025-01-13T15:03:00Z</dcterms:modified>
</cp:coreProperties>
</file>