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>
            <w:pPr>
              <w:pStyle w:val="EPName"/>
            </w:pPr>
            <w:r>
              <w:t>Európsky parlament</w:t>
            </w:r>
          </w:p>
          <w:p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LineTop"/>
      </w:pPr>
    </w:p>
    <w:p>
      <w:pPr>
        <w:pStyle w:val="EPBodyTA1"/>
      </w:pPr>
      <w:r>
        <w:t>PRIJATÉ TEXTY</w:t>
      </w:r>
    </w:p>
    <w:p>
      <w:pPr>
        <w:pStyle w:val="LineBottom"/>
      </w:pPr>
    </w:p>
    <w:p>
      <w:pPr>
        <w:pStyle w:val="ATHeading1"/>
      </w:pPr>
      <w:bookmarkStart w:id="0" w:name="TANumber"/>
      <w:r>
        <w:t>P9_TA(2024)0167</w:t>
      </w:r>
      <w:bookmarkEnd w:id="0"/>
    </w:p>
    <w:p>
      <w:pPr>
        <w:pStyle w:val="ATHeading2"/>
      </w:pPr>
      <w:bookmarkStart w:id="1" w:name="title"/>
      <w:r>
        <w:t>Požiadavky na podávanie správ v oblasti potravín a prídavných látok do potravín, hluku vo voľnom priestranstve, práv pacientov a rádiových zariadení</w:t>
      </w:r>
      <w:bookmarkEnd w:id="1"/>
    </w:p>
    <w:p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2" w:name="DocNumber"/>
      <w:r>
        <w:rPr>
          <w:i/>
        </w:rPr>
        <w:instrText>A9-0038/2024</w:instrText>
      </w:r>
      <w:bookmarkEnd w:id="2"/>
      <w:r>
        <w:rPr>
          <w:i/>
        </w:rPr>
        <w:instrText xml:space="preserve"> - Spravodajca: Ivan Vilibor Sinčić)"\l3 \n&gt; \* MERGEFORMAT </w:instrText>
      </w:r>
      <w:r>
        <w:rPr>
          <w:i/>
        </w:rPr>
        <w:fldChar w:fldCharType="end"/>
      </w:r>
    </w:p>
    <w:p>
      <w:pPr>
        <w:rPr>
          <w:vanish/>
        </w:rPr>
      </w:pPr>
      <w:bookmarkStart w:id="3" w:name="Commission"/>
      <w:r>
        <w:rPr>
          <w:vanish/>
        </w:rPr>
        <w:t>Výbor pre životné prostredie, verejné zdravie a bezpečnosť potravín</w:t>
      </w:r>
      <w:bookmarkEnd w:id="3"/>
    </w:p>
    <w:p>
      <w:pPr>
        <w:rPr>
          <w:vanish/>
        </w:rPr>
      </w:pPr>
      <w:bookmarkStart w:id="4" w:name="PE"/>
      <w:r>
        <w:rPr>
          <w:vanish/>
        </w:rPr>
        <w:t>PE757.100</w:t>
      </w:r>
      <w:bookmarkEnd w:id="4"/>
    </w:p>
    <w:p>
      <w:pPr>
        <w:pStyle w:val="ATHeading3"/>
      </w:pPr>
      <w:bookmarkStart w:id="5" w:name="Sujet"/>
      <w:r>
        <w:t>Legislatívne uznesenie Európskeho parlamentu zo 14. marca 2024 o návrhu smernice Európskeho parlamentu a Rady, ktorou sa menia smernice 1999/2/ES, 2000/14/ES, 2011/24/EÚ a 2014/53/EÚ, pokiaľ ide o určité požiadavky na podávanie správ v oblasti potravín a prídavných látok do potravín, hluku vo voľnom priestranstve, práv pacientov a rádiových zariadení</w:t>
      </w:r>
      <w:bookmarkEnd w:id="5"/>
      <w:r>
        <w:t xml:space="preserve"> </w:t>
      </w:r>
      <w:bookmarkStart w:id="6" w:name="References"/>
      <w:r>
        <w:t>(COM(2023)0639 – C9-0381/2023 – 2023/0369(COD))</w:t>
      </w:r>
      <w:bookmarkEnd w:id="6"/>
    </w:p>
    <w:p/>
    <w:p>
      <w:pPr>
        <w:pStyle w:val="NormalBold"/>
      </w:pPr>
      <w:bookmarkStart w:id="7" w:name="TextBodyBegin"/>
      <w:bookmarkEnd w:id="7"/>
      <w:r>
        <w:t>(Riadny legislatívny postup: prvé čítanie)</w:t>
      </w:r>
    </w:p>
    <w:p>
      <w:pPr>
        <w:pStyle w:val="EPComma"/>
      </w:pPr>
      <w:r>
        <w:rPr>
          <w:i/>
        </w:rPr>
        <w:t>Európsky parlament</w:t>
      </w:r>
      <w:r>
        <w:t>,</w:t>
      </w:r>
    </w:p>
    <w:p>
      <w:pPr>
        <w:pStyle w:val="NormalHanging12a"/>
      </w:pPr>
      <w:r>
        <w:t>–</w:t>
      </w:r>
      <w:r>
        <w:tab/>
        <w:t>so zreteľom na návrh Komisie pre Európsky parlament a Radu (COM(2023)0639),</w:t>
      </w:r>
    </w:p>
    <w:p>
      <w:pPr>
        <w:pStyle w:val="NormalHanging12a"/>
      </w:pPr>
      <w:r>
        <w:t>–</w:t>
      </w:r>
      <w:r>
        <w:tab/>
        <w:t>so zreteľom na článok 294 ods. 2 a článok 114 Zmluvy o fungovaní Európskej únie, v súlade s ktorými Komisia predložila návrh Európskemu parlamentu (C9</w:t>
      </w:r>
      <w:r>
        <w:noBreakHyphen/>
        <w:t>0381/2023),</w:t>
      </w:r>
    </w:p>
    <w:p>
      <w:pPr>
        <w:pStyle w:val="NormalHanging12a"/>
      </w:pPr>
      <w:r>
        <w:t>–</w:t>
      </w:r>
      <w:r>
        <w:tab/>
        <w:t>so zreteľom na článok 294 ods. 3 Zmluvy o fungovaní Európskej únie,</w:t>
      </w:r>
    </w:p>
    <w:p>
      <w:pPr>
        <w:pStyle w:val="NormalHanging12a"/>
      </w:pPr>
      <w:r>
        <w:t>–</w:t>
      </w:r>
      <w:r>
        <w:tab/>
        <w:t>so zreteľom na stanovisko Európskeho hospodárskeho a sociálneho výboru z 13. decembra 2023</w:t>
      </w:r>
      <w:r>
        <w:rPr>
          <w:rStyle w:val="FootnoteReference"/>
          <w:szCs w:val="24"/>
        </w:rPr>
        <w:footnoteReference w:id="1"/>
      </w:r>
      <w:r>
        <w:t>,</w:t>
      </w:r>
    </w:p>
    <w:p>
      <w:pPr>
        <w:pStyle w:val="NormalHanging12a"/>
        <w:rPr>
          <w:szCs w:val="24"/>
        </w:rPr>
      </w:pPr>
      <w:r>
        <w:t>–</w:t>
      </w:r>
      <w:r>
        <w:tab/>
      </w:r>
      <w:r>
        <w:rPr>
          <w:noProof/>
        </w:rPr>
        <w:t>so zreteľom na záväzok zástupcu Rady, vyjadrený v liste z 28. februára 2024, schváliť pozíciu Európskeho parlamentu v súlade s článkom 294 ods. 4 Zmluvy o fungovaní Európskej únie,</w:t>
      </w:r>
    </w:p>
    <w:p>
      <w:pPr>
        <w:pStyle w:val="NormalHanging12a"/>
      </w:pPr>
      <w:r>
        <w:t>–</w:t>
      </w:r>
      <w:r>
        <w:tab/>
        <w:t>so zreteľom na článok 59 rokovacieho poriadku,</w:t>
      </w:r>
    </w:p>
    <w:p>
      <w:pPr>
        <w:pStyle w:val="NormalHanging12a"/>
      </w:pPr>
      <w:r>
        <w:t>–</w:t>
      </w:r>
      <w:r>
        <w:tab/>
        <w:t>so zreteľom na správu Výboru pre životné prostredie, verejné zdravie a bezpečnosť potravín (A9-0038/2024),</w:t>
      </w:r>
    </w:p>
    <w:p>
      <w:pPr>
        <w:pStyle w:val="NormalHanging12a"/>
      </w:pPr>
      <w:r>
        <w:lastRenderedPageBreak/>
        <w:t>1.</w:t>
      </w:r>
      <w:r>
        <w:tab/>
        <w:t>prijíma návrh Komisie ako svoju pozíciu v prvom čítaní;</w:t>
      </w:r>
    </w:p>
    <w:p>
      <w:pPr>
        <w:pStyle w:val="NormalHanging12a"/>
      </w:pPr>
      <w:r>
        <w:t>2.</w:t>
      </w:r>
      <w:r>
        <w:tab/>
        <w:t>žiada Komisiu, aby mu vec znovu predložila, ak nahrádza, podstatne mení alebo má v úmysle podstatne zmeniť svoj návrh;</w:t>
      </w:r>
    </w:p>
    <w:p>
      <w:pPr>
        <w:pStyle w:val="NormalHanging12a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>
        <w:t>3.</w:t>
      </w:r>
      <w:r>
        <w:tab/>
        <w:t>poveruje svoju predsedníčku, aby postúpila túto pozíciu Rade, Komisii a národným parlamentom.</w:t>
      </w:r>
    </w:p>
    <w:p>
      <w:pPr>
        <w:pStyle w:val="Institutionquiagit"/>
        <w:keepNext w:val="0"/>
        <w:spacing w:before="0" w:after="240"/>
        <w:jc w:val="left"/>
        <w:outlineLvl w:val="0"/>
        <w:rPr>
          <w:b/>
        </w:rPr>
      </w:pPr>
      <w:r>
        <w:rPr>
          <w:b/>
        </w:rPr>
        <w:lastRenderedPageBreak/>
        <w:t>P9_TC1-COD(2023)0369</w:t>
      </w:r>
    </w:p>
    <w:p>
      <w:pPr>
        <w:widowControl/>
        <w:rPr>
          <w:rFonts w:eastAsia="Calibri"/>
          <w:b/>
          <w:szCs w:val="24"/>
          <w:lang w:eastAsia="en-US"/>
        </w:rPr>
      </w:pPr>
      <w:r>
        <w:rPr>
          <w:b/>
        </w:rPr>
        <w:t xml:space="preserve">Pozícia Európskeho parlamentu prijatá v prvom čítaní 14. marca 2024 na účely prijatia smernice Európskeho parlamentu a Rady (EÚ) 2024/..., </w:t>
      </w:r>
      <w:r>
        <w:rPr>
          <w:rFonts w:eastAsia="Calibri"/>
          <w:b/>
          <w:szCs w:val="24"/>
          <w:lang w:eastAsia="en-US"/>
        </w:rPr>
        <w:t>ktorou sa menia smernice 1999/2/ES, 2000/14/ES, 2011/24/EÚ a 2014/53/EÚ, pokiaľ ide o určité požiadavky na podávanie správ v oblasti potravín a prídavných látok do potravín, hluku vo voľnom priestranstve, práv pacientov a rádiových zariadení</w:t>
      </w:r>
    </w:p>
    <w:p>
      <w:pPr>
        <w:widowControl/>
        <w:rPr>
          <w:rFonts w:eastAsia="Calibri"/>
          <w:b/>
          <w:szCs w:val="24"/>
          <w:lang w:eastAsia="en-US"/>
        </w:rPr>
      </w:pPr>
    </w:p>
    <w:p>
      <w:r>
        <w:rPr>
          <w:i/>
          <w:iCs/>
        </w:rPr>
        <w:t xml:space="preserve">(Keďže bola dosiahnutá dohoda medzi Európskym parlamentom a Radou, pozícia Európskeho parlamentu zodpovedá záverečnému legislatívnemu aktu, </w:t>
      </w:r>
      <w:r>
        <w:rPr>
          <w:i/>
          <w:iCs/>
        </w:rPr>
        <w:t>smernici</w:t>
      </w:r>
      <w:r>
        <w:rPr>
          <w:i/>
          <w:iCs/>
        </w:rPr>
        <w:t xml:space="preserve"> </w:t>
      </w:r>
      <w:r>
        <w:rPr>
          <w:i/>
          <w:iCs/>
        </w:rPr>
        <w:t>(EÚ) 2024/2839</w:t>
      </w:r>
      <w:bookmarkStart w:id="8" w:name="_GoBack"/>
      <w:bookmarkEnd w:id="8"/>
      <w:r>
        <w:rPr>
          <w:i/>
          <w:iCs/>
        </w:rPr>
        <w:t>.)</w:t>
      </w:r>
    </w:p>
    <w:p/>
    <w:p>
      <w:pPr>
        <w:widowControl/>
        <w:rPr>
          <w:rFonts w:eastAsia="Calibri"/>
          <w:b/>
          <w:szCs w:val="24"/>
          <w:lang w:eastAsia="en-US"/>
        </w:rPr>
      </w:pPr>
    </w:p>
    <w:sectPr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id="1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>
        <w:rPr>
          <w:sz w:val="24"/>
          <w:szCs w:val="24"/>
          <w:lang w:val="fi-FI"/>
        </w:rPr>
        <w:t xml:space="preserve">Ú. v. EÚ C, C/2024/1585, 5.3.2024, ELI: </w:t>
      </w:r>
      <w:hyperlink r:id="rId1" w:history="1">
        <w:r>
          <w:rPr>
            <w:rStyle w:val="Hyperlink"/>
            <w:sz w:val="24"/>
            <w:szCs w:val="24"/>
            <w:lang w:val="fi-FI"/>
          </w:rPr>
          <w:t>http://data.europa.eu/eli/C/2024/1585/oj</w:t>
        </w:r>
      </w:hyperlink>
      <w:r>
        <w:rPr>
          <w:sz w:val="24"/>
          <w:szCs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8/2024"/>
    <w:docVar w:name="dvlangue" w:val="SK"/>
    <w:docVar w:name="dvnumam" w:val="0"/>
    <w:docVar w:name="dvpe" w:val="757.100"/>
    <w:docVar w:name="dvrapporteur" w:val="Spravodajca: "/>
    <w:docVar w:name="dvstar" w:val="***I"/>
    <w:docVar w:name="dvtitre" w:val="Legislatívne uznesenie Európskeho parlamentu z xx. marca 2024 o návrhu smernice Európskeho parlamentu a Rady, ktorou sa menia smernice 1999/2/ES, 2000/14/ES, 2011/24/EÚ a 2014/53/EÚ, pokiaľ ide o určité požiadavky na podávanie správ v oblasti potravín a prídavných látok do potravín, hluku vo voľnom priestranstve, práv pacientov a rádiových zariadení(COM(2023)0639 – C9-0381/2023 – 2023/0369(COD))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F0E1A6-2525-4BCA-8A11-E49B57C5E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EPComma">
    <w:name w:val="EPComma"/>
    <w:basedOn w:val="Normal"/>
    <w:pPr>
      <w:spacing w:before="480" w:after="240"/>
    </w:p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character" w:styleId="Hyperlink">
    <w:name w:val="Hyperlink"/>
    <w:basedOn w:val="DefaultParagraphFont"/>
    <w:rPr>
      <w:color w:val="0563C1" w:themeColor="hyperlink"/>
      <w:u w:val="single"/>
    </w:rPr>
  </w:style>
  <w:style w:type="paragraph" w:customStyle="1" w:styleId="Institutionquiagit">
    <w:name w:val="Institution qui agit"/>
    <w:basedOn w:val="Normal"/>
    <w:next w:val="Normal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158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71A332-6359-49BF-9C6C-DB29D99768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336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SUCHANOVA Monika</cp:lastModifiedBy>
  <cp:revision>2</cp:revision>
  <cp:lastPrinted>2004-11-19T15:42:00Z</cp:lastPrinted>
  <dcterms:created xsi:type="dcterms:W3CDTF">2024-12-03T13:40:00Z</dcterms:created>
  <dcterms:modified xsi:type="dcterms:W3CDTF">2024-12-03T13:40:00Z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P9_TA(2024)0167_</vt:lpwstr>
  </property>
  <property fmtid="{D5CDD505-2E9C-101B-9397-08002B2CF9AE}" pid="4" name="&lt;Type&gt;">
    <vt:lpwstr>RR</vt:lpwstr>
  </property>
</Properties>
</file>