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3742" w:rsidTr="0010095E">
        <w:trPr>
          <w:trHeight w:hRule="exact" w:val="1418"/>
        </w:trPr>
        <w:tc>
          <w:tcPr>
            <w:tcW w:w="6804" w:type="dxa"/>
            <w:shd w:val="clear" w:color="auto" w:fill="auto"/>
            <w:vAlign w:val="center"/>
          </w:tcPr>
          <w:p w:rsidR="00751A4A" w:rsidRPr="00C93742" w:rsidRDefault="0069561B" w:rsidP="0010095E">
            <w:pPr>
              <w:pStyle w:val="EPName"/>
            </w:pPr>
            <w:bookmarkStart w:id="0" w:name="_GoBack"/>
            <w:bookmarkEnd w:id="0"/>
            <w:r w:rsidRPr="00C93742">
              <w:t>Eiropas Parlaments</w:t>
            </w:r>
          </w:p>
          <w:p w:rsidR="00751A4A" w:rsidRPr="00C93742" w:rsidRDefault="00817416" w:rsidP="00756632">
            <w:pPr>
              <w:pStyle w:val="EPTerm"/>
              <w:rPr>
                <w:rStyle w:val="HideTWBExt"/>
                <w:noProof w:val="0"/>
                <w:vanish w:val="0"/>
                <w:color w:val="auto"/>
              </w:rPr>
            </w:pPr>
            <w:r w:rsidRPr="00C93742">
              <w:t>2019-2024</w:t>
            </w:r>
          </w:p>
        </w:tc>
        <w:tc>
          <w:tcPr>
            <w:tcW w:w="2268" w:type="dxa"/>
            <w:shd w:val="clear" w:color="auto" w:fill="auto"/>
          </w:tcPr>
          <w:p w:rsidR="00751A4A" w:rsidRPr="00C93742" w:rsidRDefault="00187494" w:rsidP="0010095E">
            <w:pPr>
              <w:pStyle w:val="EPLogo"/>
            </w:pPr>
            <w:r w:rsidRPr="00C937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3742" w:rsidRDefault="00D058B8" w:rsidP="004C5D52">
      <w:pPr>
        <w:pStyle w:val="LineTop"/>
      </w:pPr>
    </w:p>
    <w:p w:rsidR="00680577" w:rsidRPr="00C93742" w:rsidRDefault="0069561B" w:rsidP="00680577">
      <w:pPr>
        <w:pStyle w:val="EPBodyTA1"/>
      </w:pPr>
      <w:r w:rsidRPr="00C93742">
        <w:t>PIEŅEMTIE TEKSTI</w:t>
      </w:r>
    </w:p>
    <w:p w:rsidR="00D058B8" w:rsidRPr="00C93742" w:rsidRDefault="00D058B8" w:rsidP="00D058B8">
      <w:pPr>
        <w:pStyle w:val="LineBottom"/>
      </w:pPr>
    </w:p>
    <w:p w:rsidR="0069561B" w:rsidRPr="00C93742" w:rsidRDefault="0069561B" w:rsidP="0069561B">
      <w:pPr>
        <w:pStyle w:val="ATHeading1"/>
      </w:pPr>
      <w:bookmarkStart w:id="1" w:name="TANumber"/>
      <w:r w:rsidRPr="00C93742">
        <w:t>P9_TA(2024)0</w:t>
      </w:r>
      <w:bookmarkEnd w:id="1"/>
      <w:r w:rsidR="00C93742" w:rsidRPr="00C93742">
        <w:t>171</w:t>
      </w:r>
    </w:p>
    <w:p w:rsidR="0069561B" w:rsidRPr="00C93742" w:rsidRDefault="0069561B" w:rsidP="0069561B">
      <w:pPr>
        <w:pStyle w:val="ATHeading2"/>
      </w:pPr>
      <w:bookmarkStart w:id="2" w:name="title"/>
      <w:r w:rsidRPr="00C93742">
        <w:t>Prasība atdot Rumānijas nacionālo bagātību, ko nelikumīgi piesavinājusies Krievija</w:t>
      </w:r>
      <w:bookmarkEnd w:id="2"/>
    </w:p>
    <w:p w:rsidR="0069561B" w:rsidRPr="00C93742" w:rsidRDefault="00C5698F" w:rsidP="0069561B">
      <w:pPr>
        <w:rPr>
          <w:i/>
          <w:vanish/>
        </w:rPr>
      </w:pPr>
      <w:r w:rsidRPr="00C93742">
        <w:rPr>
          <w:i/>
        </w:rPr>
        <w:fldChar w:fldCharType="begin"/>
      </w:r>
      <w:r w:rsidRPr="00C93742">
        <w:rPr>
          <w:i/>
        </w:rPr>
        <w:instrText xml:space="preserve"> TC"(</w:instrText>
      </w:r>
      <w:bookmarkStart w:id="3" w:name="DocNumber"/>
      <w:r w:rsidRPr="00C93742">
        <w:rPr>
          <w:i/>
        </w:rPr>
        <w:instrText>B9-0169, 0170, 0171, 0176, 0178 un 0180/2024</w:instrText>
      </w:r>
      <w:bookmarkEnd w:id="3"/>
      <w:r w:rsidRPr="00C93742">
        <w:rPr>
          <w:i/>
        </w:rPr>
        <w:instrText xml:space="preserve">)"\l3 \n&gt; \* MERGEFORMAT </w:instrText>
      </w:r>
      <w:r w:rsidRPr="00C93742">
        <w:rPr>
          <w:i/>
        </w:rPr>
        <w:fldChar w:fldCharType="end"/>
      </w:r>
    </w:p>
    <w:p w:rsidR="0069561B" w:rsidRPr="00C93742" w:rsidRDefault="0069561B" w:rsidP="0069561B">
      <w:pPr>
        <w:rPr>
          <w:vanish/>
        </w:rPr>
      </w:pPr>
      <w:bookmarkStart w:id="4" w:name="PE"/>
      <w:r w:rsidRPr="00C93742">
        <w:rPr>
          <w:vanish/>
        </w:rPr>
        <w:t>PE760.481</w:t>
      </w:r>
      <w:bookmarkEnd w:id="4"/>
    </w:p>
    <w:p w:rsidR="00940250" w:rsidRPr="00C93742" w:rsidRDefault="0069561B" w:rsidP="00C5698F">
      <w:pPr>
        <w:pStyle w:val="ATHeading3"/>
      </w:pPr>
      <w:bookmarkStart w:id="5" w:name="Sujet"/>
      <w:r w:rsidRPr="00C93742">
        <w:t xml:space="preserve">Eiropas Parlamenta 2024. gada </w:t>
      </w:r>
      <w:r w:rsidR="00C5698F" w:rsidRPr="00C93742">
        <w:t>14</w:t>
      </w:r>
      <w:r w:rsidRPr="00C93742">
        <w:t xml:space="preserve">. </w:t>
      </w:r>
      <w:r w:rsidR="00C5698F" w:rsidRPr="00C93742">
        <w:t>marta</w:t>
      </w:r>
      <w:r w:rsidRPr="00C93742">
        <w:t xml:space="preserve"> rezolūcija par prasību atdot Rumānijas nacionālo bagātību, ko nelikumīgi piesavinājusies Krievija</w:t>
      </w:r>
      <w:bookmarkEnd w:id="5"/>
      <w:r w:rsidRPr="00C93742">
        <w:t xml:space="preserve"> </w:t>
      </w:r>
      <w:bookmarkStart w:id="6" w:name="References"/>
      <w:r w:rsidRPr="00C93742">
        <w:t>(2024/2605(RSP))</w:t>
      </w:r>
      <w:bookmarkStart w:id="7" w:name="TextBodyBegin"/>
      <w:bookmarkEnd w:id="6"/>
      <w:bookmarkEnd w:id="7"/>
    </w:p>
    <w:p w:rsidR="00940250" w:rsidRPr="00C93742" w:rsidRDefault="00940250" w:rsidP="00940250">
      <w:pPr>
        <w:pStyle w:val="EPComma"/>
      </w:pPr>
      <w:r w:rsidRPr="00C93742">
        <w:rPr>
          <w:i/>
          <w:iCs/>
        </w:rPr>
        <w:t>Eiropas Parlaments</w:t>
      </w:r>
      <w:r w:rsidRPr="00C93742">
        <w:t>,</w:t>
      </w:r>
    </w:p>
    <w:p w:rsidR="00940250" w:rsidRPr="00C93742" w:rsidRDefault="00940250" w:rsidP="00940250">
      <w:pPr>
        <w:pStyle w:val="NormalHanging12a"/>
        <w:rPr>
          <w:rStyle w:val="NingunoAA"/>
          <w:color w:val="000000"/>
        </w:rPr>
      </w:pPr>
      <w:r w:rsidRPr="00C93742">
        <w:rPr>
          <w:rStyle w:val="NingunoAA"/>
          <w:color w:val="000000"/>
        </w:rPr>
        <w:t>–</w:t>
      </w:r>
      <w:r w:rsidRPr="00C93742">
        <w:rPr>
          <w:rStyle w:val="NingunoAA"/>
          <w:color w:val="000000"/>
        </w:rPr>
        <w:tab/>
      </w:r>
      <w:r w:rsidRPr="00C93742">
        <w:t>ņemot vērā iepriekšējās rezolūcijas par Krieviju,</w:t>
      </w:r>
    </w:p>
    <w:p w:rsidR="00940250" w:rsidRPr="00C93742" w:rsidRDefault="00940250" w:rsidP="00940250">
      <w:pPr>
        <w:pStyle w:val="NormalHanging12a"/>
        <w:rPr>
          <w:rStyle w:val="Ninguno"/>
          <w:color w:val="000000"/>
        </w:rPr>
      </w:pPr>
      <w:r w:rsidRPr="00C93742">
        <w:t>–</w:t>
      </w:r>
      <w:r w:rsidRPr="00C93742">
        <w:tab/>
      </w:r>
      <w:r w:rsidRPr="00C93742">
        <w:rPr>
          <w:rStyle w:val="NingunoAA"/>
          <w:color w:val="000000"/>
        </w:rPr>
        <w:t>ņemot vērā Līgumu par Eiropas Savienības darbību (LESD), jo īpaši tā 6., 36. un 167. pantu,</w:t>
      </w:r>
    </w:p>
    <w:p w:rsidR="00940250" w:rsidRPr="00C93742" w:rsidRDefault="00940250" w:rsidP="00940250">
      <w:pPr>
        <w:pStyle w:val="NormalHanging12a"/>
      </w:pPr>
      <w:r w:rsidRPr="00C93742">
        <w:t>–</w:t>
      </w:r>
      <w:r w:rsidRPr="00C93742">
        <w:tab/>
      </w:r>
      <w:r w:rsidRPr="00C93742">
        <w:rPr>
          <w:rStyle w:val="NingunoAA"/>
          <w:color w:val="000000"/>
        </w:rPr>
        <w:t>ņemot vērā Līgumu par Eiropas Savienību (LES), jo īpaši tā preambulu un 3. panta 3. punktu,</w:t>
      </w:r>
    </w:p>
    <w:p w:rsidR="00940250" w:rsidRPr="00C93742" w:rsidRDefault="00940250" w:rsidP="00940250">
      <w:pPr>
        <w:pStyle w:val="NormalHanging12a"/>
      </w:pPr>
      <w:r w:rsidRPr="00C93742">
        <w:t>–</w:t>
      </w:r>
      <w:r w:rsidRPr="00C93742">
        <w:tab/>
      </w:r>
      <w:r w:rsidRPr="00C93742">
        <w:rPr>
          <w:rStyle w:val="NingunoAA"/>
          <w:color w:val="000000"/>
        </w:rPr>
        <w:t>ņemot vērā 1954. gada Hāgas Konvenciju par kultūras vērtību aizsardzību bruņota konflikta gadījumā,</w:t>
      </w:r>
    </w:p>
    <w:p w:rsidR="00940250" w:rsidRPr="00C93742" w:rsidRDefault="00940250" w:rsidP="00940250">
      <w:pPr>
        <w:pStyle w:val="NormalHanging12a"/>
        <w:rPr>
          <w:rStyle w:val="Ninguno"/>
          <w:bCs/>
          <w:color w:val="000000"/>
          <w:u w:val="single"/>
        </w:rPr>
      </w:pPr>
      <w:r w:rsidRPr="00C93742">
        <w:rPr>
          <w:rStyle w:val="Ninguno"/>
          <w:color w:val="000000"/>
        </w:rPr>
        <w:t>–</w:t>
      </w:r>
      <w:r w:rsidRPr="00C93742">
        <w:rPr>
          <w:rStyle w:val="Ninguno"/>
          <w:color w:val="000000"/>
        </w:rPr>
        <w:tab/>
        <w:t>ņemot vērā Eiropas Padomes Parlamentārās asamblejas 1996. gada 25. janvāra Atzinumu Nr. 193 (1996) par Krievijas pieteikumu dalībai Eiropas Padomē un Eiropas Padomes Parlamentārās asamblejas 2012. gada 2. oktobra Rezolūciju Nr. 1896 (2012) par Krievijas Federācijas pienākumu un saistību izpildi,</w:t>
      </w:r>
    </w:p>
    <w:p w:rsidR="00940250" w:rsidRPr="00C93742" w:rsidRDefault="00940250" w:rsidP="00940250">
      <w:pPr>
        <w:pStyle w:val="NormalHanging12a"/>
      </w:pPr>
      <w:r w:rsidRPr="00C93742">
        <w:t>–</w:t>
      </w:r>
      <w:r w:rsidRPr="00C93742">
        <w:tab/>
      </w:r>
      <w:r w:rsidRPr="00C93742">
        <w:rPr>
          <w:rStyle w:val="Ninguno"/>
          <w:color w:val="000000"/>
        </w:rPr>
        <w:t>ņemot vērā Krievijas un Rumānijas 2003. gada 4. jūlija Līgumu par draudzīgām attiecībām un sadarbību un tam pievienoto Rumānijas un Krievijas ārlietu ministru kopīgo paziņojumu, ar ko tika izveidota Rumānijas un Krievijas apvienotā komisija par divpusējo attiecību vēstures, tostarp Rumānijas bagātību jautājuma, izpēti,</w:t>
      </w:r>
    </w:p>
    <w:p w:rsidR="00940250" w:rsidRPr="00C93742" w:rsidRDefault="00940250" w:rsidP="00940250">
      <w:pPr>
        <w:pStyle w:val="NormalHanging12a"/>
        <w:rPr>
          <w:rStyle w:val="Ninguno"/>
          <w:color w:val="000000"/>
        </w:rPr>
      </w:pPr>
      <w:r w:rsidRPr="00C93742">
        <w:rPr>
          <w:rStyle w:val="Ninguno"/>
          <w:color w:val="000000"/>
        </w:rPr>
        <w:t>–</w:t>
      </w:r>
      <w:r w:rsidRPr="00C93742">
        <w:rPr>
          <w:rStyle w:val="Ninguno"/>
          <w:color w:val="000000"/>
        </w:rPr>
        <w:tab/>
      </w:r>
      <w:r w:rsidRPr="00C93742">
        <w:rPr>
          <w:rStyle w:val="NingunoAA"/>
          <w:color w:val="000000"/>
        </w:rPr>
        <w:t xml:space="preserve">ņemot vērā </w:t>
      </w:r>
      <w:r w:rsidRPr="00C93742">
        <w:rPr>
          <w:rStyle w:val="NingunoAA"/>
          <w:i/>
          <w:iCs/>
          <w:color w:val="000000"/>
        </w:rPr>
        <w:t>UNESCO</w:t>
      </w:r>
      <w:r w:rsidRPr="00C93742">
        <w:rPr>
          <w:rStyle w:val="NingunoAA"/>
          <w:color w:val="000000"/>
        </w:rPr>
        <w:t xml:space="preserve"> Ģenerālās konferences 16. sesijā 1970. gada 14. novembrī pieņemto Konvenciju par kultūras īpašuma nelikumīga importa, eksporta un īpašumtiesību nodošanas aizlieguma un novēršanas līdzekļiem</w:t>
      </w:r>
      <w:r w:rsidRPr="00C93742">
        <w:rPr>
          <w:rStyle w:val="Ninguno"/>
          <w:color w:val="000000"/>
        </w:rPr>
        <w:t>,</w:t>
      </w:r>
    </w:p>
    <w:p w:rsidR="00940250" w:rsidRPr="00C93742" w:rsidRDefault="00940250" w:rsidP="00940250">
      <w:pPr>
        <w:pStyle w:val="NormalHanging12a"/>
      </w:pPr>
      <w:r w:rsidRPr="00C93742">
        <w:t>–</w:t>
      </w:r>
      <w:r w:rsidRPr="00C93742">
        <w:tab/>
      </w:r>
      <w:r w:rsidRPr="00C93742">
        <w:rPr>
          <w:rStyle w:val="Ninguno"/>
          <w:color w:val="000000"/>
        </w:rPr>
        <w:t xml:space="preserve">ņemot vērā </w:t>
      </w:r>
      <w:r w:rsidRPr="00C93742">
        <w:rPr>
          <w:rStyle w:val="Ninguno"/>
          <w:i/>
          <w:iCs/>
          <w:color w:val="000000"/>
        </w:rPr>
        <w:t>UNESCO</w:t>
      </w:r>
      <w:r w:rsidRPr="00C93742">
        <w:rPr>
          <w:rStyle w:val="Ninguno"/>
          <w:color w:val="000000"/>
        </w:rPr>
        <w:t xml:space="preserve"> 1972. gada 16. novembra Konvenciju par pasaules kultūras un dabas mantojuma aizsardzību,</w:t>
      </w:r>
    </w:p>
    <w:p w:rsidR="00940250" w:rsidRPr="00C93742" w:rsidRDefault="00940250" w:rsidP="00940250">
      <w:pPr>
        <w:pStyle w:val="NormalHanging12a"/>
        <w:rPr>
          <w:rStyle w:val="Ninguno"/>
          <w:color w:val="000000"/>
        </w:rPr>
      </w:pPr>
      <w:r w:rsidRPr="00C93742">
        <w:t>–</w:t>
      </w:r>
      <w:r w:rsidRPr="00C93742">
        <w:tab/>
      </w:r>
      <w:r w:rsidRPr="00C93742">
        <w:rPr>
          <w:rStyle w:val="NingunoAA"/>
          <w:color w:val="000000"/>
        </w:rPr>
        <w:t xml:space="preserve">ņemot vērā Eiropas Parlamenta un Padomes 2014. gada 15. maija Direktīvu 2014/60/ES par no dalībvalsts teritorijas nelikumīgi izvestu kultūras priekšmetu atgriešanu un ar ko </w:t>
      </w:r>
      <w:r w:rsidRPr="00C93742">
        <w:rPr>
          <w:rStyle w:val="NingunoAA"/>
          <w:color w:val="000000"/>
        </w:rPr>
        <w:lastRenderedPageBreak/>
        <w:t>groza Regulu (ES) Nr. 1024/2012</w:t>
      </w:r>
      <w:r w:rsidRPr="00C93742">
        <w:rPr>
          <w:rStyle w:val="Ninguno"/>
          <w:color w:val="000000"/>
          <w:vertAlign w:val="superscript"/>
        </w:rPr>
        <w:footnoteReference w:id="1"/>
      </w:r>
      <w:r w:rsidRPr="00C93742">
        <w:rPr>
          <w:rStyle w:val="NingunoAA"/>
          <w:color w:val="000000"/>
        </w:rPr>
        <w:t>,</w:t>
      </w:r>
    </w:p>
    <w:p w:rsidR="00940250" w:rsidRPr="00C93742" w:rsidRDefault="00940250" w:rsidP="00940250">
      <w:pPr>
        <w:pStyle w:val="NormalHanging12a"/>
        <w:rPr>
          <w:rStyle w:val="Ninguno"/>
          <w:color w:val="000000"/>
        </w:rPr>
      </w:pPr>
      <w:r w:rsidRPr="00C93742">
        <w:t>–</w:t>
      </w:r>
      <w:r w:rsidRPr="00C93742">
        <w:tab/>
      </w:r>
      <w:r w:rsidRPr="00C93742">
        <w:rPr>
          <w:rStyle w:val="NingunoAA"/>
          <w:color w:val="000000"/>
        </w:rPr>
        <w:t>ņemot vērā Komisijas 2022. gada 13. decembra paziņojumu par ES rīcības plānu kultūras priekšmetu nelikumīgas tirdzniecības apkarošanai (COM(2022)0800),</w:t>
      </w:r>
    </w:p>
    <w:p w:rsidR="00940250" w:rsidRPr="00C93742" w:rsidRDefault="00940250" w:rsidP="00940250">
      <w:pPr>
        <w:pStyle w:val="NormalHanging12a"/>
      </w:pPr>
      <w:r w:rsidRPr="00C93742">
        <w:t>–</w:t>
      </w:r>
      <w:r w:rsidRPr="00C93742">
        <w:tab/>
      </w:r>
      <w:r w:rsidRPr="00C93742">
        <w:rPr>
          <w:rStyle w:val="NingunoAA"/>
          <w:color w:val="000000"/>
        </w:rPr>
        <w:t>ņemot vērā Eiropas Padomes 2005. gada 27. oktobra Vispārējo konvenciju par kultūras mantojuma vērtību sabiedrībai (CETS 199)</w:t>
      </w:r>
      <w:r w:rsidRPr="00C93742">
        <w:rPr>
          <w:rStyle w:val="Ninguno"/>
          <w:color w:val="000000"/>
        </w:rPr>
        <w:t>,</w:t>
      </w:r>
    </w:p>
    <w:p w:rsidR="00940250" w:rsidRPr="00C93742" w:rsidRDefault="00940250" w:rsidP="00940250">
      <w:pPr>
        <w:pStyle w:val="NormalHanging12a"/>
        <w:rPr>
          <w:rStyle w:val="Ninguno"/>
          <w:color w:val="000000"/>
        </w:rPr>
      </w:pPr>
      <w:r w:rsidRPr="00C93742">
        <w:rPr>
          <w:rStyle w:val="NingunoA"/>
          <w:color w:val="000000"/>
        </w:rPr>
        <w:t>–</w:t>
      </w:r>
      <w:r w:rsidRPr="00C93742">
        <w:rPr>
          <w:rStyle w:val="NingunoA"/>
          <w:color w:val="000000"/>
        </w:rPr>
        <w:tab/>
      </w:r>
      <w:r w:rsidRPr="00C93742">
        <w:rPr>
          <w:rStyle w:val="NingunoAA"/>
          <w:color w:val="000000"/>
        </w:rPr>
        <w:t>ņemot vērā Eiropas Padomes 2017. gada 19. maija Konvenciju par noziedzīgiem nodarījumiem, kas saistīti ar kultūras vērtībām (CETS 221),</w:t>
      </w:r>
    </w:p>
    <w:p w:rsidR="00940250" w:rsidRPr="00C93742" w:rsidRDefault="00940250" w:rsidP="00940250">
      <w:pPr>
        <w:pStyle w:val="NormalHanging12a"/>
      </w:pPr>
      <w:r w:rsidRPr="00C93742">
        <w:rPr>
          <w:rStyle w:val="NingunoAA"/>
          <w:color w:val="000000"/>
        </w:rPr>
        <w:t>–</w:t>
      </w:r>
      <w:r w:rsidRPr="00C93742">
        <w:rPr>
          <w:rStyle w:val="NingunoAA"/>
          <w:color w:val="000000"/>
        </w:rPr>
        <w:tab/>
        <w:t>ņemot vērā valstu atzītos vispārējos starptautisko tiesību principus, piemēram, suverenitātes un neiejaukšanās principu, labticības principu un strīdu mierīgas izšķiršanas principu,</w:t>
      </w:r>
    </w:p>
    <w:p w:rsidR="00940250" w:rsidRPr="00C93742" w:rsidRDefault="00940250" w:rsidP="00940250">
      <w:pPr>
        <w:pStyle w:val="NormalHanging12a"/>
      </w:pPr>
      <w:r w:rsidRPr="00C93742">
        <w:t>–</w:t>
      </w:r>
      <w:r w:rsidRPr="00C93742">
        <w:tab/>
        <w:t>ņemot vērā Reglamenta 132. panta 2. un 4. punktu,</w:t>
      </w:r>
    </w:p>
    <w:p w:rsidR="00940250" w:rsidRPr="00C93742" w:rsidRDefault="00940250" w:rsidP="00940250">
      <w:pPr>
        <w:pStyle w:val="NormalHanging12a"/>
        <w:rPr>
          <w:rStyle w:val="Ninguno"/>
          <w:color w:val="000000"/>
        </w:rPr>
      </w:pPr>
      <w:r w:rsidRPr="00C93742">
        <w:t>A.</w:t>
      </w:r>
      <w:r w:rsidRPr="00C93742">
        <w:tab/>
        <w:t xml:space="preserve">tā kā </w:t>
      </w:r>
      <w:r w:rsidRPr="00C93742">
        <w:rPr>
          <w:rStyle w:val="NingunoAA"/>
          <w:color w:val="000000"/>
        </w:rPr>
        <w:t>valsts zelta rezerves</w:t>
      </w:r>
      <w:bookmarkStart w:id="8" w:name="_Hlk153228133"/>
      <w:r w:rsidRPr="00C93742">
        <w:rPr>
          <w:rStyle w:val="NingunoAA"/>
          <w:color w:val="000000"/>
        </w:rPr>
        <w:t xml:space="preserve"> ir būtisks finanšu aktīvs</w:t>
      </w:r>
      <w:bookmarkEnd w:id="8"/>
      <w:r w:rsidRPr="00C93742">
        <w:rPr>
          <w:rStyle w:val="NingunoAA"/>
          <w:color w:val="000000"/>
        </w:rPr>
        <w:t>, kas nodrošina tās valūtas stabilitāti un vairo pārliecību par valsts ekonomisko potenciālu;</w:t>
      </w:r>
    </w:p>
    <w:p w:rsidR="00940250" w:rsidRPr="00C93742" w:rsidRDefault="00940250" w:rsidP="00940250">
      <w:pPr>
        <w:pStyle w:val="NormalHanging12a"/>
        <w:rPr>
          <w:rStyle w:val="NingunoAA"/>
          <w:color w:val="000000"/>
        </w:rPr>
      </w:pPr>
      <w:r w:rsidRPr="00C93742">
        <w:t>B.</w:t>
      </w:r>
      <w:r w:rsidRPr="00C93742">
        <w:tab/>
      </w:r>
      <w:r w:rsidRPr="00C93742">
        <w:rPr>
          <w:rStyle w:val="NingunoAA"/>
          <w:color w:val="000000"/>
        </w:rPr>
        <w:t>tā kā valsts zelta rezervēm ir unikāla un ilgtermiņa loma finanšu un ekonomikas jomā, jo tās ir valstu valūtas rezervju būtiska sastāvdaļa; tā kā finanšu krīžu laikā centrālās bankas zelta rezerves darbojas kā drošs aktīvs tirgus satricinājumu apstākļos;</w:t>
      </w:r>
    </w:p>
    <w:p w:rsidR="00940250" w:rsidRPr="00C93742" w:rsidRDefault="00940250" w:rsidP="00940250">
      <w:pPr>
        <w:pStyle w:val="NormalHanging12a"/>
        <w:rPr>
          <w:rStyle w:val="NingunoAA"/>
          <w:color w:val="000000"/>
        </w:rPr>
      </w:pPr>
      <w:r w:rsidRPr="00C93742">
        <w:rPr>
          <w:rStyle w:val="NingunoAA"/>
          <w:color w:val="000000"/>
        </w:rPr>
        <w:t>C.</w:t>
      </w:r>
      <w:r w:rsidRPr="00C93742">
        <w:rPr>
          <w:rStyle w:val="NingunoAA"/>
          <w:color w:val="000000"/>
        </w:rPr>
        <w:tab/>
        <w:t>tā kā LES preambulā teikts, ka līgumslēdzēji iedvesmojas “no Eiropas kultūras, reliģijas un humānisma mantojuma” un tiecas “nostiprināt savu tautu solidaritāti, vienlaikus respektējot to vēsturi, kultūru un tradīcijas”, savukārt LESD 6. pantā kultūra ir minēta kā politikas joma sadaļā par Savienības kompetences kategorijām un jomām, minot dažādas darbības, ko ES var veikt, lai atbalstītu, koordinētu vai papildinātu dalībvalstu rīcību; tā kā saskaņā ar LESD 36. pantu dalībvalstu ziņā ir noteikt savas nacionālās bagātības savā jurisdikcijā un īstenot vajadzīgos pasākumus to aizsardzībai;</w:t>
      </w:r>
    </w:p>
    <w:p w:rsidR="00940250" w:rsidRPr="00C93742" w:rsidRDefault="00940250" w:rsidP="00940250">
      <w:pPr>
        <w:pStyle w:val="NormalHanging12a"/>
        <w:rPr>
          <w:rStyle w:val="Ninguno"/>
          <w:color w:val="000000"/>
        </w:rPr>
      </w:pPr>
      <w:r w:rsidRPr="00C93742">
        <w:t>D.</w:t>
      </w:r>
      <w:r w:rsidRPr="00C93742">
        <w:tab/>
      </w:r>
      <w:r w:rsidRPr="00C93742">
        <w:rPr>
          <w:rStyle w:val="NingunoAA"/>
          <w:color w:val="000000"/>
        </w:rPr>
        <w:t>tā kā jēdziens “Rumānijas nacionālā bagātība” aptver gan 91,5 tonnu zelta</w:t>
      </w:r>
      <w:r w:rsidRPr="00C93742">
        <w:rPr>
          <w:rStyle w:val="Ninguno"/>
          <w:color w:val="000000"/>
        </w:rPr>
        <w:t xml:space="preserve"> no Rumānijas Valsts bankas zelta rezervēm un karalisko dārglietu un retu monētu kolekcijas, kurām bez zelta</w:t>
      </w:r>
      <w:r w:rsidRPr="00C93742">
        <w:rPr>
          <w:rStyle w:val="NingunoAA"/>
          <w:color w:val="000000"/>
        </w:rPr>
        <w:t xml:space="preserve"> vērtības ir arī </w:t>
      </w:r>
      <w:proofErr w:type="spellStart"/>
      <w:r w:rsidRPr="00C93742">
        <w:rPr>
          <w:rStyle w:val="NingunoAA"/>
          <w:color w:val="000000"/>
        </w:rPr>
        <w:t>numismātiska</w:t>
      </w:r>
      <w:proofErr w:type="spellEnd"/>
      <w:r w:rsidRPr="00C93742">
        <w:rPr>
          <w:rStyle w:val="NingunoAA"/>
          <w:color w:val="000000"/>
        </w:rPr>
        <w:t xml:space="preserve"> un kultūras vērtība, gan arī kultūras, reliģiskas un arhīvu vērtības, kas ir daļa no valsts nacionālā mantojuma</w:t>
      </w:r>
      <w:r w:rsidRPr="00C93742">
        <w:rPr>
          <w:color w:val="000000"/>
        </w:rPr>
        <w:t>;</w:t>
      </w:r>
    </w:p>
    <w:p w:rsidR="00940250" w:rsidRPr="00C93742" w:rsidRDefault="00940250" w:rsidP="00940250">
      <w:pPr>
        <w:pStyle w:val="NormalHanging12a"/>
        <w:rPr>
          <w:rStyle w:val="Ninguno"/>
          <w:color w:val="000000"/>
        </w:rPr>
      </w:pPr>
      <w:r w:rsidRPr="00C93742">
        <w:t>E.</w:t>
      </w:r>
      <w:r w:rsidRPr="00C93742">
        <w:tab/>
      </w:r>
      <w:r w:rsidRPr="00C93742">
        <w:rPr>
          <w:rStyle w:val="NingunoAA"/>
          <w:color w:val="000000"/>
        </w:rPr>
        <w:t>tā kā ir likumīgs pamats to kultūras vērtību un nacionālo bagātību atdošanai, kas nelikumīgi izvestas no ES valsts teritorijas, pārkāpjot spēkā esošos tiesību aktus vai neievērojot nosacījumus, saskaņā ar kuriem tika piešķirta pagaidu atļauja to izvešanai; tā kā Rumānijai ir pilnībā juridiski pamatotas tiesības uz tās nacionālo bagātību, kas 1916. un 1917. gadā tika izvesta uz Krieviju;</w:t>
      </w:r>
    </w:p>
    <w:p w:rsidR="00940250" w:rsidRPr="00C93742" w:rsidRDefault="00940250" w:rsidP="00940250">
      <w:pPr>
        <w:pStyle w:val="NormalHanging12a"/>
      </w:pPr>
      <w:r w:rsidRPr="00C93742">
        <w:t>F.</w:t>
      </w:r>
      <w:r w:rsidRPr="00C93742">
        <w:rPr>
          <w:rStyle w:val="Ninguno"/>
          <w:color w:val="000000"/>
        </w:rPr>
        <w:tab/>
      </w:r>
      <w:r w:rsidRPr="00C93742">
        <w:t>tā kā nacionālā bagātība tika glabāta Krievijā ar garantiju, ka tā tiks pilnībā atdota saskaņā ar parakstītajiem dokumentiem, kuriem ir starptautisko līgumu vērtība;</w:t>
      </w:r>
    </w:p>
    <w:p w:rsidR="00940250" w:rsidRPr="00C93742" w:rsidRDefault="00940250" w:rsidP="00940250">
      <w:pPr>
        <w:pStyle w:val="NormalHanging12a"/>
        <w:rPr>
          <w:rStyle w:val="Ninguno"/>
          <w:bCs/>
          <w:color w:val="000000"/>
        </w:rPr>
      </w:pPr>
      <w:r w:rsidRPr="00C93742">
        <w:t>G.</w:t>
      </w:r>
      <w:r w:rsidRPr="00C93742">
        <w:tab/>
      </w:r>
      <w:r w:rsidRPr="00C93742">
        <w:rPr>
          <w:rStyle w:val="NingunoAA"/>
          <w:color w:val="000000"/>
        </w:rPr>
        <w:t>tā kā</w:t>
      </w:r>
      <w:r w:rsidRPr="00C93742">
        <w:rPr>
          <w:rStyle w:val="Ninguno"/>
          <w:color w:val="000000"/>
        </w:rPr>
        <w:t xml:space="preserve"> Krievijas veiktā Rumānijas nacionālās bagātības nelikumīgā piesavināšanās ir starptautisko tiesību un paražu pārkāpums, jo zelta rezervju, kā arī ievērojamas kultūras, reliģisko un arhīvu priekšmetu kolekcijas nodošana glabāšanai ārkārtas apstākļos bija pienācīgi dokumentēta un tika noslēgts juridiski spēkā esošs oficiāls nolīgums ar </w:t>
      </w:r>
      <w:r w:rsidRPr="00C93742">
        <w:rPr>
          <w:rStyle w:val="Ninguno"/>
          <w:color w:val="000000"/>
        </w:rPr>
        <w:lastRenderedPageBreak/>
        <w:t>juridiskām atgriešanas garantijām, kurā noteiktās saistības netika pildītas</w:t>
      </w:r>
      <w:r w:rsidRPr="00C93742">
        <w:rPr>
          <w:color w:val="000000"/>
        </w:rPr>
        <w:t>;</w:t>
      </w:r>
    </w:p>
    <w:p w:rsidR="00940250" w:rsidRPr="00C93742" w:rsidRDefault="00940250" w:rsidP="00940250">
      <w:pPr>
        <w:pStyle w:val="NormalHanging12a"/>
        <w:rPr>
          <w:rStyle w:val="Ninguno"/>
          <w:bCs/>
          <w:color w:val="000000"/>
        </w:rPr>
      </w:pPr>
      <w:r w:rsidRPr="00C93742">
        <w:rPr>
          <w:rStyle w:val="Ninguno"/>
          <w:color w:val="000000"/>
        </w:rPr>
        <w:t>H.</w:t>
      </w:r>
      <w:r w:rsidRPr="00C93742">
        <w:rPr>
          <w:rStyle w:val="Ninguno"/>
          <w:color w:val="000000"/>
        </w:rPr>
        <w:tab/>
        <w:t>tā kā pēc Rumānijas un Krievijas ārlietu ministru 2003. gada 4. jūlija kopīgā paziņojuma abas puses izveidoja Rumānijas un Krievijas apvienoto komisiju par divpusējo attiecību vēstures jautājumu izpēti, tostarp Pirmā pasaules kara laikā Maskavā deponēto Rumānijas bagātību jautājuma izpēti; tā kā 15 gadu laikā šī komisija ir tikusies tikai piecas reizes, un pēdējā sanāksme bija 2019. gadā; tā kā šajās sanāksmēs noslēgtajos protokolos Krievijas puse ir atzinusi Rumānijas prasību pret Krievijas Federāciju un piekritusi, ka Rumānijas puses iesniegtie dokumenti ir autentiski un tiem ir starptautiska līguma statuss, kas apliecina Rumānijas bagātību, tostarp tās Valsts bankas bagātību, deponēšanu Krievijā;</w:t>
      </w:r>
    </w:p>
    <w:p w:rsidR="00940250" w:rsidRPr="00C93742" w:rsidRDefault="00940250" w:rsidP="00940250">
      <w:pPr>
        <w:pStyle w:val="NormalHanging12a"/>
        <w:rPr>
          <w:rStyle w:val="Ninguno"/>
          <w:bCs/>
          <w:color w:val="000000"/>
        </w:rPr>
      </w:pPr>
      <w:r w:rsidRPr="00C93742">
        <w:rPr>
          <w:rStyle w:val="Ninguno"/>
          <w:color w:val="000000"/>
        </w:rPr>
        <w:t>I.</w:t>
      </w:r>
      <w:r w:rsidRPr="00C93742">
        <w:rPr>
          <w:rStyle w:val="Ninguno"/>
          <w:color w:val="000000"/>
        </w:rPr>
        <w:tab/>
        <w:t xml:space="preserve">tā kā Krievijas Federācija ir Padomju Savienības tiesiskā pēctece, savukārt Padomju Savienība turpināja cariskās Krievijas </w:t>
      </w:r>
      <w:proofErr w:type="spellStart"/>
      <w:r w:rsidRPr="00C93742">
        <w:rPr>
          <w:rStyle w:val="Ninguno"/>
          <w:color w:val="000000"/>
        </w:rPr>
        <w:t>tiesībsubjektivitāti</w:t>
      </w:r>
      <w:proofErr w:type="spellEnd"/>
      <w:r w:rsidRPr="00C93742">
        <w:rPr>
          <w:rStyle w:val="Ninguno"/>
          <w:color w:val="000000"/>
        </w:rPr>
        <w:t>, un tādējādi Krievijas Federācijai ir pienākums atdot Rumānijai piederošās vērtības;</w:t>
      </w:r>
    </w:p>
    <w:p w:rsidR="00940250" w:rsidRPr="00C93742" w:rsidRDefault="00940250" w:rsidP="00940250">
      <w:pPr>
        <w:pStyle w:val="NormalHanging12a"/>
        <w:rPr>
          <w:rStyle w:val="Ninguno"/>
          <w:bCs/>
          <w:color w:val="000000"/>
        </w:rPr>
      </w:pPr>
      <w:r w:rsidRPr="00C93742">
        <w:rPr>
          <w:rStyle w:val="Ninguno"/>
          <w:color w:val="000000"/>
        </w:rPr>
        <w:t>J.</w:t>
      </w:r>
      <w:r w:rsidRPr="00C93742">
        <w:rPr>
          <w:rStyle w:val="Ninguno"/>
          <w:color w:val="000000"/>
        </w:rPr>
        <w:tab/>
      </w:r>
      <w:r w:rsidRPr="00C93742">
        <w:rPr>
          <w:rStyle w:val="NingunoAA"/>
          <w:color w:val="000000"/>
        </w:rPr>
        <w:t xml:space="preserve">tā kā piesavinātās Rumānijas nacionālās bagātības restitūcija ir ļoti liela nozīme no valsts institucionālās un tautas atmiņas viedokļa; </w:t>
      </w:r>
      <w:r w:rsidRPr="00C93742">
        <w:rPr>
          <w:rStyle w:val="Ninguno"/>
          <w:color w:val="000000"/>
        </w:rPr>
        <w:t>tā kā no izcelsmes valsts nelikumīgi izvesta kultūras mantojuma restitūcijai ir būtiska nozīme šāda mantojuma universālās vērtības aizsardzībā;</w:t>
      </w:r>
    </w:p>
    <w:p w:rsidR="00940250" w:rsidRPr="00C93742" w:rsidRDefault="00940250" w:rsidP="00940250">
      <w:pPr>
        <w:pStyle w:val="NormalHanging12a"/>
        <w:rPr>
          <w:rStyle w:val="NingunoAA"/>
          <w:color w:val="000000"/>
        </w:rPr>
      </w:pPr>
      <w:r w:rsidRPr="00C93742">
        <w:rPr>
          <w:rStyle w:val="Ninguno"/>
          <w:color w:val="000000"/>
        </w:rPr>
        <w:t>K.</w:t>
      </w:r>
      <w:r w:rsidRPr="00C93742">
        <w:rPr>
          <w:rStyle w:val="Ninguno"/>
          <w:color w:val="000000"/>
        </w:rPr>
        <w:tab/>
      </w:r>
      <w:r w:rsidRPr="00C93742">
        <w:rPr>
          <w:rStyle w:val="NingunoAA"/>
          <w:color w:val="000000"/>
        </w:rPr>
        <w:t>tā kā Rumānijas nacionālās bagātības atgūšanai ir vajadzīga īpaši pielāgota Eiropas reakcija,</w:t>
      </w:r>
    </w:p>
    <w:p w:rsidR="00940250" w:rsidRPr="00C93742" w:rsidRDefault="00940250" w:rsidP="00940250">
      <w:pPr>
        <w:pStyle w:val="NormalHanging12a"/>
      </w:pPr>
      <w:r w:rsidRPr="00C93742">
        <w:rPr>
          <w:rStyle w:val="NingunoAA"/>
          <w:color w:val="000000"/>
        </w:rPr>
        <w:t>1.</w:t>
      </w:r>
      <w:r w:rsidRPr="00C93742">
        <w:rPr>
          <w:rStyle w:val="NingunoAA"/>
          <w:color w:val="000000"/>
        </w:rPr>
        <w:tab/>
      </w:r>
      <w:r w:rsidRPr="00C93742">
        <w:t>pauž nožēlu par Krievijas nespēju pilnībā atdot Rumānijas nacionālo bagātību Rumānijai saskaņā ar saistībām, kas skaidri norādītas oficiālajos divpusējos nolīgumos starp abām valstīm, un kā sagaidāms saskaņā ar starptautiskajām tiesībām un normām;</w:t>
      </w:r>
    </w:p>
    <w:p w:rsidR="00940250" w:rsidRPr="00C93742" w:rsidRDefault="00940250" w:rsidP="00940250">
      <w:pPr>
        <w:pStyle w:val="NormalHanging12a"/>
        <w:rPr>
          <w:bCs/>
        </w:rPr>
      </w:pPr>
      <w:r w:rsidRPr="00C93742">
        <w:t>2.</w:t>
      </w:r>
      <w:r w:rsidRPr="00C93742">
        <w:tab/>
        <w:t>mudina Krievijas Federāciju pilnībā atdot Rumānijai atlikušo daļu Rumānijas nacionālās bagātības, kas uz Krieviju glabāšanai tika nosūtīta 1916. un 1917. gadā;</w:t>
      </w:r>
    </w:p>
    <w:p w:rsidR="00940250" w:rsidRPr="00C93742" w:rsidRDefault="00940250" w:rsidP="00940250">
      <w:pPr>
        <w:pStyle w:val="NormalHanging12a"/>
      </w:pPr>
      <w:r w:rsidRPr="00C93742">
        <w:t>3.</w:t>
      </w:r>
      <w:r w:rsidRPr="00C93742">
        <w:tab/>
      </w:r>
      <w:r w:rsidRPr="00C93742">
        <w:rPr>
          <w:rStyle w:val="Ninguno"/>
          <w:color w:val="000000"/>
        </w:rPr>
        <w:t>atgādina, ka Krievijas veiktā nelikumīgā Rumānijas nacionālās bagātības piesavināšanās ir unikāls starptautisks gadījums, kad valsts monetārās zelta rezerves kopā ar kultūras, reliģijas un arhīvu priekšmetiem, kas ir daļa no šīs valsts nacionālā mantojuma, tika uzticēta glabāšanai citai valstij saskaņā ar vienošanos, kura izklāstīta juridiski spēkā esošos dokumentos, kas sniedz juridiskas garantijas to atdošanai, bet galu galā šīs saistības netika ievērotas, pārkāpjot starptautiskās tiesības un paražas;</w:t>
      </w:r>
    </w:p>
    <w:p w:rsidR="00940250" w:rsidRPr="00C93742" w:rsidRDefault="00940250" w:rsidP="00940250">
      <w:pPr>
        <w:pStyle w:val="NormalHanging12a"/>
        <w:rPr>
          <w:rStyle w:val="NingunoAA"/>
          <w:color w:val="000000"/>
        </w:rPr>
      </w:pPr>
      <w:r w:rsidRPr="00C93742">
        <w:t>4.</w:t>
      </w:r>
      <w:r w:rsidRPr="00C93742">
        <w:tab/>
      </w:r>
      <w:r w:rsidRPr="00C93742">
        <w:rPr>
          <w:rStyle w:val="NingunoAA"/>
          <w:color w:val="000000"/>
        </w:rPr>
        <w:t>atzīst, ka nacionālā bagātība, kura tika deponēta glabāšanai Krievijā 1916. un 1917. gadā Pirmā pasaules kara grūtajos laikos ar Krievijas impērijas valdības garantiju attiecībā uz transportēšanas drošību, deponēšanas drošību un drošu atdošanu</w:t>
      </w:r>
      <w:r w:rsidRPr="00C93742">
        <w:rPr>
          <w:rStyle w:val="Ninguno"/>
          <w:color w:val="000000"/>
        </w:rPr>
        <w:t xml:space="preserve"> </w:t>
      </w:r>
      <w:r w:rsidRPr="00C93742">
        <w:rPr>
          <w:rStyle w:val="NingunoAA"/>
          <w:color w:val="000000"/>
        </w:rPr>
        <w:t>Rumānijai, ir vēl nepieredzēts starptautisks gadījums, kad ir nelikumīgi piesavinātas zelta rezerves un mantojuma priekšmeti, un jautājums, kas nepārtraukti satrauc Rumānijas sabiedrību;</w:t>
      </w:r>
    </w:p>
    <w:p w:rsidR="00940250" w:rsidRPr="00C93742" w:rsidRDefault="00940250" w:rsidP="00940250">
      <w:pPr>
        <w:pStyle w:val="NormalHanging12a"/>
        <w:rPr>
          <w:rStyle w:val="NingunoAA"/>
          <w:color w:val="000000"/>
        </w:rPr>
      </w:pPr>
      <w:r w:rsidRPr="00C93742">
        <w:t>5.</w:t>
      </w:r>
      <w:r w:rsidRPr="00C93742">
        <w:tab/>
      </w:r>
      <w:r w:rsidRPr="00C93742">
        <w:rPr>
          <w:rStyle w:val="NingunoAA"/>
          <w:color w:val="000000"/>
        </w:rPr>
        <w:t xml:space="preserve">norāda, ka Pirmais pasaules karš piespieda </w:t>
      </w:r>
      <w:proofErr w:type="spellStart"/>
      <w:r w:rsidRPr="00C93742">
        <w:rPr>
          <w:rStyle w:val="NingunoAA"/>
          <w:color w:val="000000"/>
        </w:rPr>
        <w:t>tālaika</w:t>
      </w:r>
      <w:proofErr w:type="spellEnd"/>
      <w:r w:rsidRPr="00C93742">
        <w:rPr>
          <w:rStyle w:val="NingunoAA"/>
          <w:color w:val="000000"/>
        </w:rPr>
        <w:t xml:space="preserve"> Rumānijas valdību nodot savu nacionālo bagātību Rumānijas sabiedrotajai valstij aizsardzībai pret iznīcināšanu; atgādina, ka kara grūtību laikā ar vairākiem desmitiem vilcienu vagonu lielāko daļu Rumānijas nacionālās bagātības nogādāja uz carisko Krieviju glabāšanai līdz miera laikam, turklāt tika sagatavota detalizēta inventarizācijas dokumentācija par Rumānijas Valsts bankas zelta rezervēm, saņemot Krievijas garantiju par aizsardzību un atdošanu, kam liecinieces tolaik bija citas valstis; uzsver, ka Krievijai glabāšanā likumīgi nodotā </w:t>
      </w:r>
      <w:r w:rsidRPr="00C93742">
        <w:rPr>
          <w:rStyle w:val="NingunoAA"/>
          <w:color w:val="000000"/>
        </w:rPr>
        <w:lastRenderedPageBreak/>
        <w:t>nacionāla bagātība ir 91,5 tonnas zelta no Rumānijas Valsts bankas rezervēm, karalisko dārgakmeņu un retu monētu kolekcijas, kā arī nenovērtējamas kultūras un vēstures vērtības, piemēram, valsts arhīvi, dokumenti, vērtīgi vēsturiski manuskripti, senas gleznas, retas grāmatas un daudzu valsts un privātu iestāžu kolekcijas, kas aptver vairāk nekā piecus Rumānijas vēstures gadsimtus;</w:t>
      </w:r>
    </w:p>
    <w:p w:rsidR="00940250" w:rsidRPr="00C93742" w:rsidRDefault="00940250" w:rsidP="00940250">
      <w:pPr>
        <w:pStyle w:val="NormalHanging12a"/>
        <w:rPr>
          <w:rStyle w:val="NingunoAA"/>
          <w:color w:val="000000"/>
        </w:rPr>
      </w:pPr>
      <w:r w:rsidRPr="00C93742">
        <w:t>6.</w:t>
      </w:r>
      <w:r w:rsidRPr="00C93742">
        <w:tab/>
      </w:r>
      <w:r w:rsidRPr="00C93742">
        <w:rPr>
          <w:rStyle w:val="NingunoAA"/>
          <w:color w:val="000000"/>
        </w:rPr>
        <w:t>uzsver, ka, neraugoties uz vairākiem mēģinājumiem pēc Pirmā pasaules kara rīkotās diplomātiskās sarunās, Krievija nav pilnībā atdevusi Rumānijas nacionālo bagātību, kā to juridiski paredz oficiālais divpusējais nolīgums starp abām valstīm;</w:t>
      </w:r>
    </w:p>
    <w:p w:rsidR="00940250" w:rsidRPr="00C93742" w:rsidRDefault="00940250" w:rsidP="00940250">
      <w:pPr>
        <w:pStyle w:val="NormalHanging12a"/>
      </w:pPr>
      <w:r w:rsidRPr="00C93742">
        <w:t>7.</w:t>
      </w:r>
      <w:r w:rsidRPr="00C93742">
        <w:tab/>
      </w:r>
      <w:r w:rsidRPr="00C93742">
        <w:rPr>
          <w:rStyle w:val="NingunoAA"/>
          <w:color w:val="000000"/>
        </w:rPr>
        <w:t>atzīmē, ka daļa kultūras, reliģisko un arhīvu priekšmetu, kas ir daļa no Krievijas nelikumīgi piesavinātās nacionālās bagātības, Rumānijai tika atdota 1935. un 1956. gadā; uzsver, ka līdz šim tomēr nav atdotas 91,5 tonnas zelta, kas ir daļa no Rumānijas Valsts bankas rezervēm,</w:t>
      </w:r>
      <w:r w:rsidRPr="00C93742">
        <w:rPr>
          <w:rStyle w:val="Ninguno"/>
          <w:color w:val="000000"/>
        </w:rPr>
        <w:t xml:space="preserve"> neraugoties uz protokoliem, kuri tika parakstīti, nogādājot bagātību Krievijā;</w:t>
      </w:r>
    </w:p>
    <w:p w:rsidR="00940250" w:rsidRPr="00C93742" w:rsidRDefault="00940250" w:rsidP="00940250">
      <w:pPr>
        <w:pStyle w:val="NormalHanging12a"/>
      </w:pPr>
      <w:r w:rsidRPr="00C93742">
        <w:t>8.</w:t>
      </w:r>
      <w:r w:rsidRPr="00C93742">
        <w:tab/>
      </w:r>
      <w:r w:rsidRPr="00C93742">
        <w:rPr>
          <w:rStyle w:val="NingunoAA"/>
          <w:color w:val="000000"/>
        </w:rPr>
        <w:t>pauž bažas par to, ka, neraugoties uz izveidoto</w:t>
      </w:r>
      <w:r w:rsidRPr="00C93742">
        <w:rPr>
          <w:rStyle w:val="Ninguno"/>
          <w:color w:val="000000"/>
        </w:rPr>
        <w:t xml:space="preserve"> </w:t>
      </w:r>
      <w:r w:rsidRPr="00C93742">
        <w:rPr>
          <w:rStyle w:val="NingunoAA"/>
          <w:color w:val="000000"/>
        </w:rPr>
        <w:t xml:space="preserve">Rumānijas un Krievijas apvienoto ekspertu komisiju, kura ir pilnvarota apspriest šo jautājumu, centieni pa divpusējiem diplomātiskiem kanāliem starp Rumāniju un Krieviju panākt Rumānijas nacionālās bagātības, tostarp nelikumīgi piesavināto Rumānijas Valsts bankas zelta rezervju, atdošanu ir </w:t>
      </w:r>
      <w:proofErr w:type="spellStart"/>
      <w:r w:rsidRPr="00C93742">
        <w:rPr>
          <w:rStyle w:val="NingunoAA"/>
          <w:color w:val="000000"/>
        </w:rPr>
        <w:t>saskārušies</w:t>
      </w:r>
      <w:proofErr w:type="spellEnd"/>
      <w:r w:rsidRPr="00C93742">
        <w:rPr>
          <w:rStyle w:val="NingunoAA"/>
          <w:color w:val="000000"/>
        </w:rPr>
        <w:t xml:space="preserve"> ar Krievijas atteikšanos atdot to, ko iepriekšējie režīmi ir nelikumīgi paturējuši, tādējādi neievērojot parakstītos restitūcijas protokolus;</w:t>
      </w:r>
    </w:p>
    <w:p w:rsidR="00940250" w:rsidRPr="00C93742" w:rsidRDefault="00940250" w:rsidP="00940250">
      <w:pPr>
        <w:pStyle w:val="NormalHanging12a"/>
        <w:rPr>
          <w:rStyle w:val="NingunoAA"/>
          <w:color w:val="000000"/>
        </w:rPr>
      </w:pPr>
      <w:r w:rsidRPr="00C93742">
        <w:t>9.</w:t>
      </w:r>
      <w:r w:rsidRPr="00C93742">
        <w:tab/>
      </w:r>
      <w:r w:rsidRPr="00C93742">
        <w:rPr>
          <w:rStyle w:val="NingunoAA"/>
          <w:color w:val="000000"/>
        </w:rPr>
        <w:t>uzsver, ka īpaša uzmanība ir jāpievērš dalībvalstu nacionālo bagātību saglabāšanai, kā noteikts ES līgumos;</w:t>
      </w:r>
    </w:p>
    <w:p w:rsidR="00940250" w:rsidRPr="00C93742" w:rsidRDefault="00940250" w:rsidP="00940250">
      <w:pPr>
        <w:pStyle w:val="NormalHanging12a"/>
      </w:pPr>
      <w:r w:rsidRPr="00C93742">
        <w:t>10.</w:t>
      </w:r>
      <w:r w:rsidRPr="00C93742">
        <w:tab/>
      </w:r>
      <w:r w:rsidRPr="00C93742">
        <w:rPr>
          <w:rStyle w:val="NingunoAA"/>
          <w:color w:val="000000"/>
        </w:rPr>
        <w:t>atzinīgi vērtē ES ievērojamos centienus aizsargāt nacionālo, kultūras un vēstures mantojumu, īstenojot tiesību aktus un sadarbības mehānismus, kas reglamentē no ES valstu teritorijām nelikumīgi izvesto kultūras un mantojuma vērtību atdošanu, kā arī tās centienus apkarot kultūras priekšmetu kontrabandu;</w:t>
      </w:r>
    </w:p>
    <w:p w:rsidR="00940250" w:rsidRPr="00C93742" w:rsidRDefault="00940250" w:rsidP="00940250">
      <w:pPr>
        <w:pStyle w:val="NormalHanging12a"/>
        <w:rPr>
          <w:rStyle w:val="NingunoAA"/>
          <w:color w:val="000000"/>
        </w:rPr>
      </w:pPr>
      <w:r w:rsidRPr="00C93742">
        <w:t>11.</w:t>
      </w:r>
      <w:r w:rsidRPr="00C93742">
        <w:tab/>
      </w:r>
      <w:r w:rsidRPr="00C93742">
        <w:rPr>
          <w:rStyle w:val="NingunoAA"/>
          <w:color w:val="000000"/>
        </w:rPr>
        <w:t>atzīst, ka Direktīva 2014/60/ES ir ES gatavības aizsargāt nacionālās bagātības un kultūras priekšmetus galvenais pīlārs, savukārt ar ES rīcības plānu kultūras priekšmetu nelikumīgas tirdzniecības apkarošanai ir apstiprināta ES plašāka apņemšanās aizsargāt kultūras mantojumu; uzsver, ka nelikumīgi izvestie kultūras priekšmeti ir jāatdod neatkarīgi no tā, vai tie ir pārvietoti Savienības teritorijā vai izvesti uz trešo valsti; norāda, ka saskaņā ar attiecīgajiem LESD noteikumiem spēkā esošie ES tiesību akti attiecas uz to kultūras priekšmetu un nacionālo bagātību atdošanu, kurus kāda dalībvalsts ir nelikumīgi izvedusi no citas dalībvalsts pirms 1993. gada 1. janvāra, savukārt Rumānijas nacionālās bagātības repatriācija ir īpašs gadījums, kam vajadzīgs īpašs risinājums; uzsver, ka Rumānijas nacionālās bagātības nelikumīgas piesavināšanās izņēmuma raksturs uzsver šīs situācijas unikalitāti, kas prasa īpaši pielāgotu Eiropas reakciju, lai atvieglotu tās atdošanu, tādējādi paplašinot ES pieejas tvērumu un attiecinot to arī uz tādu kultūras vērtību restitūciju, kas nelikumīgi izvestas no ES valstu teritorijas;</w:t>
      </w:r>
    </w:p>
    <w:p w:rsidR="00940250" w:rsidRPr="00C93742" w:rsidRDefault="00940250" w:rsidP="00940250">
      <w:pPr>
        <w:pStyle w:val="NormalHanging12a"/>
        <w:rPr>
          <w:rStyle w:val="NingunoAA"/>
          <w:color w:val="000000"/>
        </w:rPr>
      </w:pPr>
      <w:r w:rsidRPr="00C93742">
        <w:rPr>
          <w:rStyle w:val="NingunoAA"/>
          <w:color w:val="000000"/>
        </w:rPr>
        <w:t>12.</w:t>
      </w:r>
      <w:r w:rsidRPr="00C93742">
        <w:rPr>
          <w:rStyle w:val="NingunoAA"/>
          <w:color w:val="000000"/>
        </w:rPr>
        <w:tab/>
        <w:t>uzsver, ka, lai atgūtu ES dalībvalsts kultūras vērtības un nacionālās bagātības, ko nelikumīgi piesavinājusies trešā valsts, ir vajadzīgs būtisks diplomātiskais dialogs gan divpusēji, gan starptautiskajos forumos;</w:t>
      </w:r>
    </w:p>
    <w:p w:rsidR="00940250" w:rsidRPr="00C93742" w:rsidRDefault="00940250" w:rsidP="00940250">
      <w:pPr>
        <w:pStyle w:val="NormalHanging12a"/>
        <w:rPr>
          <w:rStyle w:val="NingunoAA"/>
          <w:color w:val="000000"/>
        </w:rPr>
      </w:pPr>
      <w:r w:rsidRPr="00C93742">
        <w:t>13.</w:t>
      </w:r>
      <w:r w:rsidRPr="00C93742">
        <w:tab/>
      </w:r>
      <w:r w:rsidRPr="00C93742">
        <w:rPr>
          <w:rStyle w:val="NingunoAA"/>
          <w:color w:val="000000"/>
        </w:rPr>
        <w:t xml:space="preserve">aicina Komisiju paplašināt to ES politikas jomu tvērumu, ar kuram reglamentē kultūras </w:t>
      </w:r>
      <w:r w:rsidRPr="00C93742">
        <w:rPr>
          <w:rStyle w:val="NingunoAA"/>
          <w:color w:val="000000"/>
        </w:rPr>
        <w:lastRenderedPageBreak/>
        <w:t>priekšmetu aizsardzību, iekļaujot tajā kara laikā pārvietoto nacionālo bagātību atgūšanu saskaņā ar divpusējiem nolīgumiem starp valstīm;</w:t>
      </w:r>
    </w:p>
    <w:p w:rsidR="00940250" w:rsidRPr="00C93742" w:rsidRDefault="00940250" w:rsidP="00940250">
      <w:pPr>
        <w:pStyle w:val="NormalHanging12a"/>
        <w:rPr>
          <w:rStyle w:val="NingunoAA"/>
          <w:color w:val="000000"/>
        </w:rPr>
      </w:pPr>
      <w:r w:rsidRPr="00C93742">
        <w:t>14.</w:t>
      </w:r>
      <w:r w:rsidRPr="00C93742">
        <w:tab/>
      </w:r>
      <w:r w:rsidRPr="00C93742">
        <w:rPr>
          <w:rStyle w:val="NingunoAA"/>
          <w:color w:val="000000"/>
        </w:rPr>
        <w:t>aicina Komisiju un Eiropas Ārējās darbības dienestu iekļaut Rumānijas nacionālās bagātības atgūšanu divpusējā diplomātiskajā darba kārtībā, kas attiecas uz ES un Krievijas attiecībām, tiklīdz reģionālais konteksts ļaus atsākt politisko dialogu starp pusēm;</w:t>
      </w:r>
    </w:p>
    <w:p w:rsidR="00940250" w:rsidRPr="00C93742" w:rsidRDefault="00940250" w:rsidP="00940250">
      <w:pPr>
        <w:pStyle w:val="NormalHanging12a"/>
      </w:pPr>
      <w:r w:rsidRPr="00C93742">
        <w:t>15.</w:t>
      </w:r>
      <w:r w:rsidRPr="00C93742">
        <w:tab/>
      </w:r>
      <w:r w:rsidRPr="00C93742">
        <w:rPr>
          <w:rStyle w:val="NingunoAA"/>
          <w:color w:val="000000"/>
        </w:rPr>
        <w:t>aicina Komisiju veidot konkrētu sinerģiju ar Rumānijas valsti, Rumānijas Valsts banku un citām attiecīgajām iestādēm, lai īstenotu koordinētus centienus un izmantotu visus diplomātiskos starpniecības līdzekļus, attiecīgā gadījumā veicinot saziņu ar Krievijas pusi un meklējot risinājumus, kas bez kavēšanās nodrošinātu pazudušās nacionālās bagātības atdošanu to</w:t>
      </w:r>
      <w:r w:rsidRPr="00C93742">
        <w:rPr>
          <w:rStyle w:val="Ninguno"/>
          <w:color w:val="000000"/>
        </w:rPr>
        <w:t xml:space="preserve"> patiesajam īpašniekam;</w:t>
      </w:r>
    </w:p>
    <w:p w:rsidR="00940250" w:rsidRPr="00C93742" w:rsidRDefault="00940250" w:rsidP="00940250">
      <w:pPr>
        <w:pStyle w:val="NormalHanging12a"/>
        <w:rPr>
          <w:rStyle w:val="NingunoAA"/>
          <w:color w:val="000000"/>
        </w:rPr>
      </w:pPr>
      <w:r w:rsidRPr="00C93742">
        <w:t>16.</w:t>
      </w:r>
      <w:r w:rsidRPr="00C93742">
        <w:tab/>
      </w:r>
      <w:r w:rsidRPr="00C93742">
        <w:rPr>
          <w:rStyle w:val="NingunoAA"/>
          <w:color w:val="000000"/>
        </w:rPr>
        <w:t>aicina Komisiju izpētīt iespēju darboties kā partnerim tiem Rumānijas pārstāvjiem, kuri ir iesaistīti Rumānijas un Krievijas apvienotajā komisijā, kas ir pilnvarota apspriest Rumānijas nacionālās bagātības atdošanu;</w:t>
      </w:r>
    </w:p>
    <w:p w:rsidR="00940250" w:rsidRPr="00C93742" w:rsidRDefault="00940250" w:rsidP="00940250">
      <w:pPr>
        <w:pStyle w:val="NormalHanging12a"/>
        <w:rPr>
          <w:rStyle w:val="NingunoAA"/>
          <w:color w:val="000000"/>
        </w:rPr>
      </w:pPr>
      <w:r w:rsidRPr="00C93742">
        <w:t>17.</w:t>
      </w:r>
      <w:r w:rsidRPr="00C93742">
        <w:tab/>
      </w:r>
      <w:r w:rsidRPr="00C93742">
        <w:rPr>
          <w:rStyle w:val="NingunoAA"/>
          <w:color w:val="000000"/>
        </w:rPr>
        <w:t>uzdod priekšsēdētājai šo rezolūciju nosūtīt Padomei, Komisijai, Eiropas Ārējās darbības dienestam, dalībvalstu valdībām un parlamentiem, Eiropas Padomei un tās Parlamentārajai asamblejai</w:t>
      </w:r>
      <w:r w:rsidRPr="00C93742">
        <w:t>, Eiropas Drošības un sadarbības organizācijai un Krievijas Federācijas valsts iestādēm.</w:t>
      </w:r>
    </w:p>
    <w:p w:rsidR="00E365E1" w:rsidRPr="00C93742" w:rsidRDefault="00E365E1" w:rsidP="0069561B"/>
    <w:sectPr w:rsidR="00E365E1" w:rsidRPr="00C93742" w:rsidSect="008350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61B" w:rsidRPr="008350BE" w:rsidRDefault="0069561B">
      <w:r w:rsidRPr="008350BE">
        <w:separator/>
      </w:r>
    </w:p>
  </w:endnote>
  <w:endnote w:type="continuationSeparator" w:id="0">
    <w:p w:rsidR="0069561B" w:rsidRPr="008350BE" w:rsidRDefault="0069561B">
      <w:r w:rsidRPr="008350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0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0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0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61B" w:rsidRPr="008350BE" w:rsidRDefault="0069561B">
      <w:r w:rsidRPr="008350BE">
        <w:separator/>
      </w:r>
    </w:p>
  </w:footnote>
  <w:footnote w:type="continuationSeparator" w:id="0">
    <w:p w:rsidR="0069561B" w:rsidRPr="008350BE" w:rsidRDefault="0069561B">
      <w:r w:rsidRPr="008350BE">
        <w:continuationSeparator/>
      </w:r>
    </w:p>
  </w:footnote>
  <w:footnote w:id="1">
    <w:p w:rsidR="00940250" w:rsidRPr="008350BE" w:rsidRDefault="00940250" w:rsidP="008350BE">
      <w:pPr>
        <w:pStyle w:val="FootnoteText"/>
        <w:ind w:left="567" w:hanging="567"/>
        <w:rPr>
          <w:sz w:val="24"/>
          <w:lang w:val="lv-LV"/>
        </w:rPr>
      </w:pPr>
      <w:r w:rsidRPr="008350BE">
        <w:rPr>
          <w:rStyle w:val="FootnoteReference"/>
          <w:sz w:val="24"/>
          <w:lang w:val="lv-LV"/>
        </w:rPr>
        <w:footnoteRef/>
      </w:r>
      <w:r w:rsidR="008350BE" w:rsidRPr="008350BE">
        <w:rPr>
          <w:rStyle w:val="NingunoA"/>
          <w:sz w:val="24"/>
          <w:lang w:val="lv-LV"/>
        </w:rPr>
        <w:t xml:space="preserve"> </w:t>
      </w:r>
      <w:r w:rsidR="008350BE" w:rsidRPr="008350BE">
        <w:rPr>
          <w:rStyle w:val="NingunoA"/>
          <w:sz w:val="24"/>
          <w:lang w:val="lv-LV"/>
        </w:rPr>
        <w:tab/>
      </w:r>
      <w:r w:rsidRPr="008350BE">
        <w:rPr>
          <w:rStyle w:val="NingunoA"/>
          <w:sz w:val="24"/>
          <w:lang w:val="lv-LV"/>
        </w:rPr>
        <w:t xml:space="preserve">OV L 159, 28.5.2014., 1. lpp.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0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0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0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LV"/>
    <w:docVar w:name="dvnumam" w:val="0"/>
    <w:docVar w:name="dvpe" w:val="760.481"/>
    <w:docVar w:name="dvtitre" w:val="Eiropas Parlamenta 2024. gada XX. XXX  rezolūcija par prasību atdot Rumānijas nacionālo bagātību, ko nelikumīgi piesavinājusies Krievija(2024/2605(RSP))"/>
  </w:docVars>
  <w:rsids>
    <w:rsidRoot w:val="0069561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C40"/>
    <w:rsid w:val="005C2568"/>
    <w:rsid w:val="006037C0"/>
    <w:rsid w:val="006631B6"/>
    <w:rsid w:val="00680577"/>
    <w:rsid w:val="0069561B"/>
    <w:rsid w:val="006F74FA"/>
    <w:rsid w:val="00731ADD"/>
    <w:rsid w:val="00734777"/>
    <w:rsid w:val="00747932"/>
    <w:rsid w:val="00751A4A"/>
    <w:rsid w:val="00756632"/>
    <w:rsid w:val="00762C74"/>
    <w:rsid w:val="00786EC0"/>
    <w:rsid w:val="007D1690"/>
    <w:rsid w:val="007E22AD"/>
    <w:rsid w:val="00817416"/>
    <w:rsid w:val="008350BE"/>
    <w:rsid w:val="00842779"/>
    <w:rsid w:val="00865F67"/>
    <w:rsid w:val="00881A7B"/>
    <w:rsid w:val="008840E5"/>
    <w:rsid w:val="00887B3E"/>
    <w:rsid w:val="008C2AC6"/>
    <w:rsid w:val="00930C23"/>
    <w:rsid w:val="0093193B"/>
    <w:rsid w:val="0094025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98F"/>
    <w:rsid w:val="00C61C0C"/>
    <w:rsid w:val="00C9374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999D2"/>
  <w15:chartTrackingRefBased/>
  <w15:docId w15:val="{FC0E6E7B-0ABD-4566-A020-591D3FB5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40250"/>
    <w:rPr>
      <w:b/>
    </w:rPr>
  </w:style>
  <w:style w:type="paragraph" w:customStyle="1" w:styleId="NormalHanging12a">
    <w:name w:val="NormalHanging12a"/>
    <w:basedOn w:val="Normal"/>
    <w:link w:val="NormalHanging12aChar"/>
    <w:rsid w:val="00940250"/>
    <w:pPr>
      <w:spacing w:after="240"/>
      <w:ind w:left="567" w:hanging="567"/>
    </w:pPr>
  </w:style>
  <w:style w:type="paragraph" w:customStyle="1" w:styleId="EPComma">
    <w:name w:val="EPComma"/>
    <w:basedOn w:val="Normal"/>
    <w:link w:val="EPCommaChar"/>
    <w:rsid w:val="00940250"/>
    <w:pPr>
      <w:spacing w:before="480" w:after="240"/>
    </w:pPr>
  </w:style>
  <w:style w:type="character" w:customStyle="1" w:styleId="Ninguno">
    <w:name w:val="Ninguno"/>
    <w:rsid w:val="00940250"/>
  </w:style>
  <w:style w:type="character" w:customStyle="1" w:styleId="NingunoA">
    <w:name w:val="Ninguno A"/>
    <w:basedOn w:val="Ninguno"/>
    <w:rsid w:val="00940250"/>
  </w:style>
  <w:style w:type="character" w:customStyle="1" w:styleId="NingunoAA">
    <w:name w:val="Ninguno A A"/>
    <w:basedOn w:val="Ninguno"/>
    <w:rsid w:val="00940250"/>
    <w:rPr>
      <w:lang w:val="lv-LV"/>
    </w:rPr>
  </w:style>
  <w:style w:type="character" w:customStyle="1" w:styleId="EPCommaChar">
    <w:name w:val="EPComma Char"/>
    <w:basedOn w:val="DefaultParagraphFont"/>
    <w:link w:val="EPComma"/>
    <w:rsid w:val="00940250"/>
    <w:rPr>
      <w:sz w:val="24"/>
      <w:lang w:val="lv-LV"/>
    </w:rPr>
  </w:style>
  <w:style w:type="character" w:customStyle="1" w:styleId="NormalHanging12aChar">
    <w:name w:val="NormalHanging12a Char"/>
    <w:basedOn w:val="DefaultParagraphFont"/>
    <w:link w:val="NormalHanging12a"/>
    <w:rsid w:val="0094025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4EE77-92F6-458E-82EC-6C232D4FC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1665</Words>
  <Characters>11117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2024-03-14T12:16:00Z</dcterms:created>
  <dcterms:modified xsi:type="dcterms:W3CDTF">2024-03-14T12:16:00Z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B9-0169/2024</vt:lpwstr>
  </property>
  <property fmtid="{D5CDD505-2E9C-101B-9397-08002B2CF9AE}" pid="4" name="&lt;Type&gt;">
    <vt:lpwstr>RR</vt:lpwstr>
  </property>
</Properties>
</file>