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bookmarkStart w:id="0" w:name="_GoBack"/>
            <w:bookmarkEnd w:id="0"/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1" w:name="TANumber"/>
      <w:r>
        <w:t>P9_TA(2024)0171</w:t>
      </w:r>
      <w:bookmarkEnd w:id="1"/>
    </w:p>
    <w:p>
      <w:pPr>
        <w:pStyle w:val="ATHeading2"/>
      </w:pPr>
      <w:bookmarkStart w:id="2" w:name="title"/>
      <w:r>
        <w:t>Vrátenie rumunského národného pokladu nelegálne privlastneného Ruskom</w:t>
      </w:r>
      <w:bookmarkEnd w:id="2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3" w:name="DocNumber"/>
      <w:r>
        <w:rPr>
          <w:i/>
        </w:rPr>
        <w:instrText>B9-0169, 0170, 0171, 0176, 0178 a 0180/2024</w:instrText>
      </w:r>
      <w:bookmarkEnd w:id="3"/>
      <w:r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4" w:name="PE"/>
      <w:r>
        <w:rPr>
          <w:vanish/>
        </w:rPr>
        <w:t>PE760.481</w:t>
      </w:r>
      <w:bookmarkEnd w:id="4"/>
    </w:p>
    <w:p>
      <w:pPr>
        <w:pStyle w:val="ATHeading3"/>
      </w:pPr>
      <w:bookmarkStart w:id="5" w:name="Sujet"/>
      <w:r>
        <w:t>Uznesenie Európskeho parlamentu zo 14. marca 2024 o vrátení rumunského národného pokladu nelegálne privlastneného Ruskom</w:t>
      </w:r>
      <w:bookmarkEnd w:id="5"/>
      <w:r>
        <w:t xml:space="preserve"> </w:t>
      </w:r>
      <w:bookmarkStart w:id="6" w:name="References"/>
      <w:r>
        <w:t>(2024/2605(RSP))</w:t>
      </w:r>
      <w:bookmarkEnd w:id="6"/>
    </w:p>
    <w:p>
      <w:pPr>
        <w:pStyle w:val="EPComma"/>
      </w:pPr>
      <w:bookmarkStart w:id="7" w:name="TextBodyBegin"/>
      <w:bookmarkEnd w:id="7"/>
      <w:r>
        <w:rPr>
          <w:i/>
        </w:rPr>
        <w:t>Európsky parlament</w:t>
      </w:r>
      <w:r>
        <w:t>,</w:t>
      </w:r>
    </w:p>
    <w:p>
      <w:pPr>
        <w:pStyle w:val="NormalHanging12a"/>
        <w:rPr>
          <w:rStyle w:val="NingunoAA"/>
          <w:color w:val="000000"/>
        </w:rPr>
      </w:pPr>
      <w:r>
        <w:rPr>
          <w:rStyle w:val="NingunoAA"/>
          <w:color w:val="000000"/>
        </w:rPr>
        <w:t>–</w:t>
      </w:r>
      <w:r>
        <w:rPr>
          <w:rStyle w:val="NingunoAA"/>
          <w:color w:val="000000"/>
        </w:rPr>
        <w:tab/>
      </w:r>
      <w:r>
        <w:t>so zreteľom na svoje predchádzajúce uznesenia o Rusku,</w:t>
      </w:r>
    </w:p>
    <w:p>
      <w:pPr>
        <w:pStyle w:val="NormalHanging12a"/>
        <w:rPr>
          <w:rStyle w:val="Ninguno"/>
          <w:color w:val="000000"/>
        </w:rPr>
      </w:pPr>
      <w:r>
        <w:t>–</w:t>
      </w:r>
      <w:r>
        <w:tab/>
      </w:r>
      <w:r>
        <w:rPr>
          <w:rStyle w:val="NingunoAA"/>
          <w:color w:val="000000"/>
        </w:rPr>
        <w:t>so zreteľom na Zmluvu o fungovaní Európskej únie (ďalej len „ZFEÚ“), najmä na jej články 6, 36 a 167,</w:t>
      </w:r>
    </w:p>
    <w:p>
      <w:pPr>
        <w:pStyle w:val="NormalHanging12a"/>
      </w:pPr>
      <w:r>
        <w:t>–</w:t>
      </w:r>
      <w:r>
        <w:tab/>
      </w:r>
      <w:r>
        <w:rPr>
          <w:rStyle w:val="NingunoAA"/>
          <w:color w:val="000000"/>
        </w:rPr>
        <w:t>so zreteľom na Zmluvu o Európskej únii (ďalej len „Zmluva o EÚ“), najmä na jej preambulu a na jej článok 3 ods. 3,</w:t>
      </w:r>
    </w:p>
    <w:p>
      <w:pPr>
        <w:pStyle w:val="NormalHanging12a"/>
      </w:pPr>
      <w:r>
        <w:t>–</w:t>
      </w:r>
      <w:r>
        <w:tab/>
      </w:r>
      <w:r>
        <w:rPr>
          <w:rStyle w:val="NingunoAA"/>
          <w:color w:val="000000"/>
        </w:rPr>
        <w:t>so zreteľom na Haagsky dohovor z roku 1954 o ochrane kultúrnych hodnôt v prípade ozbrojeného konfliktu,</w:t>
      </w:r>
    </w:p>
    <w:p>
      <w:pPr>
        <w:pStyle w:val="NormalHanging12a"/>
        <w:rPr>
          <w:rStyle w:val="Ninguno"/>
          <w:bCs/>
          <w:color w:val="000000"/>
          <w:u w:val="single"/>
        </w:rPr>
      </w:pPr>
      <w:r>
        <w:rPr>
          <w:rStyle w:val="Ninguno"/>
          <w:color w:val="000000"/>
        </w:rPr>
        <w:t>–</w:t>
      </w:r>
      <w:r>
        <w:rPr>
          <w:rStyle w:val="Ninguno"/>
          <w:color w:val="000000"/>
        </w:rPr>
        <w:tab/>
        <w:t>so zreteľom na stanovisko Parlamentného zhromaždenia Rady Európy č. 193 (1996) z 25. januára 1996 s názvom Žiadosť Ruska o členstvo v Rade Európy a na rezolúciu Parlamentného zhromaždenia Rady Európy č. 1896 (2012) z 2. októbra 2012 s názvom Plnenie povinností a záväzkov Ruskou federáciou,</w:t>
      </w:r>
    </w:p>
    <w:p>
      <w:pPr>
        <w:pStyle w:val="NormalHanging12a"/>
      </w:pPr>
      <w:r>
        <w:t>–</w:t>
      </w:r>
      <w:r>
        <w:tab/>
      </w:r>
      <w:r>
        <w:rPr>
          <w:rStyle w:val="Ninguno"/>
          <w:color w:val="000000"/>
        </w:rPr>
        <w:t>so zreteľom na rusko-rumunskú Zmluvu o priateľských vzťahoch a spolupráci zo 4. júla 2003 a na pripojené spoločné vyhlásenie ministrov zahraničných vecí Rumunska a Ruska, ktorým sa zriadila spoločná rumunsko-ruská komisia na skúmanie otázok vyplývajúcich z histórie dvojstranných vzťahov vrátane otázky rumunského pokladu,</w:t>
      </w:r>
    </w:p>
    <w:p>
      <w:pPr>
        <w:pStyle w:val="NormalHanging12a"/>
        <w:rPr>
          <w:rStyle w:val="Ninguno"/>
          <w:color w:val="000000"/>
        </w:rPr>
      </w:pPr>
      <w:r>
        <w:rPr>
          <w:rStyle w:val="Ninguno"/>
          <w:color w:val="000000"/>
        </w:rPr>
        <w:t>–</w:t>
      </w:r>
      <w:r>
        <w:rPr>
          <w:rStyle w:val="Ninguno"/>
          <w:color w:val="000000"/>
        </w:rPr>
        <w:tab/>
      </w:r>
      <w:r>
        <w:rPr>
          <w:rStyle w:val="NingunoAA"/>
          <w:color w:val="000000"/>
        </w:rPr>
        <w:t>so zreteľom na Dohovor o opatreniach na zákaz a zamedzenie nedovoleného dovozu, vývozu a prevodu vlastníctva kultúrnych statkov, ktorý bol prijatý 14. novembra 1970 na 16. zasadnutí Generálnej konferencie UNESCO</w:t>
      </w:r>
      <w:r>
        <w:rPr>
          <w:rStyle w:val="Ninguno"/>
          <w:color w:val="000000"/>
        </w:rPr>
        <w:t>,</w:t>
      </w:r>
    </w:p>
    <w:p>
      <w:pPr>
        <w:pStyle w:val="NormalHanging12a"/>
      </w:pPr>
      <w:r>
        <w:t>–</w:t>
      </w:r>
      <w:r>
        <w:tab/>
      </w:r>
      <w:r>
        <w:rPr>
          <w:rStyle w:val="Ninguno"/>
          <w:color w:val="000000"/>
        </w:rPr>
        <w:t>so zreteľom na Dohovor UNESCO zo 16. novembra 1972 o ochrane svetového kultúrneho a prírodného dedičstva,</w:t>
      </w:r>
    </w:p>
    <w:p>
      <w:pPr>
        <w:pStyle w:val="NormalHanging12a"/>
        <w:rPr>
          <w:rStyle w:val="Ninguno"/>
          <w:color w:val="000000"/>
        </w:rPr>
      </w:pPr>
      <w:r>
        <w:t>–</w:t>
      </w:r>
      <w:r>
        <w:tab/>
      </w:r>
      <w:r>
        <w:rPr>
          <w:rStyle w:val="NingunoAA"/>
          <w:color w:val="000000"/>
        </w:rPr>
        <w:t xml:space="preserve">so zreteľom na smernicu Európskeho parlamentu a Rady 2014/60/EÚ z 15. mája 2014 o navrátení predmetov kultúrnej hodnoty nezákonne vyvezených z územia členského </w:t>
      </w:r>
      <w:r>
        <w:rPr>
          <w:rStyle w:val="NingunoAA"/>
          <w:color w:val="000000"/>
        </w:rPr>
        <w:lastRenderedPageBreak/>
        <w:t>štátu a o zmene nariadenia (EÚ) č. 1024/2012</w:t>
      </w:r>
      <w:r>
        <w:rPr>
          <w:rStyle w:val="Ninguno"/>
          <w:color w:val="000000"/>
          <w:vertAlign w:val="superscript"/>
        </w:rPr>
        <w:footnoteReference w:id="1"/>
      </w:r>
      <w:r>
        <w:rPr>
          <w:rStyle w:val="NingunoAA"/>
          <w:color w:val="000000"/>
        </w:rPr>
        <w:t>,</w:t>
      </w:r>
    </w:p>
    <w:p>
      <w:pPr>
        <w:pStyle w:val="NormalHanging12a"/>
        <w:rPr>
          <w:rStyle w:val="Ninguno"/>
          <w:color w:val="000000"/>
        </w:rPr>
      </w:pPr>
      <w:r>
        <w:t>–</w:t>
      </w:r>
      <w:r>
        <w:tab/>
      </w:r>
      <w:r>
        <w:rPr>
          <w:rStyle w:val="NingunoAA"/>
          <w:color w:val="000000"/>
        </w:rPr>
        <w:t>so zreteľom na oznámenie Komisie z 13. decembra 2022 o akčnom pláne EÚ proti nedovolenému obchodovaniu s kultúrnymi objektmi (COM(2022)0800),</w:t>
      </w:r>
    </w:p>
    <w:p>
      <w:pPr>
        <w:pStyle w:val="NormalHanging12a"/>
      </w:pPr>
      <w:r>
        <w:t>–</w:t>
      </w:r>
      <w:r>
        <w:tab/>
      </w:r>
      <w:r>
        <w:rPr>
          <w:rStyle w:val="NingunoAA"/>
          <w:color w:val="000000"/>
        </w:rPr>
        <w:t>so zreteľom na Rámcový dohovor Rady Európy z 27. októbra 2005 o hodnote kultúrneho dedičstva pre spoločnosť (CETS č. 199)</w:t>
      </w:r>
      <w:r>
        <w:rPr>
          <w:rStyle w:val="Ninguno"/>
          <w:color w:val="000000"/>
        </w:rPr>
        <w:t>,</w:t>
      </w:r>
    </w:p>
    <w:p>
      <w:pPr>
        <w:pStyle w:val="NormalHanging12a"/>
        <w:rPr>
          <w:rStyle w:val="Ninguno"/>
          <w:color w:val="000000"/>
        </w:rPr>
      </w:pPr>
      <w:r>
        <w:rPr>
          <w:rStyle w:val="NingunoA"/>
          <w:color w:val="000000"/>
        </w:rPr>
        <w:t>–</w:t>
      </w:r>
      <w:r>
        <w:rPr>
          <w:rStyle w:val="NingunoA"/>
          <w:color w:val="000000"/>
        </w:rPr>
        <w:tab/>
      </w:r>
      <w:r>
        <w:rPr>
          <w:rStyle w:val="NingunoAA"/>
          <w:color w:val="000000"/>
        </w:rPr>
        <w:t>so zreteľom na Dohovor Rady Európy z 19. mája 2017 o priestupkoch týkajúcich sa kultúrnych statkov (CETS č. 221),</w:t>
      </w:r>
    </w:p>
    <w:p>
      <w:pPr>
        <w:pStyle w:val="NormalHanging12a"/>
      </w:pPr>
      <w:r>
        <w:rPr>
          <w:rStyle w:val="NingunoAA"/>
          <w:color w:val="000000"/>
        </w:rPr>
        <w:t>–</w:t>
      </w:r>
      <w:r>
        <w:rPr>
          <w:rStyle w:val="NingunoAA"/>
          <w:color w:val="000000"/>
        </w:rPr>
        <w:tab/>
        <w:t>so zreteľom na všeobecné zásady medzinárodného práva uznané štátmi, ako je zásada zvrchovanosti a nezasahovania, zásada dobrej viery a zásada mierového riešenia sporov,</w:t>
      </w:r>
    </w:p>
    <w:p>
      <w:pPr>
        <w:pStyle w:val="NormalHanging12a"/>
      </w:pPr>
      <w:r>
        <w:t>–</w:t>
      </w:r>
      <w:r>
        <w:tab/>
        <w:t>so zreteľom na článok 132 ods. 2 a ods. 4 rokovacieho poriadku,</w:t>
      </w:r>
    </w:p>
    <w:p>
      <w:pPr>
        <w:pStyle w:val="NormalHanging12a"/>
        <w:rPr>
          <w:rStyle w:val="Ninguno"/>
          <w:color w:val="000000"/>
        </w:rPr>
      </w:pPr>
      <w:r>
        <w:t>A.</w:t>
      </w:r>
      <w:r>
        <w:tab/>
        <w:t xml:space="preserve">keďže </w:t>
      </w:r>
      <w:r>
        <w:rPr>
          <w:rStyle w:val="NingunoAA"/>
          <w:color w:val="000000"/>
        </w:rPr>
        <w:t>zlaté rezervy štátu</w:t>
      </w:r>
      <w:bookmarkStart w:id="8" w:name="_Hlk153228133"/>
      <w:r>
        <w:rPr>
          <w:rStyle w:val="NingunoAA"/>
          <w:color w:val="000000"/>
        </w:rPr>
        <w:t xml:space="preserve"> predstavujú kľúčové finančné aktívum</w:t>
      </w:r>
      <w:bookmarkEnd w:id="8"/>
      <w:r>
        <w:rPr>
          <w:rStyle w:val="NingunoAA"/>
          <w:color w:val="000000"/>
        </w:rPr>
        <w:t>, ktoré zabezpečuje stabilitu jeho meny a posilňuje dôveru v hospodársku silu krajiny;</w:t>
      </w:r>
    </w:p>
    <w:p>
      <w:pPr>
        <w:pStyle w:val="NormalHanging12a"/>
        <w:rPr>
          <w:rStyle w:val="NingunoAA"/>
          <w:color w:val="000000"/>
        </w:rPr>
      </w:pPr>
      <w:r>
        <w:t>B.</w:t>
      </w:r>
      <w:r>
        <w:tab/>
      </w:r>
      <w:r>
        <w:rPr>
          <w:rStyle w:val="NingunoAA"/>
          <w:color w:val="000000"/>
        </w:rPr>
        <w:t>keďže štátne zlaté rezervy zohrávajú jedinečnú a dlhodobú úlohu vo financiách a v hospodárstve a predstavujú kľúčovú zložku menových rezerv jednotlivých krajín; keďže počas finančných kríz zlaté rezervy centrálnych bánk fungujú ako bezpečné aktívum v obdobiach otrasov na trhu;</w:t>
      </w:r>
    </w:p>
    <w:p>
      <w:pPr>
        <w:pStyle w:val="NormalHanging12a"/>
        <w:rPr>
          <w:rStyle w:val="NingunoAA"/>
          <w:color w:val="000000"/>
        </w:rPr>
      </w:pPr>
      <w:r>
        <w:rPr>
          <w:rStyle w:val="NingunoAA"/>
          <w:color w:val="000000"/>
        </w:rPr>
        <w:t>C.</w:t>
      </w:r>
      <w:r>
        <w:rPr>
          <w:rStyle w:val="NingunoAA"/>
          <w:color w:val="000000"/>
        </w:rPr>
        <w:tab/>
        <w:t>keďže v preambule Zmluvy o EÚ sa uvádza, že signatári čerpajú „inšpiráciu z kultúrneho, náboženského a humanistického dedičstva Európy“ a želajú si „prehĺbiť solidaritu medzi národmi pri rešpektovaní národnej histórie, kultúry a tradícií,“ a v článku 6 ZFEÚ sa kultúra uvádza ako oblasť politiky v rámci „druhov a oblastí právomoci Únie“, pričom EÚ môže vykonávať rôzne činnosti, „ktorými podporuje, koordinuje alebo dopĺňa činnosti členských štátov“; keďže podľa článku 36 ZFEÚ majú členské štáty výsadu vymedziť svoje národné kultúrne bohatstvo v rámci svojej jurisdikcie a vykonávať potrebné opatrenia na jeho ochranu;</w:t>
      </w:r>
    </w:p>
    <w:p>
      <w:pPr>
        <w:pStyle w:val="NormalHanging12a"/>
        <w:rPr>
          <w:rStyle w:val="Ninguno"/>
          <w:color w:val="000000"/>
        </w:rPr>
      </w:pPr>
      <w:r>
        <w:t>D.</w:t>
      </w:r>
      <w:r>
        <w:tab/>
      </w:r>
      <w:r>
        <w:rPr>
          <w:rStyle w:val="NingunoAA"/>
          <w:color w:val="000000"/>
        </w:rPr>
        <w:t>keďže pojem „rumunský národný poklad“ zahŕňa</w:t>
      </w:r>
      <w:r>
        <w:rPr>
          <w:rStyle w:val="Ninguno"/>
          <w:color w:val="000000"/>
        </w:rPr>
        <w:t xml:space="preserve"> 91,5 tony čistého zlata patriaceho do zlatých rezerv Národnej banky Rumunska, kráľovské zbierky klenotov a vzácnych mincí</w:t>
      </w:r>
      <w:r>
        <w:rPr>
          <w:rStyle w:val="NingunoAA"/>
          <w:color w:val="000000"/>
        </w:rPr>
        <w:t>, ktoré majú numizmatickú a kultúrnu hodnotu nezávislú od hodnoty samotného zlata, ako aj kultúrne, náboženské a archívne objekty, ktoré sú súčasťou rumunského národného dedičstva;</w:t>
      </w:r>
    </w:p>
    <w:p>
      <w:pPr>
        <w:pStyle w:val="NormalHanging12a"/>
        <w:rPr>
          <w:rStyle w:val="Ninguno"/>
          <w:color w:val="000000"/>
        </w:rPr>
      </w:pPr>
      <w:r>
        <w:t>E.</w:t>
      </w:r>
      <w:r>
        <w:tab/>
      </w:r>
      <w:r>
        <w:rPr>
          <w:rStyle w:val="NingunoAA"/>
          <w:color w:val="000000"/>
        </w:rPr>
        <w:t>keďže na vrátenie kultúrnych objektov a národného pokladu, ktoré boli nezákonne vyvezené z územia členského štátu EÚ v rozpore s platnými právnymi predpismi alebo podmienkami, za ktorých bolo udelené dočasné povolenie na ich vyvezenie, existujú právne dôvody; keďže Rumunsko má plne právoplatný nárok na svoj národný poklad, ktorý bol v rokoch 1916 a 1917 prevezený pred nebezpečenstvom do Ruska;</w:t>
      </w:r>
    </w:p>
    <w:p>
      <w:pPr>
        <w:pStyle w:val="NormalHanging12a"/>
      </w:pPr>
      <w:r>
        <w:t>F.</w:t>
      </w:r>
      <w:r>
        <w:rPr>
          <w:rStyle w:val="Ninguno"/>
          <w:color w:val="000000"/>
        </w:rPr>
        <w:tab/>
      </w:r>
      <w:r>
        <w:t>keďže poklad bol uložený v Rusku s ubezpečením, že bude v plnom rozsahu navrátený v súlade s podpísanými dokumentmi, ktoré majú hodnotu medzinárodných zmlúv;</w:t>
      </w:r>
    </w:p>
    <w:p>
      <w:pPr>
        <w:pStyle w:val="NormalHanging12a"/>
        <w:rPr>
          <w:rStyle w:val="Ninguno"/>
          <w:bCs/>
          <w:color w:val="000000"/>
        </w:rPr>
      </w:pPr>
      <w:r>
        <w:t>G.</w:t>
      </w:r>
      <w:r>
        <w:tab/>
      </w:r>
      <w:r>
        <w:rPr>
          <w:rStyle w:val="NingunoAA"/>
          <w:color w:val="000000"/>
        </w:rPr>
        <w:t>keďže</w:t>
      </w:r>
      <w:r>
        <w:rPr>
          <w:rStyle w:val="Ninguno"/>
          <w:color w:val="000000"/>
        </w:rPr>
        <w:t xml:space="preserve"> nezákonné privlastnenie si rumunského národného pokladu Ruskom predstavuje porušenie medzinárodného práva a zvykov, pretože presun zlatých rezerv, ako aj </w:t>
      </w:r>
      <w:r>
        <w:rPr>
          <w:rStyle w:val="Ninguno"/>
          <w:color w:val="000000"/>
        </w:rPr>
        <w:lastRenderedPageBreak/>
        <w:t>rozsiahlej zbierky kultúrnych, náboženských a archívnych objektov do úschovy počas výnimočných okolností je predmetom riadne zdokumentovanej a právoplatnej oficiálnej dohody s právnymi zárukami vrátenia, pričom povinnosti v nej stanovené sa ignorovali;</w:t>
      </w:r>
    </w:p>
    <w:p>
      <w:pPr>
        <w:pStyle w:val="NormalHanging12a"/>
        <w:rPr>
          <w:rStyle w:val="Ninguno"/>
          <w:bCs/>
          <w:color w:val="000000"/>
        </w:rPr>
      </w:pPr>
      <w:r>
        <w:rPr>
          <w:rStyle w:val="Ninguno"/>
          <w:color w:val="000000"/>
        </w:rPr>
        <w:t>H.</w:t>
      </w:r>
      <w:r>
        <w:rPr>
          <w:rStyle w:val="Ninguno"/>
          <w:color w:val="000000"/>
        </w:rPr>
        <w:tab/>
        <w:t>keďže v nadväznosti na spoločné vyhlásenie ministrov zahraničných vecí Rumunska a Ruska zo 4. júla 2003 obe strany zriadili spoločnú rumunsko-ruskú komisiu na skúmanie otázok vyplývajúcich z histórie dvojstranných vzťahov vrátane otázky rumunského pokladu uloženého počas prvej svetovej vojny v Moskve; keďže táto komisia sa stretla za 15 rokov len päťkrát, pričom jej posledné zasadnutie sa konalo v roku 2019; keďže v protokoloch prijatých na konci týchto zasadnutí ruská strana uznala nárok Rumunska voči Ruskej federácii a súhlasila s tým, že dokumenty predložené rumunskou stranou sú pravé a majú status medzinárodnej zmluvy, ktorá potvrdzuje uloženie kultúrneho bohatstva Rumunska vrátane pokladu jeho národnej banky v Rusku;</w:t>
      </w:r>
    </w:p>
    <w:p>
      <w:pPr>
        <w:pStyle w:val="NormalHanging12a"/>
        <w:rPr>
          <w:rStyle w:val="Ninguno"/>
          <w:bCs/>
          <w:color w:val="000000"/>
        </w:rPr>
      </w:pPr>
      <w:r>
        <w:rPr>
          <w:rStyle w:val="Ninguno"/>
          <w:color w:val="000000"/>
        </w:rPr>
        <w:t>I.</w:t>
      </w:r>
      <w:r>
        <w:rPr>
          <w:rStyle w:val="Ninguno"/>
          <w:color w:val="000000"/>
        </w:rPr>
        <w:tab/>
        <w:t>keďže Ruská federácia je právnym nástupcom Sovietskeho zväzu, ktorý pokračoval v právnej subjektivite cárskeho Ruska, a preto je povinná vrátiť tento majetok, ktorý patrí Rumunsku;</w:t>
      </w:r>
    </w:p>
    <w:p>
      <w:pPr>
        <w:pStyle w:val="NormalHanging12a"/>
        <w:rPr>
          <w:rStyle w:val="Ninguno"/>
          <w:bCs/>
          <w:color w:val="000000"/>
        </w:rPr>
      </w:pPr>
      <w:r>
        <w:rPr>
          <w:rStyle w:val="Ninguno"/>
          <w:color w:val="000000"/>
        </w:rPr>
        <w:t>J.</w:t>
      </w:r>
      <w:r>
        <w:rPr>
          <w:rStyle w:val="Ninguno"/>
          <w:color w:val="000000"/>
        </w:rPr>
        <w:tab/>
      </w:r>
      <w:r>
        <w:rPr>
          <w:rStyle w:val="NingunoAA"/>
          <w:color w:val="000000"/>
        </w:rPr>
        <w:t xml:space="preserve">keďže navrátenie privlastneného rumunského národného pokladu má veľký význam pre inštitucionálnu aj národnú pamäť krajiny; </w:t>
      </w:r>
      <w:r>
        <w:rPr>
          <w:rStyle w:val="Ninguno"/>
          <w:color w:val="000000"/>
        </w:rPr>
        <w:t>keďže navrátenie kultúrneho dedičstva nezákonne ukoristeného z krajiny pôvodu má zásadný význam pre ochranu všeobecnej hodnoty kultúrneho dedičstva;</w:t>
      </w:r>
    </w:p>
    <w:p>
      <w:pPr>
        <w:pStyle w:val="NormalHanging12a"/>
        <w:rPr>
          <w:rStyle w:val="NingunoAA"/>
          <w:color w:val="000000"/>
        </w:rPr>
      </w:pPr>
      <w:r>
        <w:rPr>
          <w:rStyle w:val="Ninguno"/>
          <w:color w:val="000000"/>
        </w:rPr>
        <w:t>K.</w:t>
      </w:r>
      <w:r>
        <w:rPr>
          <w:rStyle w:val="Ninguno"/>
          <w:color w:val="000000"/>
        </w:rPr>
        <w:tab/>
      </w:r>
      <w:r>
        <w:rPr>
          <w:rStyle w:val="NingunoAA"/>
          <w:color w:val="000000"/>
        </w:rPr>
        <w:t>keďže dosiahnuť vrátenie rumunského národného pokladu si vyžaduje individuálnu európsku reakciu;</w:t>
      </w:r>
    </w:p>
    <w:p>
      <w:pPr>
        <w:pStyle w:val="NormalHanging12a"/>
      </w:pPr>
      <w:r>
        <w:rPr>
          <w:rStyle w:val="NingunoAA"/>
          <w:color w:val="000000"/>
        </w:rPr>
        <w:t>1.</w:t>
      </w:r>
      <w:r>
        <w:rPr>
          <w:rStyle w:val="NingunoAA"/>
          <w:color w:val="000000"/>
        </w:rPr>
        <w:tab/>
      </w:r>
      <w:r>
        <w:t>vyjadruje poľutovanie nad tým, že Rusko v plnom rozsahu nevrátilo rumunský národný poklad Rumunsku v súlade so záväzkom výslovne uvedeným v oficiálnych dvojstranných dohodách medzi týmito dvoma štátmi a ako sa predpokladá podľa medzinárodného práva a noriem;</w:t>
      </w:r>
    </w:p>
    <w:p>
      <w:pPr>
        <w:pStyle w:val="NormalHanging12a"/>
        <w:rPr>
          <w:bCs/>
        </w:rPr>
      </w:pPr>
      <w:r>
        <w:t>2.</w:t>
      </w:r>
      <w:r>
        <w:tab/>
        <w:t>naliehavo vyzýva Ruskú federáciu, aby Rumunsku v plnej miere vrátila zvyšok rumunského národného pokladu, ktorý bol v rokoch 1916 a 1917 vyvezený do úschovy do Ruska;</w:t>
      </w:r>
    </w:p>
    <w:p>
      <w:pPr>
        <w:pStyle w:val="NormalHanging12a"/>
      </w:pPr>
      <w:r>
        <w:t>3.</w:t>
      </w:r>
      <w:r>
        <w:tab/>
      </w:r>
      <w:r>
        <w:rPr>
          <w:rStyle w:val="Ninguno"/>
          <w:color w:val="000000"/>
        </w:rPr>
        <w:t>pripomína, že nezákonné privlastnenie si rumunského národného pokladu Ruskom je ojedinelý medzinárodný prípad, keď boli zlaté devízové rezervy určitého štátu spolu s kultúrnymi, náboženskými a archívnymi objektmi, ktoré sú súčasťou národného dedičstva uvedeného štátu, zverené do úschovy inému štátu na základe dohody, ktorú potvrdzujú právoplatné dokumenty a ktorá poskytuje právne záruky vrátenia, ale v rozpore s medzinárodným právom a zvykmi nakoniec tieto záväzky neboli dodržané;</w:t>
      </w:r>
    </w:p>
    <w:p>
      <w:pPr>
        <w:pStyle w:val="NormalHanging12a"/>
        <w:rPr>
          <w:rStyle w:val="NingunoAA"/>
          <w:color w:val="000000"/>
        </w:rPr>
      </w:pPr>
      <w:r>
        <w:t>4.</w:t>
      </w:r>
      <w:r>
        <w:tab/>
      </w:r>
      <w:r>
        <w:rPr>
          <w:rStyle w:val="NingunoAA"/>
          <w:color w:val="000000"/>
        </w:rPr>
        <w:t>uznáva, že národný poklad, ktorý sa previezol do Ruska na úschovu v rokoch 1916 a 1917 v ťažkých časoch prvej svetovej vojny so zárukou vlády cárskeho Ruska týkajúcou sa bezpečnosti dopravy, bezpečnosti uloženia a bezpečnosti jeho vrátenia Rumunsku,</w:t>
      </w:r>
      <w:r>
        <w:rPr>
          <w:rStyle w:val="Ninguno"/>
          <w:color w:val="000000"/>
        </w:rPr>
        <w:t xml:space="preserve"> </w:t>
      </w:r>
      <w:r>
        <w:rPr>
          <w:rStyle w:val="NingunoAA"/>
          <w:color w:val="000000"/>
        </w:rPr>
        <w:t>je bezprecedentným medzinárodným prípadom nezákonného privlastnenia si zlatých rezerv a predmetov kultúrneho dedičstva, ktorý dlhodobo znepokojuje rumunskú spoločnosť;</w:t>
      </w:r>
    </w:p>
    <w:p>
      <w:pPr>
        <w:pStyle w:val="NormalHanging12a"/>
        <w:rPr>
          <w:rStyle w:val="NingunoAA"/>
          <w:color w:val="000000"/>
        </w:rPr>
      </w:pPr>
      <w:r>
        <w:t>5.</w:t>
      </w:r>
      <w:r>
        <w:tab/>
      </w:r>
      <w:r>
        <w:rPr>
          <w:rStyle w:val="NingunoAA"/>
          <w:color w:val="000000"/>
        </w:rPr>
        <w:t xml:space="preserve">konštatuje, že prvá svetová vojna prinútila vtedajšiu rumunskú vládu, aby zverila svoj </w:t>
      </w:r>
      <w:r>
        <w:rPr>
          <w:rStyle w:val="NingunoAA"/>
          <w:color w:val="000000"/>
        </w:rPr>
        <w:lastRenderedPageBreak/>
        <w:t>národný kultúrny poklad spojeneckému štátu, a tak ho ochránila pred zničením; pripomína, že v ťažkých vojnových časoch prepravili desiatky vlakových vozňov väčšinu rumunského národného pokladu na úschovu do cárskeho Ruska, kde mal ostať do uzavretia mieru, s podrobným súpisom zlatých rezerv Národnej banky Rumunska, pričom Rusko sa zaručilo za ich ochranu a vrátenie, čo v tom čase dosvedčili iné štáty; zdôrazňuje, že národný poklad, ktorý bol zákonne uložený do úschovy Ruska, pozostával z 91,5 tony čistého zlata patriaceho do rezervy Národnej banky Rumunska, kráľovských zbierok klenotov a vzácnych mincí, spolu s drahocennými predmetmi kultúrnej a historickej hodnoty, ako sú štátne archívy, dokumenty, vzácne historické rukopisy, historické maľby, vzácne knihy a zbierky mnohých verejných a súkromných inštitúcií dokumentujúce viac než päť storočí rumunských dejín;</w:t>
      </w:r>
    </w:p>
    <w:p>
      <w:pPr>
        <w:pStyle w:val="NormalHanging12a"/>
        <w:rPr>
          <w:rStyle w:val="NingunoAA"/>
          <w:color w:val="000000"/>
        </w:rPr>
      </w:pPr>
      <w:r>
        <w:t>6.</w:t>
      </w:r>
      <w:r>
        <w:tab/>
      </w:r>
      <w:r>
        <w:rPr>
          <w:rStyle w:val="NingunoAA"/>
          <w:color w:val="000000"/>
        </w:rPr>
        <w:t>zdôrazňuje, že napriek niekoľkým pokusom o diplomatické rokovania po prvej svetovej vojne Rusko rumunský národný poklad nikdy úplne nevrátilo, hoci jeho vrátenie bolo právne stanovené v oficiálnej dvojstrannej dohode medzi týmito dvoma štátmi;</w:t>
      </w:r>
    </w:p>
    <w:p>
      <w:pPr>
        <w:pStyle w:val="NormalHanging12a"/>
      </w:pPr>
      <w:r>
        <w:t>7.</w:t>
      </w:r>
      <w:r>
        <w:tab/>
      </w:r>
      <w:r>
        <w:rPr>
          <w:rStyle w:val="NingunoAA"/>
          <w:color w:val="000000"/>
        </w:rPr>
        <w:t>konštatuje, že niektoré kultúrne, náboženské a archívne objekty z národného pokladu, ktoré si nezákonne privlastnilo Rusko, boli Rumunsku vrátené v rokoch 1935 a 1956; zdôrazňuje však, že doteraz nebolo vrátené nič z 91,5 tony čistého zlata, ktoré je súčasťou rezerv Národnej banky Rumunska</w:t>
      </w:r>
      <w:r>
        <w:rPr>
          <w:rStyle w:val="Ninguno"/>
          <w:color w:val="000000"/>
        </w:rPr>
        <w:t>, napriek protokolom podpísaným po prevezení pokladu do Ruska;</w:t>
      </w:r>
    </w:p>
    <w:p>
      <w:pPr>
        <w:pStyle w:val="NormalHanging12a"/>
      </w:pPr>
      <w:r>
        <w:t>8.</w:t>
      </w:r>
      <w:r>
        <w:tab/>
      </w:r>
      <w:r>
        <w:rPr>
          <w:rStyle w:val="NingunoAA"/>
          <w:color w:val="000000"/>
        </w:rPr>
        <w:t>vyjadruje znepokojenie nad tým, že napriek vytvoreniu</w:t>
      </w:r>
      <w:r>
        <w:rPr>
          <w:rStyle w:val="Ninguno"/>
          <w:color w:val="000000"/>
        </w:rPr>
        <w:t xml:space="preserve"> </w:t>
      </w:r>
      <w:r>
        <w:rPr>
          <w:rStyle w:val="NingunoAA"/>
          <w:color w:val="000000"/>
        </w:rPr>
        <w:t>spoločnej rumunsko-ruskej komisie expertov poverenej rokovaniami o tejto otázke sa úsilie o návrat rumunského národného pokladu vrátane nezákonne privlastnených zlatých rezerv Národnej banky Rumunska prostredníctvom dvojstranných diplomatických kanálov medzi Rumunskom a Ruskom stretlo s neochotou Ruska vrátiť to, čo si predchádzajúce režimy nezákonne ponechali v rozpore s podpísanými protokolmi o vrátení;</w:t>
      </w:r>
    </w:p>
    <w:p>
      <w:pPr>
        <w:pStyle w:val="NormalHanging12a"/>
        <w:rPr>
          <w:rStyle w:val="NingunoAA"/>
          <w:color w:val="000000"/>
        </w:rPr>
      </w:pPr>
      <w:r>
        <w:t>9.</w:t>
      </w:r>
      <w:r>
        <w:tab/>
      </w:r>
      <w:r>
        <w:rPr>
          <w:rStyle w:val="NingunoAA"/>
          <w:color w:val="000000"/>
        </w:rPr>
        <w:t>zdôrazňuje, že treba venovať osobitnú pozornosť ochrane národného pokladu jednotlivých členských štátov, ako je stanovené v zmluvách EÚ;</w:t>
      </w:r>
    </w:p>
    <w:p>
      <w:pPr>
        <w:pStyle w:val="NormalHanging12a"/>
      </w:pPr>
      <w:r>
        <w:t>10.</w:t>
      </w:r>
      <w:r>
        <w:tab/>
      </w:r>
      <w:r>
        <w:rPr>
          <w:rStyle w:val="NingunoAA"/>
          <w:color w:val="000000"/>
        </w:rPr>
        <w:t>víta značné úsilie EÚ o ochranu národného, kultúrneho a historického dedičstva uplatňovaním právnych predpisov a mechanizmov spolupráce, ktorými sa riadi vrátenie nezákonne nadobudnutých predmetov kultúrnej hodnoty a častí dedičstva z území krajín EÚ, a jej úsilie bojovať proti obchodovaniu s kultúrnymi statkami;</w:t>
      </w:r>
    </w:p>
    <w:p>
      <w:pPr>
        <w:pStyle w:val="NormalHanging12a"/>
        <w:rPr>
          <w:rStyle w:val="NingunoAA"/>
          <w:color w:val="000000"/>
        </w:rPr>
      </w:pPr>
      <w:r>
        <w:t>11.</w:t>
      </w:r>
      <w:r>
        <w:tab/>
      </w:r>
      <w:r>
        <w:rPr>
          <w:rStyle w:val="NingunoAA"/>
          <w:color w:val="000000"/>
        </w:rPr>
        <w:t>uznáva, že smernica 2014/60/EÚ je kľúčovým pilierom záväzku EÚ chrániť národné poklady a predmety kultúrnej hodnoty, zatiaľ čo akčný plán EÚ proti nedovolenému obchodovaniu s kultúrnymi objektmi potvrdil širší záväzok EÚ chrániť kultúrne dedičstvo; zdôrazňuje, že nezákonne vyvezené predmety kultúrnej hodnoty sa musia vrátiť bez ohľadu na to, či boli premiestnené v rámci Únie alebo vyvezené do štátu mimo EÚ; konštatuje, že zatiaľ čo podľa príslušných ustanovení ZFEÚ sa súčasné právne predpisy EÚ týkajú vrátenia kultúrnych objektov a národného pokladu, ktoré pred 1. januárom 1993 nezákonne vyviezol jeden členský štát do iného členského štátu, vrátenie rumunského národného pokladu je osobitný prípad, ktorý si vyžaduje osobitné riešenie; zdôrazňuje, že vzhľadom na výnimočnú povahu nezákonného privlastnenia rumunského národného pokladu, ktorá poukazuje na jeho špecifickosť, je žiaduca zodpovedajúca európska reakcia, aby sa uľahčilo jeho vrátenie, a tak sa rozšíril rozsah prístupu EÚ k vráteniu majetku kultúrnej hodnoty nezákonne vyvezeného z území krajín EÚ;</w:t>
      </w:r>
    </w:p>
    <w:p>
      <w:pPr>
        <w:pStyle w:val="NormalHanging12a"/>
        <w:rPr>
          <w:rStyle w:val="NingunoAA"/>
          <w:color w:val="000000"/>
        </w:rPr>
      </w:pPr>
      <w:r>
        <w:rPr>
          <w:rStyle w:val="NingunoAA"/>
          <w:color w:val="000000"/>
        </w:rPr>
        <w:lastRenderedPageBreak/>
        <w:t>12.</w:t>
      </w:r>
      <w:r>
        <w:rPr>
          <w:rStyle w:val="NingunoAA"/>
          <w:color w:val="000000"/>
        </w:rPr>
        <w:tab/>
        <w:t>zdôrazňuje, že na dosiahnutie vrátenia predmetov kultúrnej hodnoty a národného pokladu niektorého z členských štátov EÚ, ktoré si nezákonne privlastnil štát, ktorý nie je členom EÚ, je potrebný intenzívny diplomatický dialóg na bilaterálnej úrovni aj v rámci medzinárodných fór;</w:t>
      </w:r>
    </w:p>
    <w:p>
      <w:pPr>
        <w:pStyle w:val="NormalHanging12a"/>
        <w:rPr>
          <w:rStyle w:val="NingunoAA"/>
          <w:color w:val="000000"/>
        </w:rPr>
      </w:pPr>
      <w:r>
        <w:t>13.</w:t>
      </w:r>
      <w:r>
        <w:tab/>
      </w:r>
      <w:r>
        <w:rPr>
          <w:rStyle w:val="NingunoAA"/>
          <w:color w:val="000000"/>
        </w:rPr>
        <w:t>vyzýva Komisiu, aby rozšírila rozsah pôsobnosti politík EÚ, ktorými sa riadi ochrana predmetov kultúrnej hodnoty, o navrátenie národného pokladu vyvezeného počas vojny na základe dvojstranných dohôd medzi štátmi;</w:t>
      </w:r>
    </w:p>
    <w:p>
      <w:pPr>
        <w:pStyle w:val="NormalHanging12a"/>
        <w:rPr>
          <w:rStyle w:val="NingunoAA"/>
          <w:color w:val="000000"/>
        </w:rPr>
      </w:pPr>
      <w:r>
        <w:t>14.</w:t>
      </w:r>
      <w:r>
        <w:tab/>
      </w:r>
      <w:r>
        <w:rPr>
          <w:rStyle w:val="NingunoAA"/>
          <w:color w:val="000000"/>
        </w:rPr>
        <w:t>vyzýva Komisiu a Európsku službu pre vonkajšiu činnosť, aby zahrnuli vrátenie rumunského národného pokladu do diplomatického dvojstranného programu upravujúceho vzťahy medzi EÚ a Ruskom, keď regionálny kontext umožní obnovenie politického dialógu medzi stranami;</w:t>
      </w:r>
    </w:p>
    <w:p>
      <w:pPr>
        <w:pStyle w:val="NormalHanging12a"/>
      </w:pPr>
      <w:r>
        <w:t>15.</w:t>
      </w:r>
      <w:r>
        <w:tab/>
      </w:r>
      <w:r>
        <w:rPr>
          <w:rStyle w:val="NingunoAA"/>
          <w:color w:val="000000"/>
        </w:rPr>
        <w:t>vyzýva Komisiu, aby vytvorila konkrétne synergie s rumunským štátom, Národnou bankou Rumunska a ďalšími relevantnými inštitúciami s cieľom vyvíjať koordinované úsilie a využiť všetky diplomatické prostriedky na mediáciu, podporu komunikácie s ruskými partnermi tam, kde je to vhodné, a hľadanie riešení, ktoré zabezpečia, aby sa stratený národný poklad bezodkladne vrátil tam, kam patrí</w:t>
      </w:r>
      <w:r>
        <w:rPr>
          <w:rStyle w:val="Ninguno"/>
          <w:color w:val="000000"/>
        </w:rPr>
        <w:t>;</w:t>
      </w:r>
    </w:p>
    <w:p>
      <w:pPr>
        <w:pStyle w:val="NormalHanging12a"/>
        <w:rPr>
          <w:rStyle w:val="NingunoAA"/>
          <w:color w:val="000000"/>
        </w:rPr>
      </w:pPr>
      <w:r>
        <w:t>16.</w:t>
      </w:r>
      <w:r>
        <w:tab/>
      </w:r>
      <w:r>
        <w:rPr>
          <w:rStyle w:val="NingunoAA"/>
          <w:color w:val="000000"/>
        </w:rPr>
        <w:t>vyzýva Komisiu, aby preskúmala možnosť konať ako partner rumunských zástupcov zapojených do rumunsko-ruskej spoločnej komisie poverenej rokovaniami o vrátení rumunského národného pokladu;</w:t>
      </w:r>
    </w:p>
    <w:p>
      <w:pPr>
        <w:pStyle w:val="NormalHanging12a"/>
        <w:rPr>
          <w:rStyle w:val="NingunoAA"/>
          <w:color w:val="000000"/>
        </w:rPr>
      </w:pPr>
      <w:r>
        <w:t>17.</w:t>
      </w:r>
      <w:r>
        <w:tab/>
      </w:r>
      <w:r>
        <w:rPr>
          <w:rStyle w:val="NingunoAA"/>
          <w:color w:val="000000"/>
        </w:rPr>
        <w:t xml:space="preserve">poveruje svoju predsedníčku, aby postúpila toto uznesenie Rade, Komisii, Európskej službe pre vonkajšiu činnosť, vládam a parlamentom členských štátov, Rade Európy a jej Parlamentnému zhromaždeniu, </w:t>
      </w:r>
      <w:r>
        <w:t>Organizácii pre bezpečnosť a spoluprácu v Európe a štátnym inštitúciám Ruskej federácie.</w:t>
      </w:r>
    </w:p>
    <w:p/>
    <w:p>
      <w:bookmarkStart w:id="9" w:name="TextBodyEnd"/>
      <w:bookmarkEnd w:id="9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rStyle w:val="NingunoA"/>
          <w:sz w:val="24"/>
          <w:lang w:val="sk-SK"/>
        </w:rPr>
        <w:t xml:space="preserve"> </w:t>
      </w:r>
      <w:r>
        <w:rPr>
          <w:rStyle w:val="NingunoA"/>
          <w:sz w:val="24"/>
          <w:lang w:val="sk-SK"/>
        </w:rPr>
        <w:tab/>
        <w:t xml:space="preserve">Ú. v. EÚ L 159, 28.5.2014, s. 1.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69, 0170, 0171, 0176, 0178 a 0180/2024"/>
    <w:docVar w:name="dvlangue" w:val="SK"/>
    <w:docVar w:name="dvnumam" w:val="0"/>
    <w:docVar w:name="dvpe" w:val="760.481"/>
    <w:docVar w:name="dvtitre" w:val="Uznesenie Európskeho parlamentu zo 14. marca 2024 o vrátení rumunského národného pokladu nelegálne privlastneného Ruskom(2024/2605(RSP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3468D1-6C69-43A5-875C-5AECE37E6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pPr>
      <w:spacing w:before="480" w:after="240"/>
    </w:pPr>
  </w:style>
  <w:style w:type="character" w:customStyle="1" w:styleId="Ninguno">
    <w:name w:val="Ninguno"/>
  </w:style>
  <w:style w:type="character" w:customStyle="1" w:styleId="NingunoA">
    <w:name w:val="Ninguno A"/>
    <w:basedOn w:val="Ninguno"/>
  </w:style>
  <w:style w:type="character" w:customStyle="1" w:styleId="NingunoAA">
    <w:name w:val="Ninguno A A"/>
    <w:basedOn w:val="Ninguno"/>
    <w:rPr>
      <w:lang w:val="sk-SK"/>
    </w:rPr>
  </w:style>
  <w:style w:type="character" w:customStyle="1" w:styleId="EPCommaChar">
    <w:name w:val="EPComma Char"/>
    <w:basedOn w:val="DefaultParagraphFont"/>
    <w:link w:val="EPComm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CC87B-5803-4B6D-8C99-FE0A92BEF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1905</Words>
  <Characters>10859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2024-03-14T10:34:00Z</dcterms:created>
  <dcterms:modified xsi:type="dcterms:W3CDTF">2024-03-14T10:34:00Z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B9-0169, 0170, 0171, 0176, 0178 a 0180/2024</vt:lpwstr>
  </property>
  <property fmtid="{D5CDD505-2E9C-101B-9397-08002B2CF9AE}" pid="4" name="&lt;Type&gt;">
    <vt:lpwstr>RR</vt:lpwstr>
  </property>
</Properties>
</file>