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2A4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32A42" w:rsidRDefault="00081D27" w:rsidP="0010095E">
            <w:pPr>
              <w:pStyle w:val="EPName"/>
            </w:pPr>
            <w:r w:rsidRPr="00732A42">
              <w:t>Evropský parlament</w:t>
            </w:r>
          </w:p>
          <w:p w:rsidR="00751A4A" w:rsidRPr="00732A4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2A4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32A42" w:rsidRDefault="00187494" w:rsidP="0010095E">
            <w:pPr>
              <w:pStyle w:val="EPLogo"/>
            </w:pPr>
            <w:r w:rsidRPr="00732A4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32A42" w:rsidRDefault="00D058B8" w:rsidP="004C5D52">
      <w:pPr>
        <w:pStyle w:val="LineTop"/>
      </w:pPr>
    </w:p>
    <w:p w:rsidR="00680577" w:rsidRPr="00732A42" w:rsidRDefault="00081D27" w:rsidP="00680577">
      <w:pPr>
        <w:pStyle w:val="EPBodyTA1"/>
      </w:pPr>
      <w:r w:rsidRPr="00732A42">
        <w:t>PŘIJATÉ TEXTY</w:t>
      </w:r>
    </w:p>
    <w:p w:rsidR="00D058B8" w:rsidRPr="00732A42" w:rsidRDefault="00D058B8" w:rsidP="00D058B8">
      <w:pPr>
        <w:pStyle w:val="LineBottom"/>
      </w:pPr>
    </w:p>
    <w:p w:rsidR="00081D27" w:rsidRPr="00732A42" w:rsidRDefault="00081D27" w:rsidP="00081D27">
      <w:pPr>
        <w:pStyle w:val="ATHeading1"/>
      </w:pPr>
      <w:bookmarkStart w:id="0" w:name="TANumber"/>
      <w:r w:rsidRPr="00732A42">
        <w:t>P9_TA(2024)0</w:t>
      </w:r>
      <w:bookmarkEnd w:id="0"/>
      <w:r w:rsidR="00625124">
        <w:t>173</w:t>
      </w:r>
    </w:p>
    <w:p w:rsidR="00081D27" w:rsidRPr="00732A42" w:rsidRDefault="00081D27" w:rsidP="00081D27">
      <w:pPr>
        <w:pStyle w:val="ATHeading2"/>
      </w:pPr>
      <w:bookmarkStart w:id="1" w:name="title"/>
      <w:r w:rsidRPr="00732A42">
        <w:t xml:space="preserve">Vytvoření evropské iniciativy pro každoroční vyhlášení evropských hlavních měst </w:t>
      </w:r>
      <w:r w:rsidR="00724A50">
        <w:t xml:space="preserve">pro </w:t>
      </w:r>
      <w:r w:rsidRPr="00732A42">
        <w:t>dět</w:t>
      </w:r>
      <w:bookmarkEnd w:id="1"/>
      <w:r w:rsidR="00724A50">
        <w:t>i</w:t>
      </w:r>
    </w:p>
    <w:p w:rsidR="00081D27" w:rsidRPr="00732A42" w:rsidRDefault="00081D27" w:rsidP="00081D27">
      <w:pPr>
        <w:rPr>
          <w:i/>
          <w:vanish/>
        </w:rPr>
      </w:pPr>
      <w:r w:rsidRPr="00732A42">
        <w:rPr>
          <w:i/>
        </w:rPr>
        <w:fldChar w:fldCharType="begin"/>
      </w:r>
      <w:r w:rsidRPr="00732A42">
        <w:rPr>
          <w:i/>
        </w:rPr>
        <w:instrText xml:space="preserve"> TC"(</w:instrText>
      </w:r>
      <w:bookmarkStart w:id="2" w:name="DocNumber"/>
      <w:r w:rsidRPr="00732A42">
        <w:rPr>
          <w:i/>
        </w:rPr>
        <w:instrText>B9-0174/2024</w:instrText>
      </w:r>
      <w:bookmarkEnd w:id="2"/>
      <w:r w:rsidRPr="00732A42">
        <w:rPr>
          <w:i/>
        </w:rPr>
        <w:instrText xml:space="preserve">)"\l3 \n&gt; \* MERGEFORMAT </w:instrText>
      </w:r>
      <w:r w:rsidRPr="00732A42">
        <w:rPr>
          <w:i/>
        </w:rPr>
        <w:fldChar w:fldCharType="end"/>
      </w:r>
    </w:p>
    <w:p w:rsidR="00081D27" w:rsidRPr="00732A42" w:rsidRDefault="00081D27" w:rsidP="00081D27">
      <w:pPr>
        <w:rPr>
          <w:vanish/>
        </w:rPr>
      </w:pPr>
      <w:bookmarkStart w:id="3" w:name="PE"/>
      <w:r w:rsidRPr="00732A42">
        <w:rPr>
          <w:vanish/>
        </w:rPr>
        <w:t>PE760.485</w:t>
      </w:r>
      <w:bookmarkStart w:id="4" w:name="_GoBack"/>
      <w:bookmarkEnd w:id="3"/>
      <w:bookmarkEnd w:id="4"/>
    </w:p>
    <w:p w:rsidR="00081D27" w:rsidRPr="00732A42" w:rsidRDefault="00081D27" w:rsidP="00081D27">
      <w:pPr>
        <w:pStyle w:val="ATHeading3"/>
      </w:pPr>
      <w:bookmarkStart w:id="5" w:name="Sujet"/>
      <w:r w:rsidRPr="00732A42">
        <w:t xml:space="preserve">Usnesení </w:t>
      </w:r>
      <w:r w:rsidR="005C44A0">
        <w:t>Evropského parlamentu ze dne 14. března</w:t>
      </w:r>
      <w:r w:rsidRPr="00732A42">
        <w:t xml:space="preserve"> 2024 o vytvoření evropské iniciativy pro každoroční vyhlášení evropských hlavních měst </w:t>
      </w:r>
      <w:r w:rsidR="00847B28">
        <w:t xml:space="preserve">pro </w:t>
      </w:r>
      <w:r w:rsidRPr="00732A42">
        <w:t>dět</w:t>
      </w:r>
      <w:bookmarkEnd w:id="5"/>
      <w:r w:rsidR="00847B28">
        <w:t>i</w:t>
      </w:r>
      <w:r w:rsidRPr="00732A42">
        <w:t xml:space="preserve"> </w:t>
      </w:r>
      <w:bookmarkStart w:id="6" w:name="References"/>
      <w:r w:rsidRPr="00732A42">
        <w:t>(2024/2621(RSP))</w:t>
      </w:r>
      <w:bookmarkEnd w:id="6"/>
    </w:p>
    <w:p w:rsidR="00F579C9" w:rsidRPr="00732A42" w:rsidRDefault="00F579C9" w:rsidP="00F579C9">
      <w:pPr>
        <w:pStyle w:val="EPComma"/>
      </w:pPr>
      <w:bookmarkStart w:id="7" w:name="TextBodyBegin"/>
      <w:bookmarkEnd w:id="7"/>
      <w:r w:rsidRPr="00732A42">
        <w:rPr>
          <w:i/>
        </w:rPr>
        <w:t>Evropský parlament</w:t>
      </w:r>
      <w:r w:rsidRPr="00732A42">
        <w:t>,</w:t>
      </w:r>
    </w:p>
    <w:p w:rsidR="00F579C9" w:rsidRPr="00732A42" w:rsidRDefault="00F579C9" w:rsidP="00F579C9">
      <w:pPr>
        <w:pStyle w:val="NormalHanging12a"/>
        <w:rPr>
          <w:shd w:val="clear" w:color="auto" w:fill="FFFFFF"/>
        </w:rPr>
      </w:pPr>
      <w:r w:rsidRPr="00732A42">
        <w:t>–</w:t>
      </w:r>
      <w:r w:rsidRPr="00732A42">
        <w:tab/>
        <w:t>s ohledem na čl. 3 odst. 3 Smlouvy o Evropské unii a článek 9 Smlouvy o fungování Evropské unie,</w:t>
      </w:r>
    </w:p>
    <w:p w:rsidR="00F579C9" w:rsidRPr="00732A42" w:rsidRDefault="00F579C9" w:rsidP="00F579C9">
      <w:pPr>
        <w:pStyle w:val="NormalHanging12a"/>
      </w:pPr>
      <w:r w:rsidRPr="00732A42">
        <w:rPr>
          <w:snapToGrid w:val="0"/>
        </w:rPr>
        <w:t>–</w:t>
      </w:r>
      <w:r w:rsidRPr="00732A42">
        <w:rPr>
          <w:snapToGrid w:val="0"/>
        </w:rPr>
        <w:tab/>
      </w:r>
      <w:r w:rsidRPr="00732A42">
        <w:t>s ohledem na článek 24 Listiny základních práv Evropské unie,</w:t>
      </w:r>
    </w:p>
    <w:p w:rsidR="00F579C9" w:rsidRPr="00732A42" w:rsidRDefault="00F579C9" w:rsidP="00F579C9">
      <w:pPr>
        <w:pStyle w:val="NormalHanging12a"/>
      </w:pPr>
      <w:r w:rsidRPr="00732A42">
        <w:rPr>
          <w:snapToGrid w:val="0"/>
        </w:rPr>
        <w:t>–</w:t>
      </w:r>
      <w:r w:rsidRPr="00732A42">
        <w:rPr>
          <w:snapToGrid w:val="0"/>
        </w:rPr>
        <w:tab/>
      </w:r>
      <w:r w:rsidRPr="00732A42">
        <w:t>s ohledem na Úmluvu OSN o právech dítěte,</w:t>
      </w:r>
    </w:p>
    <w:p w:rsidR="00F579C9" w:rsidRPr="00732A42" w:rsidRDefault="00F579C9" w:rsidP="00F579C9">
      <w:pPr>
        <w:pStyle w:val="NormalHanging12a"/>
      </w:pPr>
      <w:r w:rsidRPr="00732A42">
        <w:rPr>
          <w:snapToGrid w:val="0"/>
        </w:rPr>
        <w:t>–</w:t>
      </w:r>
      <w:r w:rsidRPr="00732A42">
        <w:rPr>
          <w:snapToGrid w:val="0"/>
        </w:rPr>
        <w:tab/>
      </w:r>
      <w:r w:rsidRPr="00732A42">
        <w:t>s ohledem na Agendu EU v oblasti práv dítěte (</w:t>
      </w:r>
      <w:proofErr w:type="gramStart"/>
      <w:r w:rsidRPr="00732A42">
        <w:t>COM(2011</w:t>
      </w:r>
      <w:proofErr w:type="gramEnd"/>
      <w:r w:rsidRPr="00732A42">
        <w:t>)0060),</w:t>
      </w:r>
    </w:p>
    <w:p w:rsidR="00F579C9" w:rsidRPr="00732A42" w:rsidRDefault="00F579C9" w:rsidP="00F579C9">
      <w:pPr>
        <w:pStyle w:val="NormalHanging12a"/>
      </w:pPr>
      <w:r w:rsidRPr="00732A42">
        <w:rPr>
          <w:snapToGrid w:val="0"/>
        </w:rPr>
        <w:t>–</w:t>
      </w:r>
      <w:r w:rsidRPr="00732A42">
        <w:rPr>
          <w:snapToGrid w:val="0"/>
        </w:rPr>
        <w:tab/>
      </w:r>
      <w:r w:rsidRPr="00732A42">
        <w:t>s ohledem na Strategii EU pro práva dítěte (</w:t>
      </w:r>
      <w:proofErr w:type="gramStart"/>
      <w:r w:rsidRPr="00732A42">
        <w:t>COM(2021</w:t>
      </w:r>
      <w:proofErr w:type="gramEnd"/>
      <w:r w:rsidRPr="00732A42">
        <w:t>)0142),</w:t>
      </w:r>
    </w:p>
    <w:p w:rsidR="00F579C9" w:rsidRPr="00732A42" w:rsidRDefault="00F579C9" w:rsidP="00F579C9">
      <w:pPr>
        <w:pStyle w:val="NormalHanging12a"/>
      </w:pPr>
      <w:r w:rsidRPr="00732A42">
        <w:rPr>
          <w:snapToGrid w:val="0"/>
        </w:rPr>
        <w:t>–</w:t>
      </w:r>
      <w:r w:rsidRPr="00732A42">
        <w:rPr>
          <w:snapToGrid w:val="0"/>
        </w:rPr>
        <w:tab/>
      </w:r>
      <w:r w:rsidRPr="00732A42">
        <w:rPr>
          <w:shd w:val="clear" w:color="auto" w:fill="FFFFFF"/>
        </w:rPr>
        <w:t>s ohledem na revidovanou Evropskou chartu Rady Evropy o účasti mladých lidí na místním a regionálním životě,</w:t>
      </w:r>
    </w:p>
    <w:p w:rsidR="00F579C9" w:rsidRPr="00732A42" w:rsidRDefault="00F579C9" w:rsidP="00F579C9">
      <w:pPr>
        <w:pStyle w:val="NormalHanging12a"/>
        <w:rPr>
          <w:shd w:val="clear" w:color="auto" w:fill="FFFFFF"/>
        </w:rPr>
      </w:pPr>
      <w:r w:rsidRPr="00732A42">
        <w:rPr>
          <w:shd w:val="clear" w:color="auto" w:fill="FFFFFF"/>
        </w:rPr>
        <w:t>–</w:t>
      </w:r>
      <w:r w:rsidRPr="00732A42">
        <w:rPr>
          <w:shd w:val="clear" w:color="auto" w:fill="FFFFFF"/>
        </w:rPr>
        <w:tab/>
        <w:t>s ohledem na rezoluci Valného shromáždění OSN o právech dítěte,</w:t>
      </w:r>
    </w:p>
    <w:p w:rsidR="00F579C9" w:rsidRPr="00732A42" w:rsidRDefault="00F579C9" w:rsidP="00F579C9">
      <w:pPr>
        <w:pStyle w:val="NormalHanging12a"/>
      </w:pPr>
      <w:r w:rsidRPr="00732A42">
        <w:t>–</w:t>
      </w:r>
      <w:r w:rsidRPr="00732A42">
        <w:tab/>
        <w:t>s ohledem na čl. 132 odst. 2 jednacího řádu,</w:t>
      </w:r>
    </w:p>
    <w:p w:rsidR="00F579C9" w:rsidRPr="00732A42" w:rsidRDefault="00F579C9" w:rsidP="00F579C9">
      <w:pPr>
        <w:pStyle w:val="NormalHanging12a"/>
      </w:pPr>
      <w:r w:rsidRPr="00732A42">
        <w:t>A.</w:t>
      </w:r>
      <w:r w:rsidRPr="00732A42">
        <w:rPr>
          <w:snapToGrid w:val="0"/>
        </w:rPr>
        <w:tab/>
      </w:r>
      <w:r w:rsidRPr="00732A42">
        <w:t>vzhledem k tomu, že práva dětí jsou lidskými právy; vzhledem k tomu, že každé dítě by mělo požívat stejných práv a mít možnost žít bez jakékoli diskriminace nebo zastrašování;</w:t>
      </w:r>
    </w:p>
    <w:p w:rsidR="00F579C9" w:rsidRPr="00732A42" w:rsidRDefault="00F579C9" w:rsidP="00F579C9">
      <w:pPr>
        <w:pStyle w:val="NormalHanging12a"/>
        <w:rPr>
          <w:bCs/>
        </w:rPr>
      </w:pPr>
      <w:r w:rsidRPr="00732A42">
        <w:rPr>
          <w:snapToGrid w:val="0"/>
        </w:rPr>
        <w:t>B.</w:t>
      </w:r>
      <w:r w:rsidRPr="00732A42">
        <w:rPr>
          <w:snapToGrid w:val="0"/>
        </w:rPr>
        <w:tab/>
      </w:r>
      <w:r w:rsidRPr="00732A42">
        <w:t>vzhledem k tomu, že ochrana a prosazování práv dítěte patří k hlavním cílům EU; vzhledem k tomu, že ambicí EU je vybudovat co nejlepší život pro děti v EU i na celém světě;</w:t>
      </w:r>
    </w:p>
    <w:p w:rsidR="00F579C9" w:rsidRPr="00732A42" w:rsidRDefault="00F579C9" w:rsidP="00F579C9">
      <w:pPr>
        <w:pStyle w:val="NormalHanging12a"/>
      </w:pPr>
      <w:r w:rsidRPr="00732A42">
        <w:rPr>
          <w:snapToGrid w:val="0"/>
        </w:rPr>
        <w:t>C.</w:t>
      </w:r>
      <w:r w:rsidRPr="00732A42">
        <w:rPr>
          <w:snapToGrid w:val="0"/>
        </w:rPr>
        <w:tab/>
      </w:r>
      <w:r w:rsidRPr="00732A42">
        <w:t xml:space="preserve">vzhledem k tomu, že děti hrají v naší společnosti klíčovou úlohu; vzhledem k tomu, že jejich aktivní zapojení může přispět k utváření a budování takových měst, která budou k dětem vstřícná a která budou podporovat plné uplatňování jejich práv na všech úrovních; vzhledem k tomu, že děti jsou v popředí zvyšování povědomí o </w:t>
      </w:r>
      <w:r w:rsidRPr="00732A42">
        <w:lastRenderedPageBreak/>
        <w:t>environmentálních výzvách a změně klimatu, digitální transformaci a bezpečnosti na internetu, jakož i o diskriminaci a nespravedlnosti; vzhledem k tomu, že zastupují nejen dnešní mládež, ale také vedoucí představitele zítřka;</w:t>
      </w:r>
    </w:p>
    <w:p w:rsidR="00F579C9" w:rsidRPr="00732A42" w:rsidRDefault="00F579C9" w:rsidP="00F579C9">
      <w:pPr>
        <w:pStyle w:val="NormalHanging12a"/>
      </w:pPr>
      <w:r w:rsidRPr="00732A42">
        <w:rPr>
          <w:snapToGrid w:val="0"/>
        </w:rPr>
        <w:t>D.</w:t>
      </w:r>
      <w:r w:rsidRPr="00732A42">
        <w:rPr>
          <w:snapToGrid w:val="0"/>
        </w:rPr>
        <w:tab/>
      </w:r>
      <w:r w:rsidRPr="00732A42">
        <w:t>vzhledem k tomu, že děti by měly mít právo na co nejlepší start do života a na plné rozvinutí svého potenciálu; vzhledem k tomu, že to zahrnuje právo na život na čisté a zdravé planetě a v chráněném a láskyplném prostředí, na kvalitní vzdělání a na přístup k rekreačním, kulturním a uměleckým činnostem, jež jsou vstřícné k dětem;</w:t>
      </w:r>
    </w:p>
    <w:p w:rsidR="00F579C9" w:rsidRPr="00732A42" w:rsidRDefault="00F579C9" w:rsidP="00F579C9">
      <w:pPr>
        <w:pStyle w:val="NormalHanging12a"/>
      </w:pPr>
      <w:r w:rsidRPr="00732A42">
        <w:rPr>
          <w:snapToGrid w:val="0"/>
        </w:rPr>
        <w:t>E.</w:t>
      </w:r>
      <w:r w:rsidRPr="00732A42">
        <w:rPr>
          <w:snapToGrid w:val="0"/>
        </w:rPr>
        <w:tab/>
      </w:r>
      <w:r w:rsidRPr="00732A42">
        <w:t>vzhledem k tomu, že přístup ke vzdělání je základním lidským právem; vzhledem k tomu, že formální a neformální vzdělávání a informální učení jsou základem pro rovné příležitosti a individuální podporu nadání a potenciálu;</w:t>
      </w:r>
    </w:p>
    <w:p w:rsidR="00F579C9" w:rsidRPr="00732A42" w:rsidRDefault="00F579C9" w:rsidP="00F579C9">
      <w:pPr>
        <w:pStyle w:val="NormalHanging12a"/>
      </w:pPr>
      <w:r w:rsidRPr="00732A42">
        <w:rPr>
          <w:snapToGrid w:val="0"/>
        </w:rPr>
        <w:t>F.</w:t>
      </w:r>
      <w:r w:rsidRPr="00732A42">
        <w:rPr>
          <w:snapToGrid w:val="0"/>
        </w:rPr>
        <w:tab/>
      </w:r>
      <w:r w:rsidRPr="00732A42">
        <w:t>vzhledem k tomu, že EU a její členské státy by měly spojit síly, aby dostály své sdílené odpovědnosti za dodržování a ochranu práv každého dítěte a aby společně s dětmi vytvářely inkluzivnější, zdravější a spravedlivější společnost;</w:t>
      </w:r>
    </w:p>
    <w:p w:rsidR="00F579C9" w:rsidRPr="00732A42" w:rsidRDefault="00F579C9" w:rsidP="00F579C9">
      <w:pPr>
        <w:pStyle w:val="NormalHanging12a"/>
      </w:pPr>
      <w:r w:rsidRPr="00732A42">
        <w:rPr>
          <w:snapToGrid w:val="0"/>
        </w:rPr>
        <w:t>G.</w:t>
      </w:r>
      <w:r w:rsidRPr="00732A42">
        <w:rPr>
          <w:snapToGrid w:val="0"/>
        </w:rPr>
        <w:tab/>
      </w:r>
      <w:r w:rsidRPr="00732A42">
        <w:t>vzhledem k tomu, že všechny děti mají právo na ochranu před chudobou a sociálním vyloučením; vzhledem k tomu, že evropská záruka pro děti je nástrojem EU, jehož cílem je předcházet chudobě a sociálnímu vyloučení a bojovat proti těmto jevům tím, že potřebným dětem bude zaručen bezplatný a účinný přístup k základním pečovatelským službám, jako je předškolní vzdělávání a péče, vzdělávací a školní aktivity, zdravotní péče a alespoň jedno zdravé jídlo ve škole denně, a účinný přístup všech těchto dětí ke zdravé výživě a odpovídajícímu bydlení;</w:t>
      </w:r>
    </w:p>
    <w:p w:rsidR="00F579C9" w:rsidRPr="00732A42" w:rsidRDefault="00F579C9" w:rsidP="00F579C9">
      <w:pPr>
        <w:pStyle w:val="NormalHanging12a"/>
      </w:pPr>
      <w:r w:rsidRPr="00732A42">
        <w:t>H.</w:t>
      </w:r>
      <w:r w:rsidRPr="00732A42">
        <w:tab/>
        <w:t>vzhledem k tomu, že nezbytná podpora musí být poskytnuta rovněž všem rodinám a komunitám, aby mohly zajistit dobré životní podmínky a rozvoj svých dětí;</w:t>
      </w:r>
    </w:p>
    <w:p w:rsidR="00F579C9" w:rsidRPr="00732A42" w:rsidRDefault="00F579C9" w:rsidP="00F579C9">
      <w:pPr>
        <w:pStyle w:val="NormalHanging12a"/>
      </w:pPr>
      <w:r w:rsidRPr="00732A42">
        <w:t>I.</w:t>
      </w:r>
      <w:r w:rsidRPr="00732A42">
        <w:tab/>
        <w:t>vzhledem k tomu, že má-li být dosaženo těchto cílů, musí mít děti možnost se pravidelně setkávat, poznávat a rozvíjet vzájemné porozumění a tak se podílet na utváření budoucnosti evropského projektu;</w:t>
      </w:r>
    </w:p>
    <w:p w:rsidR="00F579C9" w:rsidRPr="00732A42" w:rsidRDefault="00F579C9" w:rsidP="00F579C9">
      <w:pPr>
        <w:pStyle w:val="NormalHanging12a"/>
      </w:pPr>
      <w:r w:rsidRPr="00732A42">
        <w:t>J.</w:t>
      </w:r>
      <w:r w:rsidRPr="00732A42">
        <w:tab/>
        <w:t xml:space="preserve">vzhledem k tomu, že v roce 2009 byl vytvořen titul Evropské hlavní město mládeže; vzhledem k tomu, že odpovídající finanční prostředky EU by mohly zajistit, aby byl plně využit jeho potenciál; vzhledem k tomu, že evropská hlavní města </w:t>
      </w:r>
      <w:r w:rsidR="00847B28">
        <w:t>pro děti</w:t>
      </w:r>
      <w:r w:rsidRPr="00732A42">
        <w:t xml:space="preserve"> by měla Evropské hlavní město mládeže doplňovat a být s ním provázána;</w:t>
      </w:r>
    </w:p>
    <w:p w:rsidR="00F579C9" w:rsidRPr="00732A42" w:rsidRDefault="00F579C9" w:rsidP="00F579C9">
      <w:pPr>
        <w:pStyle w:val="NormalHanging12a"/>
      </w:pPr>
      <w:r w:rsidRPr="00732A42">
        <w:t>K.</w:t>
      </w:r>
      <w:r w:rsidRPr="00732A42">
        <w:tab/>
        <w:t>vzhledem k tomu, že k rozvoji této iniciativy je nutný další výzkum a hodnocení; vzhledem k tomu, že pro utváření její podoby jsou klíčové příspěvky místních orgánů a nevládních organizací zasazujících se za práva dětí;</w:t>
      </w:r>
    </w:p>
    <w:p w:rsidR="00F579C9" w:rsidRPr="00732A42" w:rsidRDefault="00F579C9" w:rsidP="00F579C9">
      <w:pPr>
        <w:pStyle w:val="NormalHanging12a"/>
      </w:pPr>
      <w:r w:rsidRPr="00732A42">
        <w:t>1.</w:t>
      </w:r>
      <w:r w:rsidRPr="00732A42">
        <w:tab/>
        <w:t xml:space="preserve">vyzývá Komisi, aby se zabývala možností vytvoření evropské iniciativy pro každoroční vyhlašování evropských hlavních měst </w:t>
      </w:r>
      <w:r w:rsidR="00847B28">
        <w:t>pro děti</w:t>
      </w:r>
      <w:r w:rsidRPr="00732A42">
        <w:t>, a to ve spolupráci s místními orgány a organizacemi občanské společnosti, v jejichž čele stojí děti nebo které s dětmi pracují;</w:t>
      </w:r>
    </w:p>
    <w:p w:rsidR="00F579C9" w:rsidRPr="00732A42" w:rsidRDefault="00F579C9" w:rsidP="00F579C9">
      <w:pPr>
        <w:pStyle w:val="NormalHanging12a"/>
      </w:pPr>
      <w:r w:rsidRPr="00732A42">
        <w:t>2.</w:t>
      </w:r>
      <w:r w:rsidRPr="00732A42">
        <w:tab/>
        <w:t xml:space="preserve">zdůrazňuje, že evropská hlavní města </w:t>
      </w:r>
      <w:r w:rsidR="00847B28">
        <w:t>pro děti</w:t>
      </w:r>
      <w:r w:rsidRPr="00732A42">
        <w:t xml:space="preserve"> by měla – za účasti dětí a při upřednostnění jejich pohledu – poskytovat důkazy na podporu odpovědných politik týkajících se dětí, zejména pokud jde o rovné příležitosti, zdravý růst a přístup ke kvalitnímu vzdělávání, čistému prostředí a městskému rozvoji;</w:t>
      </w:r>
    </w:p>
    <w:p w:rsidR="00F579C9" w:rsidRPr="00732A42" w:rsidRDefault="00F579C9" w:rsidP="00F579C9">
      <w:pPr>
        <w:pStyle w:val="NormalHanging12a"/>
      </w:pPr>
      <w:r w:rsidRPr="00732A42">
        <w:t>3.</w:t>
      </w:r>
      <w:r w:rsidRPr="00732A42">
        <w:tab/>
        <w:t xml:space="preserve">zdůrazňuje, že úkolem evropských hlavních měst </w:t>
      </w:r>
      <w:r w:rsidR="00847B28">
        <w:t>pro děti</w:t>
      </w:r>
      <w:r w:rsidRPr="00732A42">
        <w:t xml:space="preserve"> by mělo být sbližovat děti v členských státech a pomáhat jim, aby si lépe porozuměly;</w:t>
      </w:r>
    </w:p>
    <w:p w:rsidR="00F579C9" w:rsidRPr="00732A42" w:rsidRDefault="00F579C9" w:rsidP="00F579C9">
      <w:pPr>
        <w:pStyle w:val="NormalHanging12a"/>
      </w:pPr>
      <w:r w:rsidRPr="00732A42">
        <w:lastRenderedPageBreak/>
        <w:t>4.</w:t>
      </w:r>
      <w:r w:rsidRPr="00732A42">
        <w:tab/>
        <w:t>domnívá se, že podpora lepšího porozumění mezi lidmi a různými kulturami od útlého věku přispívá k odstraňování předsudků a stereotypů a k rozvoji mezikulturního dialogu, který má pro EU a její hodnoty a cíle zásadní význam;</w:t>
      </w:r>
    </w:p>
    <w:p w:rsidR="00F579C9" w:rsidRPr="00732A42" w:rsidRDefault="00F579C9" w:rsidP="00F579C9">
      <w:pPr>
        <w:pStyle w:val="NormalHanging12a"/>
      </w:pPr>
      <w:r w:rsidRPr="00732A42">
        <w:t>5.</w:t>
      </w:r>
      <w:r w:rsidRPr="00732A42">
        <w:tab/>
        <w:t xml:space="preserve">podtrhuje, že na řízení evropských hlavních měst </w:t>
      </w:r>
      <w:r w:rsidR="00847B28">
        <w:t>pro děti</w:t>
      </w:r>
      <w:r w:rsidRPr="00732A42">
        <w:t xml:space="preserve"> by se mohly podílet i děti samotné, a to prostřednictvím dětských organizací a klubů; zdůrazňuje, že tato iniciativa by mohla prosazovat práva dětí, včetně mechanismů pro aktivní účast dětí a výchovy k evropskému občanství, neboť podpora tohoto procesu od útlého věku usnadňuje formování vzdělaných mladých lidí a dospělých, kteří chápou hodnoty, cíle, dějiny a identitu EU;</w:t>
      </w:r>
    </w:p>
    <w:p w:rsidR="00F579C9" w:rsidRPr="00732A42" w:rsidRDefault="00F579C9" w:rsidP="00F579C9">
      <w:pPr>
        <w:pStyle w:val="NormalHanging12a"/>
      </w:pPr>
      <w:r w:rsidRPr="00732A42">
        <w:t>6.</w:t>
      </w:r>
      <w:r w:rsidRPr="00732A42">
        <w:tab/>
        <w:t xml:space="preserve">zdůrazňuje, že evropská hlavní města </w:t>
      </w:r>
      <w:r w:rsidR="00847B28">
        <w:t>pro děti</w:t>
      </w:r>
      <w:r w:rsidRPr="00732A42">
        <w:t xml:space="preserve"> by měla podporovat sociální začlenění, přístupnost a rovné příležitosti pro děti a činit vše pro to, aby byly do přípravy a provádění této iniciativy co nejvíce zapojeny všechny složky občanské společnosti, přičemž je třeba věnovat zvláštní pozornost dětem s omezenými příležitostmi a nejzranitelnějším skupinám;</w:t>
      </w:r>
    </w:p>
    <w:p w:rsidR="00F579C9" w:rsidRPr="00732A42" w:rsidRDefault="00F579C9" w:rsidP="00F579C9">
      <w:pPr>
        <w:pStyle w:val="NormalHanging12a"/>
      </w:pPr>
      <w:r w:rsidRPr="00732A42">
        <w:t>7.</w:t>
      </w:r>
      <w:r w:rsidRPr="00732A42">
        <w:tab/>
        <w:t xml:space="preserve">domnívá se, že evropská hlavní města </w:t>
      </w:r>
      <w:r w:rsidR="00847B28">
        <w:t>pro děti</w:t>
      </w:r>
      <w:r w:rsidRPr="00732A42">
        <w:t xml:space="preserve"> by díky plnému využití dostupných zdrojů na vnitrostátní úrovni i na úrovni EU mohla přispět k boji proti dětské chudobě, ke komplexnímu posouzení životních podmínek dětí a k účinnému provádění evropské záruky pro děti ze strany členských států; domnívá se, že by toho mohlo být dosaženo výměnou osvědčených postupů v rámci občanské společnosti, zejména mezi dětskými organizacemi, rodiči, městy, místními samosprávami a členskými státy, a zapojením všech příslušných zúčastněných stran; opětovně vyzývá k bezodkladnému navýšení financování evropské záruky pro děti se samostatným rozpočtem ve výši nejméně 20 miliard EUR;</w:t>
      </w:r>
    </w:p>
    <w:p w:rsidR="00F579C9" w:rsidRPr="00732A42" w:rsidRDefault="00F579C9" w:rsidP="00F579C9">
      <w:pPr>
        <w:pStyle w:val="NormalHanging12a"/>
      </w:pPr>
      <w:r w:rsidRPr="00732A42">
        <w:t>8.</w:t>
      </w:r>
      <w:r w:rsidRPr="00732A42">
        <w:tab/>
        <w:t xml:space="preserve">zdůrazňuje, že evropská hlavní města </w:t>
      </w:r>
      <w:r w:rsidR="00847B28">
        <w:t>pro děti</w:t>
      </w:r>
      <w:r w:rsidRPr="00732A42">
        <w:t xml:space="preserve"> by měla být příležitostí k pořádání vzdělávacích, kulturních a sportovních akcí týkajících se EU, k čemuž by mohly přispívat workshopy na témata související s každodenním životem, bojem proti diskriminaci, pohlavním zneužíváním dětí, chudobou, sociálním vyloučením, rovností žen a mužů, digitálním světem, ochranou klimatu, mobilitou, rozvojem měst, demokracií, dějinami a svobodou náboženského vyznání a přesvědčení;</w:t>
      </w:r>
    </w:p>
    <w:p w:rsidR="00F579C9" w:rsidRPr="00732A42" w:rsidRDefault="00F579C9" w:rsidP="00F579C9">
      <w:pPr>
        <w:pStyle w:val="NormalHanging12a"/>
      </w:pPr>
      <w:r w:rsidRPr="00732A42">
        <w:t>9.</w:t>
      </w:r>
      <w:r w:rsidRPr="00732A42">
        <w:tab/>
        <w:t>připomíná, že je důležité, aby byly v rámci digitální transformace a ve všech digitálních opatřeních a rozhodnutích týkajících se dětí zohledňovány jejich zájmy, zvláště pokud jde o jejich fyzické a duševní zdraví, bezpečnost a pohodu, přičemž je nutné podporovat digitální vzdělávání a zvyšovat digitální gramotnost;</w:t>
      </w:r>
    </w:p>
    <w:p w:rsidR="00F579C9" w:rsidRPr="00732A42" w:rsidRDefault="00F579C9" w:rsidP="00F579C9">
      <w:pPr>
        <w:pStyle w:val="NormalHanging12a"/>
      </w:pPr>
      <w:r w:rsidRPr="00732A42">
        <w:t>10.</w:t>
      </w:r>
      <w:r w:rsidRPr="00732A42">
        <w:tab/>
        <w:t>zdůrazňuje, že zavedení tohoto každoročního vyhlašování hlavních měst, kde budou děti zaujímat přední místo a budou se moci aktivně účastnit diskusí jako partneři i v roli těch, kdo bude v budoucnu rozhodovat, napomůže tomu, aby děti vyrostly v dospělé, kteří budou otevřeni novým názorům;</w:t>
      </w:r>
    </w:p>
    <w:p w:rsidR="00F579C9" w:rsidRPr="00732A42" w:rsidRDefault="00F579C9" w:rsidP="00F579C9">
      <w:pPr>
        <w:pStyle w:val="NormalHanging12a"/>
      </w:pPr>
      <w:r w:rsidRPr="00732A42">
        <w:t>11.</w:t>
      </w:r>
      <w:r w:rsidRPr="00732A42">
        <w:tab/>
        <w:t xml:space="preserve">zdůrazňuje, že evropská hlavní města </w:t>
      </w:r>
      <w:r w:rsidR="00847B28">
        <w:t>pro děti</w:t>
      </w:r>
      <w:r w:rsidRPr="00732A42">
        <w:t xml:space="preserve"> pomohou propojit stávající mechanismy pro účast dětí na místní, vnitrostátní a unijní úrovni, včetně platformy EU pro účast dětí</w:t>
      </w:r>
      <w:r w:rsidRPr="00732A42">
        <w:rPr>
          <w:rStyle w:val="FootnoteReference"/>
          <w:color w:val="000000"/>
        </w:rPr>
        <w:footnoteReference w:id="1"/>
      </w:r>
      <w:r w:rsidRPr="00732A42">
        <w:t xml:space="preserve"> a Evropského hlavního města mládeže, a zapojí děti do rozhodovacích procesů;</w:t>
      </w:r>
    </w:p>
    <w:p w:rsidR="00F579C9" w:rsidRPr="00732A42" w:rsidRDefault="00F579C9" w:rsidP="00F579C9">
      <w:pPr>
        <w:pStyle w:val="NormalHanging12a"/>
        <w:rPr>
          <w:shd w:val="clear" w:color="auto" w:fill="FFFFFF"/>
        </w:rPr>
      </w:pPr>
      <w:r w:rsidRPr="00732A42">
        <w:lastRenderedPageBreak/>
        <w:t>12.</w:t>
      </w:r>
      <w:r w:rsidRPr="00732A42">
        <w:tab/>
      </w:r>
      <w:r w:rsidRPr="00732A42">
        <w:rPr>
          <w:shd w:val="clear" w:color="auto" w:fill="FFFFFF"/>
        </w:rPr>
        <w:t>pověřuje svou předsedkyni, aby předala toto usnesení Radě, Komisi, vládám a parlamentům členských států a místopředsedovi Komise, vysokému představiteli Unie pro zahraniční věci a bezpečnostní politiku.</w:t>
      </w:r>
    </w:p>
    <w:p w:rsidR="00F579C9" w:rsidRPr="00732A42" w:rsidRDefault="00F579C9" w:rsidP="00F579C9"/>
    <w:sectPr w:rsidR="00F579C9" w:rsidRPr="00732A42" w:rsidSect="00732A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D27" w:rsidRPr="00732A42" w:rsidRDefault="00081D27">
      <w:r w:rsidRPr="00732A42">
        <w:separator/>
      </w:r>
    </w:p>
  </w:endnote>
  <w:endnote w:type="continuationSeparator" w:id="0">
    <w:p w:rsidR="00081D27" w:rsidRPr="00732A42" w:rsidRDefault="00081D27">
      <w:r w:rsidRPr="00732A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2A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2A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2A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D27" w:rsidRPr="00732A42" w:rsidRDefault="00081D27">
      <w:r w:rsidRPr="00732A42">
        <w:separator/>
      </w:r>
    </w:p>
  </w:footnote>
  <w:footnote w:type="continuationSeparator" w:id="0">
    <w:p w:rsidR="00081D27" w:rsidRPr="00732A42" w:rsidRDefault="00081D27">
      <w:r w:rsidRPr="00732A42">
        <w:continuationSeparator/>
      </w:r>
    </w:p>
  </w:footnote>
  <w:footnote w:id="1">
    <w:p w:rsidR="00F579C9" w:rsidRPr="00732A42" w:rsidRDefault="00F579C9" w:rsidP="00732A42">
      <w:pPr>
        <w:pStyle w:val="FootnoteText"/>
        <w:ind w:left="567" w:hanging="567"/>
        <w:rPr>
          <w:sz w:val="24"/>
          <w:lang w:val="cs-CZ"/>
        </w:rPr>
      </w:pPr>
      <w:r w:rsidRPr="00732A42">
        <w:rPr>
          <w:rStyle w:val="FootnoteReference"/>
          <w:sz w:val="24"/>
          <w:lang w:val="cs-CZ"/>
        </w:rPr>
        <w:footnoteRef/>
      </w:r>
      <w:r w:rsidR="00732A42" w:rsidRPr="00732A42">
        <w:rPr>
          <w:sz w:val="24"/>
          <w:lang w:val="cs-CZ"/>
        </w:rPr>
        <w:t xml:space="preserve"> </w:t>
      </w:r>
      <w:r w:rsidR="00732A42" w:rsidRPr="00732A42">
        <w:rPr>
          <w:sz w:val="24"/>
          <w:lang w:val="cs-CZ"/>
        </w:rPr>
        <w:tab/>
      </w:r>
      <w:hyperlink r:id="rId1" w:history="1">
        <w:r w:rsidRPr="00732A42">
          <w:rPr>
            <w:rStyle w:val="Hyperlink"/>
            <w:sz w:val="24"/>
            <w:lang w:val="cs-CZ"/>
          </w:rPr>
          <w:t>https://eu-for-children.europa.eu/</w:t>
        </w:r>
      </w:hyperlink>
      <w:r w:rsidRPr="00732A42">
        <w:rPr>
          <w:sz w:val="24"/>
          <w:lang w:val="cs-CZ"/>
        </w:rPr>
        <w:t xml:space="preserve"> – tato </w:t>
      </w:r>
      <w:hyperlink r:id="rId2" w:history="1">
        <w:r w:rsidRPr="00732A42">
          <w:rPr>
            <w:rStyle w:val="Hyperlink"/>
            <w:sz w:val="24"/>
            <w:lang w:val="cs-CZ"/>
          </w:rPr>
          <w:t>platforma EU</w:t>
        </w:r>
      </w:hyperlink>
      <w:r w:rsidRPr="00732A42">
        <w:rPr>
          <w:sz w:val="24"/>
          <w:lang w:val="cs-CZ"/>
        </w:rPr>
        <w:t xml:space="preserve"> byla zřízena v souladu se Strategií EU pro práva dítěte.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2A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2A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2A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4/2024"/>
    <w:docVar w:name="dvlangue" w:val="CS"/>
    <w:docVar w:name="dvnumam" w:val="0"/>
    <w:docVar w:name="dvpe" w:val="760.485"/>
    <w:docVar w:name="dvtitre" w:val="Usnesení Evropského parlamentu ze dne.... 2024 o vytvoření evropské iniciativy pro každoroční vyhlášení evropských hlavních měst dětí(2024/2621(RSP))"/>
  </w:docVars>
  <w:rsids>
    <w:rsidRoot w:val="00081D27"/>
    <w:rsid w:val="00002272"/>
    <w:rsid w:val="00064002"/>
    <w:rsid w:val="000677B9"/>
    <w:rsid w:val="00081D27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4A0"/>
    <w:rsid w:val="006037C0"/>
    <w:rsid w:val="00625124"/>
    <w:rsid w:val="006631B6"/>
    <w:rsid w:val="00680577"/>
    <w:rsid w:val="006F74FA"/>
    <w:rsid w:val="00724A50"/>
    <w:rsid w:val="00731ADD"/>
    <w:rsid w:val="00732A42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B28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41C6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9C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F550F2"/>
  <w15:chartTrackingRefBased/>
  <w15:docId w15:val="{8144B644-0E54-4E90-B85A-71E717D8E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579C9"/>
    <w:pPr>
      <w:spacing w:before="480" w:after="240"/>
    </w:pPr>
  </w:style>
  <w:style w:type="paragraph" w:customStyle="1" w:styleId="NormalHanging12a">
    <w:name w:val="NormalHanging12a"/>
    <w:basedOn w:val="Normal"/>
    <w:rsid w:val="00F579C9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F579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-for-children.europa.eu/" TargetMode="External"/><Relationship Id="rId1" Type="http://schemas.openxmlformats.org/officeDocument/2006/relationships/hyperlink" Target="https://eu-for-children.europa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B45E8-5F3D-49B0-938F-147B784A0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1227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2024-03-14T14:21:00Z</dcterms:created>
  <dcterms:modified xsi:type="dcterms:W3CDTF">2024-03-14T14:21:00Z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B9-0174/2024</vt:lpwstr>
  </property>
  <property fmtid="{D5CDD505-2E9C-101B-9397-08002B2CF9AE}" pid="4" name="&lt;Type&gt;">
    <vt:lpwstr>RR</vt:lpwstr>
  </property>
</Properties>
</file>