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045" w:rsidTr="0010095E">
        <w:trPr>
          <w:trHeight w:hRule="exact" w:val="1418"/>
        </w:trPr>
        <w:tc>
          <w:tcPr>
            <w:tcW w:w="6804" w:type="dxa"/>
            <w:shd w:val="clear" w:color="auto" w:fill="auto"/>
            <w:vAlign w:val="center"/>
          </w:tcPr>
          <w:p w:rsidR="00751A4A" w:rsidRPr="00A04045" w:rsidRDefault="00413500" w:rsidP="0010095E">
            <w:pPr>
              <w:pStyle w:val="EPName"/>
            </w:pPr>
            <w:r w:rsidRPr="00A04045">
              <w:t>Europees Parlement</w:t>
            </w:r>
          </w:p>
          <w:p w:rsidR="00751A4A" w:rsidRPr="00A04045" w:rsidRDefault="00817416" w:rsidP="00756632">
            <w:pPr>
              <w:pStyle w:val="EPTerm"/>
              <w:rPr>
                <w:rStyle w:val="HideTWBExt"/>
                <w:noProof w:val="0"/>
                <w:vanish w:val="0"/>
                <w:color w:val="auto"/>
              </w:rPr>
            </w:pPr>
            <w:r w:rsidRPr="00A04045">
              <w:t>2019-2024</w:t>
            </w:r>
          </w:p>
        </w:tc>
        <w:tc>
          <w:tcPr>
            <w:tcW w:w="2268" w:type="dxa"/>
            <w:shd w:val="clear" w:color="auto" w:fill="auto"/>
          </w:tcPr>
          <w:p w:rsidR="00751A4A" w:rsidRPr="00A04045" w:rsidRDefault="00187494" w:rsidP="0010095E">
            <w:pPr>
              <w:pStyle w:val="EPLogo"/>
            </w:pPr>
            <w:r w:rsidRPr="00A040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4045" w:rsidRDefault="00D058B8" w:rsidP="004C5D52">
      <w:pPr>
        <w:pStyle w:val="LineTop"/>
      </w:pPr>
    </w:p>
    <w:p w:rsidR="00680577" w:rsidRPr="00A04045" w:rsidRDefault="00413500" w:rsidP="00680577">
      <w:pPr>
        <w:pStyle w:val="EPBodyTA1"/>
      </w:pPr>
      <w:r w:rsidRPr="00A04045">
        <w:t>AANGENOMEN TEKSTEN</w:t>
      </w:r>
    </w:p>
    <w:p w:rsidR="00D058B8" w:rsidRPr="00A04045" w:rsidRDefault="00D058B8" w:rsidP="00D058B8">
      <w:pPr>
        <w:pStyle w:val="LineBottom"/>
      </w:pPr>
    </w:p>
    <w:p w:rsidR="00413500" w:rsidRPr="00A04045" w:rsidRDefault="00413500" w:rsidP="00413500">
      <w:pPr>
        <w:pStyle w:val="ATHeading1"/>
      </w:pPr>
      <w:bookmarkStart w:id="0" w:name="TANumber"/>
      <w:r w:rsidRPr="00A04045">
        <w:t>P9_TA(2024)0</w:t>
      </w:r>
      <w:r w:rsidR="00A04045" w:rsidRPr="00A04045">
        <w:t>173</w:t>
      </w:r>
      <w:bookmarkEnd w:id="0"/>
    </w:p>
    <w:p w:rsidR="00413500" w:rsidRPr="00A04045" w:rsidRDefault="00806473" w:rsidP="00413500">
      <w:pPr>
        <w:pStyle w:val="ATHeading2"/>
      </w:pPr>
      <w:bookmarkStart w:id="1" w:name="title"/>
      <w:r w:rsidRPr="00A04045">
        <w:t>Lancering van een Europees initiatief voor de jaarlijkse aanwijzing van Europese Kinderhoofdsteden</w:t>
      </w:r>
      <w:bookmarkEnd w:id="1"/>
    </w:p>
    <w:p w:rsidR="00413500" w:rsidRPr="00A04045" w:rsidRDefault="00413500" w:rsidP="00413500">
      <w:pPr>
        <w:rPr>
          <w:i/>
          <w:vanish/>
        </w:rPr>
      </w:pPr>
      <w:r w:rsidRPr="00A04045">
        <w:rPr>
          <w:i/>
        </w:rPr>
        <w:fldChar w:fldCharType="begin"/>
      </w:r>
      <w:r w:rsidRPr="00A04045">
        <w:rPr>
          <w:i/>
        </w:rPr>
        <w:instrText xml:space="preserve"> TC"(</w:instrText>
      </w:r>
      <w:bookmarkStart w:id="2" w:name="DocNumber"/>
      <w:r w:rsidRPr="00A04045">
        <w:rPr>
          <w:i/>
        </w:rPr>
        <w:instrText>B9-0174/2024</w:instrText>
      </w:r>
      <w:bookmarkEnd w:id="2"/>
      <w:r w:rsidRPr="00A04045">
        <w:rPr>
          <w:i/>
        </w:rPr>
        <w:instrText xml:space="preserve">)"\l3 \n&gt; \* MERGEFORMAT </w:instrText>
      </w:r>
      <w:r w:rsidRPr="00A04045">
        <w:rPr>
          <w:i/>
        </w:rPr>
        <w:fldChar w:fldCharType="end"/>
      </w:r>
    </w:p>
    <w:p w:rsidR="00413500" w:rsidRPr="00A04045" w:rsidRDefault="00413500" w:rsidP="00413500">
      <w:pPr>
        <w:rPr>
          <w:vanish/>
        </w:rPr>
      </w:pPr>
      <w:bookmarkStart w:id="3" w:name="PE"/>
      <w:r w:rsidRPr="00A04045">
        <w:rPr>
          <w:vanish/>
        </w:rPr>
        <w:t>PE760.485</w:t>
      </w:r>
      <w:bookmarkEnd w:id="3"/>
    </w:p>
    <w:p w:rsidR="00413500" w:rsidRPr="00A04045" w:rsidRDefault="00413500" w:rsidP="00413500">
      <w:pPr>
        <w:pStyle w:val="ATHeading3"/>
      </w:pPr>
      <w:bookmarkStart w:id="4" w:name="Sujet"/>
      <w:r w:rsidRPr="00A04045">
        <w:t>Resolutie van het Europees Parlement van 14 maart 2024 over de lancering van een Europees initiatief voor de jaarlijkse aanwijzing van Europese Kinderhoofdsteden</w:t>
      </w:r>
      <w:bookmarkEnd w:id="4"/>
      <w:r w:rsidRPr="00A04045">
        <w:t xml:space="preserve"> </w:t>
      </w:r>
      <w:bookmarkStart w:id="5" w:name="References"/>
      <w:r w:rsidRPr="00A04045">
        <w:t>(2024/2621(RSP))</w:t>
      </w:r>
      <w:bookmarkEnd w:id="5"/>
    </w:p>
    <w:p w:rsidR="00DF5E0E" w:rsidRPr="00A04045" w:rsidRDefault="00DF5E0E" w:rsidP="00DF5E0E">
      <w:pPr>
        <w:pStyle w:val="EPComma"/>
      </w:pPr>
      <w:bookmarkStart w:id="6" w:name="TextBodyBegin"/>
      <w:bookmarkEnd w:id="6"/>
      <w:r w:rsidRPr="00A04045">
        <w:rPr>
          <w:i/>
        </w:rPr>
        <w:t>Het Europees Parlement</w:t>
      </w:r>
      <w:r w:rsidRPr="00A04045">
        <w:t>,</w:t>
      </w:r>
      <w:bookmarkStart w:id="7" w:name="_GoBack"/>
      <w:bookmarkEnd w:id="7"/>
    </w:p>
    <w:p w:rsidR="00DF5E0E" w:rsidRPr="00A04045" w:rsidRDefault="00DF5E0E" w:rsidP="00DF5E0E">
      <w:pPr>
        <w:pStyle w:val="NormalHanging12a"/>
        <w:rPr>
          <w:shd w:val="clear" w:color="auto" w:fill="FFFFFF"/>
        </w:rPr>
      </w:pPr>
      <w:r w:rsidRPr="00A04045">
        <w:rPr>
          <w:snapToGrid w:val="0"/>
        </w:rPr>
        <w:t>–</w:t>
      </w:r>
      <w:r w:rsidRPr="00A04045">
        <w:rPr>
          <w:snapToGrid w:val="0"/>
        </w:rPr>
        <w:tab/>
      </w:r>
      <w:r w:rsidRPr="00A04045">
        <w:t>gezien artikel 3, lid 3, van het Verdrag betreffende de Europese Unie en artikel 9 van het Verdrag betreffende de werking van de Europese Unie,</w:t>
      </w:r>
    </w:p>
    <w:p w:rsidR="00DF5E0E" w:rsidRPr="00A04045" w:rsidRDefault="00DF5E0E" w:rsidP="00DF5E0E">
      <w:pPr>
        <w:pStyle w:val="NormalHanging12a"/>
      </w:pPr>
      <w:r w:rsidRPr="00A04045">
        <w:rPr>
          <w:snapToGrid w:val="0"/>
        </w:rPr>
        <w:t>–</w:t>
      </w:r>
      <w:r w:rsidRPr="00A04045">
        <w:rPr>
          <w:snapToGrid w:val="0"/>
        </w:rPr>
        <w:tab/>
      </w:r>
      <w:r w:rsidRPr="00A04045">
        <w:t>gezien artikel 24 van het Handvest van de grondrechten van de Europese Unie,</w:t>
      </w:r>
    </w:p>
    <w:p w:rsidR="00DF5E0E" w:rsidRPr="00A04045" w:rsidRDefault="00DF5E0E" w:rsidP="00DF5E0E">
      <w:pPr>
        <w:pStyle w:val="NormalHanging12a"/>
      </w:pPr>
      <w:r w:rsidRPr="00A04045">
        <w:rPr>
          <w:snapToGrid w:val="0"/>
        </w:rPr>
        <w:t>–</w:t>
      </w:r>
      <w:r w:rsidRPr="00A04045">
        <w:rPr>
          <w:snapToGrid w:val="0"/>
        </w:rPr>
        <w:tab/>
      </w:r>
      <w:r w:rsidRPr="00A04045">
        <w:t>gezien het VN-Verdrag inzake de rechten van het kind,</w:t>
      </w:r>
    </w:p>
    <w:p w:rsidR="00DF5E0E" w:rsidRPr="00A04045" w:rsidRDefault="00DF5E0E" w:rsidP="00DF5E0E">
      <w:pPr>
        <w:pStyle w:val="NormalHanging12a"/>
      </w:pPr>
      <w:r w:rsidRPr="00A04045">
        <w:rPr>
          <w:snapToGrid w:val="0"/>
        </w:rPr>
        <w:t>–</w:t>
      </w:r>
      <w:r w:rsidRPr="00A04045">
        <w:rPr>
          <w:snapToGrid w:val="0"/>
        </w:rPr>
        <w:tab/>
      </w:r>
      <w:r w:rsidRPr="00A04045">
        <w:t>gezien de EU-Agenda voor de rechten van het kind (COM(2011)0060),</w:t>
      </w:r>
    </w:p>
    <w:p w:rsidR="00DF5E0E" w:rsidRPr="00A04045" w:rsidRDefault="00DF5E0E" w:rsidP="00DF5E0E">
      <w:pPr>
        <w:pStyle w:val="NormalHanging12a"/>
      </w:pPr>
      <w:r w:rsidRPr="00A04045">
        <w:rPr>
          <w:snapToGrid w:val="0"/>
        </w:rPr>
        <w:t>–</w:t>
      </w:r>
      <w:r w:rsidRPr="00A04045">
        <w:rPr>
          <w:snapToGrid w:val="0"/>
        </w:rPr>
        <w:tab/>
      </w:r>
      <w:r w:rsidRPr="00A04045">
        <w:t>gezien de EU-strategie voor de rechten van het kind (COM(2021)0142),</w:t>
      </w:r>
    </w:p>
    <w:p w:rsidR="00DF5E0E" w:rsidRPr="00A04045" w:rsidRDefault="00DF5E0E" w:rsidP="00DF5E0E">
      <w:pPr>
        <w:pStyle w:val="NormalHanging12a"/>
      </w:pPr>
      <w:r w:rsidRPr="00A04045">
        <w:rPr>
          <w:snapToGrid w:val="0"/>
        </w:rPr>
        <w:t>–</w:t>
      </w:r>
      <w:r w:rsidRPr="00A04045">
        <w:rPr>
          <w:snapToGrid w:val="0"/>
        </w:rPr>
        <w:tab/>
      </w:r>
      <w:r w:rsidRPr="00A04045">
        <w:rPr>
          <w:shd w:val="clear" w:color="auto" w:fill="FFFFFF"/>
        </w:rPr>
        <w:t>gezien het herzien Europees handvest van de Raad van Europa over de deelname van jongeren aan het lokale en regionale leven,</w:t>
      </w:r>
    </w:p>
    <w:p w:rsidR="00DF5E0E" w:rsidRPr="00A04045" w:rsidRDefault="00DF5E0E" w:rsidP="00DF5E0E">
      <w:pPr>
        <w:pStyle w:val="NormalHanging12a"/>
        <w:rPr>
          <w:shd w:val="clear" w:color="auto" w:fill="FFFFFF"/>
        </w:rPr>
      </w:pPr>
      <w:r w:rsidRPr="00A04045">
        <w:rPr>
          <w:shd w:val="clear" w:color="auto" w:fill="FFFFFF"/>
        </w:rPr>
        <w:t>–</w:t>
      </w:r>
      <w:r w:rsidRPr="00A04045">
        <w:rPr>
          <w:shd w:val="clear" w:color="auto" w:fill="FFFFFF"/>
        </w:rPr>
        <w:tab/>
        <w:t>gezien de resolutie van de Algemene Vergadering van de VN over de rechten van het kind,</w:t>
      </w:r>
    </w:p>
    <w:p w:rsidR="00DF5E0E" w:rsidRPr="00A04045" w:rsidRDefault="00DF5E0E" w:rsidP="00DF5E0E">
      <w:pPr>
        <w:pStyle w:val="NormalHanging12a"/>
      </w:pPr>
      <w:r w:rsidRPr="00A04045">
        <w:t>–</w:t>
      </w:r>
      <w:r w:rsidRPr="00A04045">
        <w:tab/>
        <w:t>gezien artikel 132, lid 2, van zijn Reglement,</w:t>
      </w:r>
    </w:p>
    <w:p w:rsidR="00DF5E0E" w:rsidRPr="00A04045" w:rsidRDefault="00DF5E0E" w:rsidP="00DF5E0E">
      <w:pPr>
        <w:pStyle w:val="NormalHanging12a"/>
      </w:pPr>
      <w:r w:rsidRPr="00A04045">
        <w:t>A.</w:t>
      </w:r>
      <w:r w:rsidRPr="00A04045">
        <w:rPr>
          <w:snapToGrid w:val="0"/>
        </w:rPr>
        <w:tab/>
      </w:r>
      <w:r w:rsidRPr="00A04045">
        <w:t>overwegende dat de rechten van het kind mensenrechten zijn; overwegende dat elk kind dezelfde rechten moet genieten en moet kunnen leven zonder op welke manier dan ook te worden gediscrimineerd of geïntimideerd;</w:t>
      </w:r>
    </w:p>
    <w:p w:rsidR="00DF5E0E" w:rsidRPr="00A04045" w:rsidRDefault="00DF5E0E" w:rsidP="00DF5E0E">
      <w:pPr>
        <w:pStyle w:val="NormalHanging12a"/>
        <w:rPr>
          <w:bCs/>
        </w:rPr>
      </w:pPr>
      <w:r w:rsidRPr="00A04045">
        <w:rPr>
          <w:snapToGrid w:val="0"/>
        </w:rPr>
        <w:t>B.</w:t>
      </w:r>
      <w:r w:rsidRPr="00A04045">
        <w:rPr>
          <w:snapToGrid w:val="0"/>
        </w:rPr>
        <w:tab/>
      </w:r>
      <w:r w:rsidRPr="00A04045">
        <w:t>overwegende dat de bescherming en bevordering van de rechten van het kind een kerndoelstelling van de EU is; overwegende dat de EU ernaar streeft kinderen een zo goed mogelijk leven te bieden, zowel in de EU als wereldwijd;</w:t>
      </w:r>
    </w:p>
    <w:p w:rsidR="00DF5E0E" w:rsidRPr="00A04045" w:rsidRDefault="00DF5E0E" w:rsidP="00DF5E0E">
      <w:pPr>
        <w:pStyle w:val="NormalHanging12a"/>
      </w:pPr>
      <w:r w:rsidRPr="00A04045">
        <w:rPr>
          <w:snapToGrid w:val="0"/>
        </w:rPr>
        <w:t>C.</w:t>
      </w:r>
      <w:r w:rsidRPr="00A04045">
        <w:rPr>
          <w:snapToGrid w:val="0"/>
        </w:rPr>
        <w:tab/>
      </w:r>
      <w:r w:rsidRPr="00A04045">
        <w:t xml:space="preserve">overwegende dat kinderen een cruciale rol spelen in onze samenlevingen; overwegende dat kinderen actief betrokken moeten worden bij het vormgeven en bouwen van kindvriendelijke steden om te bevorderen dat hun rechten op alle niveaus volledig worden gerealiseerd; overwegende dat kinderen een essentiële rol spelen bij de </w:t>
      </w:r>
      <w:r w:rsidRPr="00A04045">
        <w:lastRenderedPageBreak/>
        <w:t>bewustwording omtrent milieuproblemen en klimaatverandering, de digitale transformatie, online veiligheid, discriminatie en onrechtvaardigheid; overwegende dat kinderen niet alleen de jongeren van vandaag vertegenwoordigen, maar ook de leiders van morgen;</w:t>
      </w:r>
    </w:p>
    <w:p w:rsidR="00DF5E0E" w:rsidRPr="00A04045" w:rsidRDefault="00DF5E0E" w:rsidP="00DF5E0E">
      <w:pPr>
        <w:pStyle w:val="NormalHanging12a"/>
      </w:pPr>
      <w:r w:rsidRPr="00A04045">
        <w:rPr>
          <w:snapToGrid w:val="0"/>
        </w:rPr>
        <w:t>D.</w:t>
      </w:r>
      <w:r w:rsidRPr="00A04045">
        <w:rPr>
          <w:snapToGrid w:val="0"/>
        </w:rPr>
        <w:tab/>
      </w:r>
      <w:r w:rsidRPr="00A04045">
        <w:t>overwegende dat kinderen recht moeten hebben op een zo goed mogelijke start van hun leven en op volledige ontplooiing; overwegende dat dit het recht omvat om op een schone en gezonde planeet te leven, in een beschermende en zorgende omgeving, naast het recht op hoogwaardig onderwijs en op toegang tot kindvriendelijke recreatieve, culturele en artistieke activiteiten;</w:t>
      </w:r>
    </w:p>
    <w:p w:rsidR="00DF5E0E" w:rsidRPr="00A04045" w:rsidRDefault="00DF5E0E" w:rsidP="00DF5E0E">
      <w:pPr>
        <w:pStyle w:val="NormalHanging12a"/>
      </w:pPr>
      <w:r w:rsidRPr="00A04045">
        <w:rPr>
          <w:snapToGrid w:val="0"/>
        </w:rPr>
        <w:t>E.</w:t>
      </w:r>
      <w:r w:rsidRPr="00A04045">
        <w:rPr>
          <w:snapToGrid w:val="0"/>
        </w:rPr>
        <w:tab/>
      </w:r>
      <w:r w:rsidRPr="00A04045">
        <w:t>overwegende dat toegang tot onderwijs een fundamenteel mensenrecht is; overwegende dat het voor de bevordering van gelijke kansen en de individuele ontplooiing van talenten en mogelijkheden noodzakelijk is dat kinderen toegang hebben tot formeel, niet-formeel en informeel onderwijs;</w:t>
      </w:r>
    </w:p>
    <w:p w:rsidR="00DF5E0E" w:rsidRPr="00A04045" w:rsidRDefault="00DF5E0E" w:rsidP="00DF5E0E">
      <w:pPr>
        <w:pStyle w:val="NormalHanging12a"/>
      </w:pPr>
      <w:r w:rsidRPr="00A04045">
        <w:rPr>
          <w:snapToGrid w:val="0"/>
        </w:rPr>
        <w:t>F.</w:t>
      </w:r>
      <w:r w:rsidRPr="00A04045">
        <w:rPr>
          <w:snapToGrid w:val="0"/>
        </w:rPr>
        <w:tab/>
      </w:r>
      <w:r w:rsidRPr="00A04045">
        <w:t>overwegende dat de EU en haar lidstaten zich gezamenlijk sterk moeten maken om hun gedeelde verantwoordelijkheid voor de eerbiediging en bescherming van de rechten van ieder kind na te komen en samen met kinderen moeten bouwen aan meer inclusieve, gezondere en eerlijkere samenlevingen;</w:t>
      </w:r>
    </w:p>
    <w:p w:rsidR="00DF5E0E" w:rsidRPr="00A04045" w:rsidRDefault="00DF5E0E" w:rsidP="00DF5E0E">
      <w:pPr>
        <w:pStyle w:val="NormalHanging12a"/>
      </w:pPr>
      <w:r w:rsidRPr="00A04045">
        <w:rPr>
          <w:snapToGrid w:val="0"/>
        </w:rPr>
        <w:t>G.</w:t>
      </w:r>
      <w:r w:rsidRPr="00A04045">
        <w:rPr>
          <w:snapToGrid w:val="0"/>
        </w:rPr>
        <w:tab/>
      </w:r>
      <w:r w:rsidRPr="00A04045">
        <w:t>overwegende dat alle kinderen recht hebben op bescherming tegen armoede en sociale uitsluiting; overwegende dat de Europese kindergarantie een EU-instrument is dat tot doel heeft sociale uitsluiting te voorkomen en te bestrijden door te zorgen voor vrije en doeltreffende toegang tot essentiële zorgdiensten voor kinderen in nood, zoals voor- en vroegschoolse educatie en opvang, onderwijs- en schoolactiviteiten, gezondheidszorg en ten minste één gezonde maaltijd per schooldag, alsmede tot gezonde voeding en adequate huisvesting;</w:t>
      </w:r>
    </w:p>
    <w:p w:rsidR="00DF5E0E" w:rsidRPr="00A04045" w:rsidRDefault="00DF5E0E" w:rsidP="00DF5E0E">
      <w:pPr>
        <w:pStyle w:val="NormalHanging12a"/>
      </w:pPr>
      <w:r w:rsidRPr="00A04045">
        <w:t>H.</w:t>
      </w:r>
      <w:r w:rsidRPr="00A04045">
        <w:tab/>
        <w:t>overwegende dat alle gezinnen en gemeenschappen de nodige steun moeten krijgen om het welzijn en de ontwikkeling van hun kinderen te waarborgen;</w:t>
      </w:r>
    </w:p>
    <w:p w:rsidR="00DF5E0E" w:rsidRPr="00A04045" w:rsidRDefault="00DF5E0E" w:rsidP="00DF5E0E">
      <w:pPr>
        <w:pStyle w:val="NormalHanging12a"/>
      </w:pPr>
      <w:r w:rsidRPr="00A04045">
        <w:t>I.</w:t>
      </w:r>
      <w:r w:rsidRPr="00A04045">
        <w:tab/>
        <w:t>overwegende dat kinderen, om deze doelstellingen te kunnen verwezenlijken, de kans moeten krijgen om elkaar regelmatig op te zoeken, elkaar te leren kennen en beter te leren begrijpen, en zo deel te nemen aan het vormgeven van de toekomst van het Europese project;</w:t>
      </w:r>
    </w:p>
    <w:p w:rsidR="00DF5E0E" w:rsidRPr="00A04045" w:rsidRDefault="00DF5E0E" w:rsidP="00DF5E0E">
      <w:pPr>
        <w:pStyle w:val="NormalHanging12a"/>
      </w:pPr>
      <w:r w:rsidRPr="00A04045">
        <w:t>J.</w:t>
      </w:r>
      <w:r w:rsidRPr="00A04045">
        <w:tab/>
        <w:t>overwegende dat de Europese Jongerenhoofdstad in 2009 is ingevoerd; overwegende dat adequate EU-financiering ervoor kan zorgen dat het volledige potentieel van de Jongerenhoofdstad wordt benut; overwegende dat de Europese Kinderhoofdsteden een aanvulling moeten vormen op en hand in hand moeten gaan met de Europese Jongerenhoofdstad;</w:t>
      </w:r>
    </w:p>
    <w:p w:rsidR="00DF5E0E" w:rsidRPr="00A04045" w:rsidRDefault="00DF5E0E" w:rsidP="00DF5E0E">
      <w:pPr>
        <w:pStyle w:val="NormalHanging12a"/>
      </w:pPr>
      <w:r w:rsidRPr="00A04045">
        <w:t>K.</w:t>
      </w:r>
      <w:r w:rsidRPr="00A04045">
        <w:tab/>
        <w:t>overwegende dat verder onderzoek en evaluaties nodig zijn om dit initiatief verder te ontwikkelen; overwegende dat de inbreng van lokale autoriteiten en niet-gouvernementele organisaties die zich inzetten voor kinderrechten van fundamenteel belang is voor de vormgeving ervan;</w:t>
      </w:r>
    </w:p>
    <w:p w:rsidR="00DF5E0E" w:rsidRPr="00A04045" w:rsidRDefault="00DF5E0E" w:rsidP="00DF5E0E">
      <w:pPr>
        <w:pStyle w:val="NormalHanging12a"/>
      </w:pPr>
      <w:r w:rsidRPr="00A04045">
        <w:t>1.</w:t>
      </w:r>
      <w:r w:rsidRPr="00A04045">
        <w:tab/>
        <w:t xml:space="preserve">verzoekt de Commissie na te gaan of het mogelijk is een Europees initiatief op te zetten om jaarlijks Europese Kinderhoofdsteden aan te wijzen, in samenwerking met lokale autoriteiten en maatschappelijke organisaties die worden geleid door of werken met </w:t>
      </w:r>
      <w:r w:rsidRPr="00A04045">
        <w:lastRenderedPageBreak/>
        <w:t>kinderen;</w:t>
      </w:r>
    </w:p>
    <w:p w:rsidR="00DF5E0E" w:rsidRPr="00A04045" w:rsidRDefault="00DF5E0E" w:rsidP="00DF5E0E">
      <w:pPr>
        <w:pStyle w:val="NormalHanging12a"/>
      </w:pPr>
      <w:r w:rsidRPr="00A04045">
        <w:t>2.</w:t>
      </w:r>
      <w:r w:rsidRPr="00A04045">
        <w:tab/>
        <w:t>is van mening dat de Europese Kinderhoofdsteden moeten bijdragen aan de totstandkoming van een verantwoord kinderbeleid, waarbij kinderen worden betrokken en rekening wordt gehouden met hun standpunten, met name op het gebied van gelijke kansen, gezonde groei en toegang tot kwaliteitsonderwijs, een schoon milieu en stedelijke ontwikkeling;</w:t>
      </w:r>
    </w:p>
    <w:p w:rsidR="00DF5E0E" w:rsidRPr="00A04045" w:rsidRDefault="00DF5E0E" w:rsidP="00DF5E0E">
      <w:pPr>
        <w:pStyle w:val="NormalHanging12a"/>
      </w:pPr>
      <w:r w:rsidRPr="00A04045">
        <w:t>3.</w:t>
      </w:r>
      <w:r w:rsidRPr="00A04045">
        <w:tab/>
        <w:t>onderstreept dat de Europese Kinderhoofdsteden tot doel moeten hebben om kinderen in de lidstaten dichter bij elkaar te brengen en hen te helpen elkaar beter te begrijpen;</w:t>
      </w:r>
    </w:p>
    <w:p w:rsidR="00DF5E0E" w:rsidRPr="00A04045" w:rsidRDefault="00DF5E0E" w:rsidP="00DF5E0E">
      <w:pPr>
        <w:pStyle w:val="NormalHanging12a"/>
      </w:pPr>
      <w:r w:rsidRPr="00A04045">
        <w:t>4.</w:t>
      </w:r>
      <w:r w:rsidRPr="00A04045">
        <w:tab/>
        <w:t>is van mening dat het bevorderen van een beter begrip tussen mensen en verschillende culturen vanaf jonge leeftijd helpt om vooroordelen en stereotypen te doorbreken en de interculturele dialoog te bevorderen, wat een essentieel aspect is van de EU en haar waarden en doelstellingen;</w:t>
      </w:r>
    </w:p>
    <w:p w:rsidR="00DF5E0E" w:rsidRPr="00A04045" w:rsidRDefault="00DF5E0E" w:rsidP="00DF5E0E">
      <w:pPr>
        <w:pStyle w:val="NormalHanging12a"/>
      </w:pPr>
      <w:r w:rsidRPr="00A04045">
        <w:t>5.</w:t>
      </w:r>
      <w:r w:rsidRPr="00A04045">
        <w:tab/>
        <w:t>is van mening dat kinderen, via kinderorganisaties en -clubs, moeten kunnen deelnemen aan de organisatie van de Europese Kinderhoofdsteden; benadrukt dat dit kan bijdragen aan de bevordering van de rechten van het kind, en is van mening dat de participatie van kinderen aan maatschappelijke processen en het onderwijs inzake Europees burgerschap vanaf jonge leeftijd gestimuleerd moeten worden, omdat daarmee wordt bijgedragen aan het begrip van jongeren en volwassenen van de waarden, doelstellingen en geschiedenis van de EU en van de Europese identiteit;</w:t>
      </w:r>
    </w:p>
    <w:p w:rsidR="00DF5E0E" w:rsidRPr="00A04045" w:rsidRDefault="00DF5E0E" w:rsidP="00DF5E0E">
      <w:pPr>
        <w:pStyle w:val="NormalHanging12a"/>
      </w:pPr>
      <w:r w:rsidRPr="00A04045">
        <w:t>6.</w:t>
      </w:r>
      <w:r w:rsidRPr="00A04045">
        <w:tab/>
        <w:t>benadrukt dat de Europese Kinderhoofdsteden sociale inclusie, toegankelijkheid en gelijke kansen voor kinderen moeten bevorderen en dat alles in het werk moet worden gesteld om te zorgen voor een zo breed mogelijke betrokkenheid van alle geledingen van het maatschappelijk middenveld bij de voorbereiding en uitvoering van het initiatief, met bijzondere aandacht voor kansarme kinderen en de meest kwetsbare groepen;</w:t>
      </w:r>
    </w:p>
    <w:p w:rsidR="00DF5E0E" w:rsidRPr="00A04045" w:rsidRDefault="00DF5E0E" w:rsidP="00DF5E0E">
      <w:pPr>
        <w:pStyle w:val="NormalHanging12a"/>
      </w:pPr>
      <w:r w:rsidRPr="00A04045">
        <w:t>7.</w:t>
      </w:r>
      <w:r w:rsidRPr="00A04045">
        <w:tab/>
        <w:t>is van mening dat de Europese Kinderhoofdsteden kunnen bijdragen aan de bestrijding van kinderarmoede, het uitvoeren van een alomvattend onderzoek naar de levensomstandigheden van kinderen en de doeltreffende tenuitvoerlegging van de Europese kindergarantie door de lidstaten, door ten volle gebruik te maken van de beschikbare middelen op nationaal en EU-niveau; is van mening dat dit kan worden bereikt door de uitwisseling van beste praktijken tussen maatschappelijke organisaties, met name organisaties voor kinderen, alsook ouders, steden, lokale overheden en lidstaten, en door alle relevante belanghebbenden hierbij te betrekken; pleit nogmaals voor een verhoging, op korte termijn, van de financiering voor de Europese kindergarantie, in die zin dat er wordt voorzien in een specifieke begrotingslijn voor de Europese kindergarantie ter hoogte van 20 miljard EUR;</w:t>
      </w:r>
    </w:p>
    <w:p w:rsidR="00DF5E0E" w:rsidRPr="00A04045" w:rsidRDefault="00DF5E0E" w:rsidP="00DF5E0E">
      <w:pPr>
        <w:pStyle w:val="NormalHanging12a"/>
      </w:pPr>
      <w:r w:rsidRPr="00A04045">
        <w:t>8.</w:t>
      </w:r>
      <w:r w:rsidRPr="00A04045">
        <w:tab/>
        <w:t>is van mening dat de Europese Kinderhoofdsteden de gelegenheid moeten bieden om aan de EU gerelateerde educatieve, culturele en sportevenementen te organiseren, bijvoorbeeld in de vorm van workshops over onderwerpen die verband houden met het dagelijks leven, de bestrijding van discriminatie, seksueel misbruik van kinderen, armoede, sociale uitsluiting, gendergelijkheid, de digitale wereld, klimaatbescherming, mobiliteit, stadsontwikkeling, democratie, geschiedenis en vrijheid van godsdienst en overtuiging;</w:t>
      </w:r>
    </w:p>
    <w:p w:rsidR="00DF5E0E" w:rsidRPr="00A04045" w:rsidRDefault="00DF5E0E" w:rsidP="00DF5E0E">
      <w:pPr>
        <w:pStyle w:val="NormalHanging12a"/>
      </w:pPr>
      <w:r w:rsidRPr="00A04045">
        <w:lastRenderedPageBreak/>
        <w:t>9.</w:t>
      </w:r>
      <w:r w:rsidRPr="00A04045">
        <w:tab/>
        <w:t>wijst erop dat het belangrijk is rekening te houden met de belangen van kinderen bij de digitale transformatie en bij alle maatregelen en besluiten op dit gebied die hen betreffen, met name hun lichamelijke en geestelijke gezondheid en veiligheid en hun welzijn, en tegelijkertijd digitaal onderwijs te bevorderen en de digitale geletterdheid te verbeteren;</w:t>
      </w:r>
    </w:p>
    <w:p w:rsidR="00DF5E0E" w:rsidRPr="00A04045" w:rsidRDefault="00DF5E0E" w:rsidP="00DF5E0E">
      <w:pPr>
        <w:pStyle w:val="NormalHanging12a"/>
      </w:pPr>
      <w:r w:rsidRPr="00A04045">
        <w:t>10.</w:t>
      </w:r>
      <w:r w:rsidRPr="00A04045">
        <w:tab/>
        <w:t>benadrukt dat de jaarlijkse aanwijzing van de Europese Kinderhoofdstad, waarbij kinderen een voortrekkersrol spelen en in staat worden gesteld actief deel te nemen aan discussies als partners en toekomstige besluitvormers, ertoe zal bijdragen dat kinderen opgroeien tot volwassenen met een open instelling;</w:t>
      </w:r>
    </w:p>
    <w:p w:rsidR="00DF5E0E" w:rsidRPr="00A04045" w:rsidRDefault="00DF5E0E" w:rsidP="00DF5E0E">
      <w:pPr>
        <w:pStyle w:val="NormalHanging12a"/>
      </w:pPr>
      <w:r w:rsidRPr="00A04045">
        <w:t>11.</w:t>
      </w:r>
      <w:r w:rsidRPr="00A04045">
        <w:tab/>
        <w:t>is van mening dat de Europese Kinderhoofdsteden ertoe zullen bijdragen om bestaande mechanismen voor kinderparticipatie op lokaal, nationaal en EU-niveau met elkaar te verbinden, met inbegrip van het EU-platform voor kinderparticipatie</w:t>
      </w:r>
      <w:r w:rsidRPr="00A04045">
        <w:rPr>
          <w:rStyle w:val="FootnoteReference"/>
          <w:color w:val="000000"/>
        </w:rPr>
        <w:footnoteReference w:id="1"/>
      </w:r>
      <w:r w:rsidRPr="00A04045">
        <w:t xml:space="preserve"> en de Europese Jongerenhoofdstad, en kinderen zullen betrekken bij de besluitvormingsprocessen;</w:t>
      </w:r>
    </w:p>
    <w:p w:rsidR="00DF5E0E" w:rsidRPr="00A04045" w:rsidRDefault="00DF5E0E" w:rsidP="00DF5E0E">
      <w:pPr>
        <w:pStyle w:val="NormalHanging12a"/>
      </w:pPr>
      <w:r w:rsidRPr="00A04045">
        <w:t>12.</w:t>
      </w:r>
      <w:r w:rsidRPr="00A04045">
        <w:tab/>
      </w:r>
      <w:r w:rsidRPr="00A04045">
        <w:rPr>
          <w:shd w:val="clear" w:color="auto" w:fill="FFFFFF"/>
        </w:rPr>
        <w:t>verzoekt zijn Voorzitter deze resolutie te doen toekomen aan de Raad, de Commissie, de regeringen en parlementen van de lidstaten en de vicevoorzitter van de Commissie/hoge vertegenwoordiger van de Unie voor buitenlandse zaken en veiligheidsbeleid.</w:t>
      </w:r>
    </w:p>
    <w:p w:rsidR="00DF5E0E" w:rsidRPr="00A04045" w:rsidRDefault="00DF5E0E" w:rsidP="00DF5E0E"/>
    <w:p w:rsidR="00E365E1" w:rsidRPr="00A04045" w:rsidRDefault="00E365E1" w:rsidP="00413500">
      <w:bookmarkStart w:id="8" w:name="TextBodyEnd"/>
      <w:bookmarkEnd w:id="8"/>
    </w:p>
    <w:sectPr w:rsidR="00E365E1" w:rsidRPr="00A04045" w:rsidSect="008013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500" w:rsidRPr="008013FD" w:rsidRDefault="00413500">
      <w:r w:rsidRPr="008013FD">
        <w:separator/>
      </w:r>
    </w:p>
  </w:endnote>
  <w:endnote w:type="continuationSeparator" w:id="0">
    <w:p w:rsidR="00413500" w:rsidRPr="008013FD" w:rsidRDefault="00413500">
      <w:r w:rsidRPr="00801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3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3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3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500" w:rsidRPr="008013FD" w:rsidRDefault="00413500">
      <w:r w:rsidRPr="008013FD">
        <w:separator/>
      </w:r>
    </w:p>
  </w:footnote>
  <w:footnote w:type="continuationSeparator" w:id="0">
    <w:p w:rsidR="00413500" w:rsidRPr="008013FD" w:rsidRDefault="00413500">
      <w:r w:rsidRPr="008013FD">
        <w:continuationSeparator/>
      </w:r>
    </w:p>
  </w:footnote>
  <w:footnote w:id="1">
    <w:p w:rsidR="00DF5E0E" w:rsidRPr="008013FD" w:rsidRDefault="00DF5E0E" w:rsidP="008013FD">
      <w:pPr>
        <w:pStyle w:val="FootnoteText"/>
        <w:ind w:left="567" w:hanging="567"/>
        <w:rPr>
          <w:sz w:val="24"/>
          <w:lang w:val="nl-NL"/>
        </w:rPr>
      </w:pPr>
      <w:r w:rsidRPr="008013FD">
        <w:rPr>
          <w:rStyle w:val="FootnoteReference"/>
          <w:sz w:val="24"/>
          <w:lang w:val="nl-NL"/>
        </w:rPr>
        <w:footnoteRef/>
      </w:r>
      <w:r w:rsidR="008013FD" w:rsidRPr="008013FD">
        <w:rPr>
          <w:sz w:val="24"/>
          <w:lang w:val="nl-NL"/>
        </w:rPr>
        <w:t xml:space="preserve"> </w:t>
      </w:r>
      <w:r w:rsidR="008013FD" w:rsidRPr="008013FD">
        <w:rPr>
          <w:sz w:val="24"/>
          <w:lang w:val="nl-NL"/>
        </w:rPr>
        <w:tab/>
      </w:r>
      <w:hyperlink r:id="rId1" w:history="1">
        <w:r w:rsidRPr="008013FD">
          <w:rPr>
            <w:rStyle w:val="Hyperlink"/>
            <w:sz w:val="24"/>
            <w:lang w:val="nl-NL"/>
          </w:rPr>
          <w:t>https://eu-for children.europa.eu</w:t>
        </w:r>
      </w:hyperlink>
      <w:r w:rsidRPr="008013FD">
        <w:rPr>
          <w:sz w:val="24"/>
          <w:lang w:val="nl-NL"/>
        </w:rPr>
        <w:t xml:space="preserve"> - Dit </w:t>
      </w:r>
      <w:hyperlink r:id="rId2" w:history="1">
        <w:r w:rsidRPr="008013FD">
          <w:rPr>
            <w:rStyle w:val="Hyperlink"/>
            <w:sz w:val="24"/>
            <w:lang w:val="nl-NL"/>
          </w:rPr>
          <w:t>EU-platform</w:t>
        </w:r>
      </w:hyperlink>
      <w:r w:rsidRPr="008013FD">
        <w:rPr>
          <w:sz w:val="24"/>
          <w:lang w:val="nl-NL"/>
        </w:rPr>
        <w:t xml:space="preserve"> is opgericht in overeenstemming met de EU-strategie voor de rechten van het kind.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3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3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3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NL"/>
    <w:docVar w:name="dvnumam" w:val="0"/>
    <w:docVar w:name="dvpe" w:val="760.485"/>
    <w:docVar w:name="dvtitre" w:val="Resolutie van het Europees Parlement van 14 maart 2024 over de lancering van een Europees initiatief voor de jaarlijkse aanwijzing van Europese Kinderhoofdsteden(2024/2621(RSP))"/>
  </w:docVars>
  <w:rsids>
    <w:rsidRoot w:val="0041350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500"/>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13FD"/>
    <w:rsid w:val="00806473"/>
    <w:rsid w:val="00817416"/>
    <w:rsid w:val="00842779"/>
    <w:rsid w:val="00865F67"/>
    <w:rsid w:val="00881A7B"/>
    <w:rsid w:val="008840E5"/>
    <w:rsid w:val="00887B3E"/>
    <w:rsid w:val="008C2AC6"/>
    <w:rsid w:val="00930C23"/>
    <w:rsid w:val="0093193B"/>
    <w:rsid w:val="009509D8"/>
    <w:rsid w:val="00950B64"/>
    <w:rsid w:val="00981893"/>
    <w:rsid w:val="00A0404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E0E"/>
    <w:rsid w:val="00E365E1"/>
    <w:rsid w:val="00E820A4"/>
    <w:rsid w:val="00EB006A"/>
    <w:rsid w:val="00EB4772"/>
    <w:rsid w:val="00ED169E"/>
    <w:rsid w:val="00ED4235"/>
    <w:rsid w:val="00F0244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8F893"/>
  <w15:chartTrackingRefBased/>
  <w15:docId w15:val="{E3BA403C-7014-4365-BFD3-1270740E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5E0E"/>
    <w:pPr>
      <w:spacing w:before="480" w:after="240"/>
    </w:pPr>
  </w:style>
  <w:style w:type="paragraph" w:customStyle="1" w:styleId="NormalHanging12a">
    <w:name w:val="NormalHanging12a"/>
    <w:basedOn w:val="Normal"/>
    <w:rsid w:val="00DF5E0E"/>
    <w:pPr>
      <w:spacing w:after="240"/>
      <w:ind w:left="567" w:hanging="567"/>
    </w:pPr>
  </w:style>
  <w:style w:type="character" w:styleId="Hyperlink">
    <w:name w:val="Hyperlink"/>
    <w:basedOn w:val="DefaultParagraphFont"/>
    <w:uiPriority w:val="99"/>
    <w:unhideWhenUsed/>
    <w:rsid w:val="00DF5E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2BDF7-1886-4BD2-BCF0-6D41E2B1C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1339</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2024-03-14T12:35:00Z</dcterms:created>
  <dcterms:modified xsi:type="dcterms:W3CDTF">2024-03-14T12:35:00Z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B9-0174/2024</vt:lpwstr>
  </property>
  <property fmtid="{D5CDD505-2E9C-101B-9397-08002B2CF9AE}" pid="4" name="&lt;Type&gt;">
    <vt:lpwstr>RR</vt:lpwstr>
  </property>
</Properties>
</file>