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1263" w:rsidTr="0010095E">
        <w:trPr>
          <w:trHeight w:hRule="exact" w:val="1418"/>
        </w:trPr>
        <w:tc>
          <w:tcPr>
            <w:tcW w:w="6804" w:type="dxa"/>
            <w:shd w:val="clear" w:color="auto" w:fill="auto"/>
            <w:vAlign w:val="center"/>
          </w:tcPr>
          <w:p w:rsidR="00751A4A" w:rsidRPr="00C31263" w:rsidRDefault="00C13D93" w:rsidP="0010095E">
            <w:pPr>
              <w:pStyle w:val="EPName"/>
            </w:pPr>
            <w:r w:rsidRPr="00C31263">
              <w:t>Ευρωπαϊκό Κοινοβούλιο</w:t>
            </w:r>
          </w:p>
          <w:p w:rsidR="00751A4A" w:rsidRPr="00C31263" w:rsidRDefault="00817416" w:rsidP="00756632">
            <w:pPr>
              <w:pStyle w:val="EPTerm"/>
              <w:rPr>
                <w:rStyle w:val="HideTWBExt"/>
                <w:noProof w:val="0"/>
                <w:vanish w:val="0"/>
                <w:color w:val="auto"/>
              </w:rPr>
            </w:pPr>
            <w:r w:rsidRPr="00C31263">
              <w:t>2019-2024</w:t>
            </w:r>
          </w:p>
        </w:tc>
        <w:tc>
          <w:tcPr>
            <w:tcW w:w="2268" w:type="dxa"/>
            <w:shd w:val="clear" w:color="auto" w:fill="auto"/>
          </w:tcPr>
          <w:p w:rsidR="00751A4A" w:rsidRPr="00C31263" w:rsidRDefault="00187494" w:rsidP="0010095E">
            <w:pPr>
              <w:pStyle w:val="EPLogo"/>
            </w:pPr>
            <w:r w:rsidRPr="00C312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1263" w:rsidRDefault="00D058B8" w:rsidP="004C5D52">
      <w:pPr>
        <w:pStyle w:val="LineTop"/>
      </w:pPr>
    </w:p>
    <w:p w:rsidR="00680577" w:rsidRPr="00C31263" w:rsidRDefault="00C13D93" w:rsidP="00680577">
      <w:pPr>
        <w:pStyle w:val="EPBodyTA1"/>
      </w:pPr>
      <w:r w:rsidRPr="00C31263">
        <w:t>ΚΕΙΜΕΝΑ ΠΟΥ ΕΓΚΡΙΘΗΚΑΝ</w:t>
      </w:r>
    </w:p>
    <w:p w:rsidR="00D058B8" w:rsidRPr="00C31263" w:rsidRDefault="00D058B8" w:rsidP="00D058B8">
      <w:pPr>
        <w:pStyle w:val="LineBottom"/>
      </w:pPr>
    </w:p>
    <w:p w:rsidR="00C13D93" w:rsidRPr="00C31263" w:rsidRDefault="00C13D93" w:rsidP="00C13D93">
      <w:pPr>
        <w:pStyle w:val="ATHeading1"/>
      </w:pPr>
      <w:bookmarkStart w:id="0" w:name="TANumber"/>
      <w:r w:rsidRPr="00C31263">
        <w:t>P9_TA(2024)0</w:t>
      </w:r>
      <w:r w:rsidR="00C31263" w:rsidRPr="00C31263">
        <w:t>174</w:t>
      </w:r>
      <w:bookmarkEnd w:id="0"/>
    </w:p>
    <w:p w:rsidR="00C13D93" w:rsidRPr="00C31263" w:rsidRDefault="00C13D93" w:rsidP="00C13D93">
      <w:pPr>
        <w:pStyle w:val="ATHeading2"/>
      </w:pPr>
      <w:bookmarkStart w:id="1" w:name="title"/>
      <w:r w:rsidRPr="00C31263">
        <w:t>Πολιτική συνοχής 2014-2020 – υλοποίηση και αποτελέσματα στα κράτη μέλη</w:t>
      </w:r>
      <w:bookmarkEnd w:id="1"/>
    </w:p>
    <w:p w:rsidR="00C13D93" w:rsidRPr="00C31263" w:rsidRDefault="00C13D93" w:rsidP="00C13D93">
      <w:pPr>
        <w:rPr>
          <w:i/>
          <w:vanish/>
        </w:rPr>
      </w:pPr>
      <w:r w:rsidRPr="00C31263">
        <w:rPr>
          <w:i/>
        </w:rPr>
        <w:fldChar w:fldCharType="begin"/>
      </w:r>
      <w:r w:rsidRPr="00C31263">
        <w:rPr>
          <w:i/>
        </w:rPr>
        <w:instrText xml:space="preserve"> TC"(</w:instrText>
      </w:r>
      <w:bookmarkStart w:id="2" w:name="DocNumber"/>
      <w:r w:rsidRPr="00C31263">
        <w:rPr>
          <w:i/>
        </w:rPr>
        <w:instrText>A9-0049/2024</w:instrText>
      </w:r>
      <w:bookmarkEnd w:id="2"/>
      <w:r w:rsidRPr="00C31263">
        <w:rPr>
          <w:i/>
        </w:rPr>
        <w:instrText xml:space="preserve"> - Εισηγητής: Andrey Novakov)"\l3 \n&gt; \* MERGEFORMAT </w:instrText>
      </w:r>
      <w:r w:rsidRPr="00C31263">
        <w:rPr>
          <w:i/>
        </w:rPr>
        <w:fldChar w:fldCharType="end"/>
      </w:r>
    </w:p>
    <w:p w:rsidR="00C13D93" w:rsidRPr="00C31263" w:rsidRDefault="00C13D93" w:rsidP="00C13D93">
      <w:pPr>
        <w:rPr>
          <w:vanish/>
        </w:rPr>
      </w:pPr>
      <w:bookmarkStart w:id="3" w:name="Commission"/>
      <w:r w:rsidRPr="00C31263">
        <w:rPr>
          <w:vanish/>
        </w:rPr>
        <w:t>Επιτροπή Περιφερειακής Ανάπτυξης</w:t>
      </w:r>
      <w:bookmarkEnd w:id="3"/>
    </w:p>
    <w:p w:rsidR="00C13D93" w:rsidRPr="00C31263" w:rsidRDefault="00C13D93" w:rsidP="00C13D93">
      <w:pPr>
        <w:rPr>
          <w:vanish/>
        </w:rPr>
      </w:pPr>
      <w:bookmarkStart w:id="4" w:name="PE"/>
      <w:r w:rsidRPr="00C31263">
        <w:rPr>
          <w:vanish/>
        </w:rPr>
        <w:t>PE756.089</w:t>
      </w:r>
      <w:bookmarkEnd w:id="4"/>
    </w:p>
    <w:p w:rsidR="00C13D93" w:rsidRPr="00C31263" w:rsidRDefault="00C13D93" w:rsidP="00C13D93">
      <w:pPr>
        <w:pStyle w:val="ATHeading3"/>
      </w:pPr>
      <w:bookmarkStart w:id="5" w:name="Sujet"/>
      <w:r w:rsidRPr="00C31263">
        <w:t xml:space="preserve">Ψήφισμα του Ευρωπαϊκού Κοινοβουλίου </w:t>
      </w:r>
      <w:r w:rsidR="006C0C1A" w:rsidRPr="00C31263">
        <w:t xml:space="preserve">της </w:t>
      </w:r>
      <w:r w:rsidR="00145E97" w:rsidRPr="00C31263">
        <w:t>14ης</w:t>
      </w:r>
      <w:r w:rsidR="006C0C1A" w:rsidRPr="00C31263">
        <w:t xml:space="preserve"> Μαρτίου 2024 </w:t>
      </w:r>
      <w:r w:rsidRPr="00C31263">
        <w:t>σχετικά με την πολιτική συνοχής 2014-2020 – υλοποίηση και αποτελέσματα στα κράτη μέλη</w:t>
      </w:r>
      <w:bookmarkEnd w:id="5"/>
      <w:r w:rsidRPr="00C31263">
        <w:t xml:space="preserve"> </w:t>
      </w:r>
      <w:bookmarkStart w:id="6" w:name="References"/>
      <w:r w:rsidRPr="00C31263">
        <w:t>(2023/2121(INI))</w:t>
      </w:r>
      <w:bookmarkEnd w:id="6"/>
    </w:p>
    <w:p w:rsidR="00C13D93" w:rsidRPr="00C31263" w:rsidRDefault="00C13D93" w:rsidP="00C13D93"/>
    <w:p w:rsidR="001B78F3" w:rsidRPr="00C31263" w:rsidRDefault="001B78F3" w:rsidP="001B78F3">
      <w:pPr>
        <w:pStyle w:val="NormalHanging12a"/>
        <w:rPr>
          <w:i/>
          <w:iCs/>
        </w:rPr>
      </w:pPr>
      <w:bookmarkStart w:id="7" w:name="TextBodyBegin"/>
      <w:bookmarkEnd w:id="7"/>
      <w:r w:rsidRPr="00C31263">
        <w:rPr>
          <w:i/>
        </w:rPr>
        <w:t>Το Ευρωπαϊκό Κοινοβούλιο,</w:t>
      </w:r>
    </w:p>
    <w:p w:rsidR="001B78F3" w:rsidRPr="00C31263" w:rsidRDefault="001B78F3" w:rsidP="001B78F3">
      <w:pPr>
        <w:pStyle w:val="NormalHanging12a"/>
      </w:pPr>
      <w:r w:rsidRPr="00C31263">
        <w:t>–</w:t>
      </w:r>
      <w:r w:rsidRPr="00C31263">
        <w:tab/>
        <w:t>έχοντας υπόψη τα άρθρα 174 και 349 της Συνθήκης για τη λειτουργία της Ευρωπαϊκής Ένωσης (ΣΛΕΕ),</w:t>
      </w:r>
    </w:p>
    <w:p w:rsidR="001B78F3" w:rsidRPr="00C31263" w:rsidRDefault="001B78F3" w:rsidP="001B78F3">
      <w:pPr>
        <w:pStyle w:val="NormalHanging12a"/>
      </w:pPr>
      <w:r w:rsidRPr="00C31263">
        <w:t>–</w:t>
      </w:r>
      <w:r w:rsidRPr="00C31263">
        <w:tab/>
        <w:t>έχοντας υπόψη τον κανονισμό (ΕΕ) αριθ. 1303/2013 του Ευρωπαϊκού Κοινοβουλίου και του Συμβουλίου, της 17ης Δεκεμβρίου 2013, περί καθορισμού κοινών διατάξεων για το Ευρωπαϊκό Ταμείο Περιφερειακής Ανάπτυξης, το Ευρωπαϊκό Κοινωνικό Ταμείο, το Ταμείο Συνοχής, το Ευρωπαϊκό Γεωργικό Ταμείο Αγροτικής Ανάπτυξης και το Ευρωπαϊκό Ταμείο Θάλασσας και Αλιείας και περί καθορισμού γενικών διατάξεων για το Ευρωπαϊκό Ταμείο Περιφερειακής Ανάπτυξης, το Ευρωπαϊκό Κοινωνικό Ταμείο, το Ταμείο Συνοχής και το Ευρωπαϊκό Ταμείο Θάλασσας και Αλιείας και για την κατάργηση του κανονισμού (ΕΚ) αριθ. 1083/2006</w:t>
      </w:r>
      <w:r w:rsidRPr="00C31263">
        <w:rPr>
          <w:rStyle w:val="FootnoteReference"/>
        </w:rPr>
        <w:footnoteReference w:id="1"/>
      </w:r>
      <w:r w:rsidRPr="00C31263">
        <w:t xml:space="preserve"> («κανονισμός περί κοινών διατάξεων»),</w:t>
      </w:r>
    </w:p>
    <w:p w:rsidR="001B78F3" w:rsidRPr="00C31263" w:rsidRDefault="001B78F3" w:rsidP="001B78F3">
      <w:pPr>
        <w:pStyle w:val="NormalHanging12a"/>
      </w:pPr>
      <w:r w:rsidRPr="00C31263">
        <w:t>–</w:t>
      </w:r>
      <w:r w:rsidRPr="00C31263">
        <w:tab/>
        <w:t>έχοντας υπόψη τον κανονισμό (ΕΕ) αριθ. 1301/2013 του Ευρωπαϊκού Κοινοβουλίου και του Συμβουλίου, της 17ης Δεκεμβρίου 2013, σχετικά με το Ευρωπαϊκό Ταμείο Περιφερειακής Ανάπτυξης και για τη θέσπιση ειδικών διατάξεων σχετικά με τον στόχο «Επενδύσεις στην ανάπτυξη και την απασχόληση» και για την κατάργηση του κανονισμού (ΕΚ) αριθ. 1080/2006</w:t>
      </w:r>
      <w:r w:rsidRPr="00C31263">
        <w:rPr>
          <w:rStyle w:val="FootnoteReference"/>
          <w:color w:val="000000"/>
        </w:rPr>
        <w:footnoteReference w:id="2"/>
      </w:r>
      <w:r w:rsidRPr="00C31263">
        <w:t>,</w:t>
      </w:r>
    </w:p>
    <w:p w:rsidR="001B78F3" w:rsidRPr="00C31263" w:rsidRDefault="001B78F3" w:rsidP="001B78F3">
      <w:pPr>
        <w:pStyle w:val="NormalHanging12a"/>
      </w:pPr>
      <w:r w:rsidRPr="00C31263">
        <w:t>–</w:t>
      </w:r>
      <w:r w:rsidRPr="00C31263">
        <w:tab/>
        <w:t>έχοντας υπόψη τον κανονισμό (ΕΕ) αριθ. 1300/2013 του Ευρωπαϊκού Κοινοβουλίου και του Συμβουλίου, της 17ης Δεκεμβρίου 2013, σχετικά με το Ταμείο Συνοχής και την κατάργηση του κανονισμού (ΕΚ) αριθ. 1084/2006</w:t>
      </w:r>
      <w:r w:rsidRPr="00C31263">
        <w:rPr>
          <w:rStyle w:val="FootnoteReference"/>
        </w:rPr>
        <w:footnoteReference w:id="3"/>
      </w:r>
      <w:r w:rsidRPr="00C31263">
        <w:t>,</w:t>
      </w:r>
    </w:p>
    <w:p w:rsidR="001B78F3" w:rsidRPr="00C31263" w:rsidRDefault="001B78F3" w:rsidP="001B78F3">
      <w:pPr>
        <w:pStyle w:val="NormalHanging12a"/>
      </w:pPr>
      <w:r w:rsidRPr="00C31263">
        <w:t>–</w:t>
      </w:r>
      <w:r w:rsidRPr="00C31263">
        <w:tab/>
        <w:t xml:space="preserve">έχοντας υπόψη τον κανονισμό (ΕΕ) αριθ. 1299/2013 του Ευρωπαϊκού Κοινοβουλίου </w:t>
      </w:r>
      <w:r w:rsidRPr="00C31263">
        <w:lastRenderedPageBreak/>
        <w:t>και του Συμβουλίου, της 17ης Δεκεμβρίου 2013, περί καθορισμού ειδικών διατάξεων για την υποστήριξη του στόχου της ευρωπαϊκής εδαφικής συνεργασίας από το Ευρωπαϊκό Ταμείο Περιφερειακής Ανάπτυξης</w:t>
      </w:r>
      <w:r w:rsidRPr="00C31263">
        <w:rPr>
          <w:rStyle w:val="FootnoteReference"/>
        </w:rPr>
        <w:footnoteReference w:id="4"/>
      </w:r>
      <w:r w:rsidRPr="00C31263">
        <w:t>,</w:t>
      </w:r>
    </w:p>
    <w:p w:rsidR="001B78F3" w:rsidRPr="00C31263" w:rsidRDefault="001B78F3" w:rsidP="001B78F3">
      <w:pPr>
        <w:pStyle w:val="NormalHanging12a"/>
      </w:pPr>
      <w:r w:rsidRPr="00C31263">
        <w:t>–</w:t>
      </w:r>
      <w:r w:rsidRPr="00C31263">
        <w:tab/>
        <w:t>έχοντας υπόψη τον κανονισμό (ΕΕ) αριθ. 1304/2013 του Ευρωπαϊκού Κοινοβουλίου και του Συμβουλίου, της 17ης Δεκεμβρίου 2013, για το Ευρωπαϊκό Κοινωνικό Ταμείο και την κατάργηση του κανονισμού (ΕΚ) αριθ. 1081/2006 του Συμβουλίου</w:t>
      </w:r>
      <w:r w:rsidRPr="00C31263">
        <w:rPr>
          <w:rStyle w:val="FootnoteReference"/>
        </w:rPr>
        <w:footnoteReference w:id="5"/>
      </w:r>
      <w:r w:rsidRPr="00C31263">
        <w:t>,</w:t>
      </w:r>
    </w:p>
    <w:p w:rsidR="001B78F3" w:rsidRPr="00C31263" w:rsidRDefault="001B78F3" w:rsidP="001B78F3">
      <w:pPr>
        <w:pStyle w:val="NormalHanging12a"/>
      </w:pPr>
      <w:r w:rsidRPr="00C31263">
        <w:t>–</w:t>
      </w:r>
      <w:r w:rsidRPr="00C31263">
        <w:tab/>
        <w:t>έχοντας υπόψη τον κανονισμό (ΕΕ) 2020/460 του Ευρωπαϊκού Κοινοβουλίου και του Συμβουλίου, της 30ής Μαρτίου 2020, για την τροποποίηση των κανονισμών (ΕΕ) αριθ. 1301/2013, (ΕΕ) αριθ. 1303/2013 και (ΕΕ) αριθ. 508/2014 όσον αφορά ειδικά μέτρα για την κινητοποίηση επενδύσεων στα συστήματα ιατροφαρμακευτικής περίθαλψης των κρατών μελών και σε άλλους τομείς των οικονομιών τους για την αντιμετώπιση της επιδημικής έκρηξης του COVID-19 (Πρωτοβουλία Επενδύσεων για την Αντιμετώπιση του Κορονοϊού)</w:t>
      </w:r>
      <w:r w:rsidRPr="00C31263">
        <w:rPr>
          <w:rStyle w:val="FootnoteReference"/>
          <w:rFonts w:eastAsiaTheme="majorEastAsia"/>
          <w:color w:val="000000"/>
        </w:rPr>
        <w:footnoteReference w:id="6"/>
      </w:r>
      <w:r w:rsidRPr="00C31263">
        <w:t>,</w:t>
      </w:r>
    </w:p>
    <w:p w:rsidR="001B78F3" w:rsidRPr="00C31263" w:rsidRDefault="001B78F3" w:rsidP="001B78F3">
      <w:pPr>
        <w:pStyle w:val="NormalHanging12a"/>
      </w:pPr>
      <w:r w:rsidRPr="00C31263">
        <w:t>–</w:t>
      </w:r>
      <w:r w:rsidRPr="00C31263">
        <w:tab/>
        <w:t>έχοντας υπόψη τον κανονισμό (ΕΕ) 2020/558 του Ευρωπαϊκού Κοινοβουλίου και του Συμβουλίου, της 23ης Απριλίου 2020, για την τροποποίηση των κανονισμών (ΕΕ) αριθ. 1301/2013 και (ΕΕ) αριθ. 1303/2013 όσον αφορά ειδικά μέτρα για την παροχή έκτακτης ευελιξίας στη χρήση των Ευρωπαϊκών Διαρθρωτικών και Επενδυτικών Ταμείων για την αντιμετώπιση της επιδημικής έκρηξης της COVID-19</w:t>
      </w:r>
      <w:r w:rsidRPr="00C31263">
        <w:rPr>
          <w:rStyle w:val="FootnoteReference"/>
          <w:color w:val="000000"/>
        </w:rPr>
        <w:footnoteReference w:id="7"/>
      </w:r>
      <w:r w:rsidRPr="00C31263">
        <w:t xml:space="preserve"> (Πρωτοβουλία Επενδύσεων για την Αντιμετώπιση του Κορονοϊού+),</w:t>
      </w:r>
    </w:p>
    <w:p w:rsidR="001B78F3" w:rsidRPr="00C31263" w:rsidRDefault="001B78F3" w:rsidP="001B78F3">
      <w:pPr>
        <w:pStyle w:val="NormalHanging12a"/>
      </w:pPr>
      <w:r w:rsidRPr="00C31263">
        <w:t>–</w:t>
      </w:r>
      <w:r w:rsidRPr="00C31263">
        <w:tab/>
        <w:t>έχοντας υπόψη τον κανονισμό (ΕΕ) 2022/562 του Ευρωπαϊκού Κοινοβουλίου και του Συμβουλίου, της 6ης Απριλίου 2022, για την τροποποίηση των κανονισμών (ΕΕ) αριθ. 1303/2013 και (ΕΕ) αριθ. 223/2014 όσον αφορά τη δράση συνοχής για τους πρόσφυγες στην Ευρώπη (CARE)</w:t>
      </w:r>
      <w:r w:rsidRPr="00C31263">
        <w:rPr>
          <w:rStyle w:val="FootnoteReference"/>
          <w:rFonts w:eastAsiaTheme="majorEastAsia"/>
          <w:color w:val="000000"/>
        </w:rPr>
        <w:footnoteReference w:id="8"/>
      </w:r>
      <w:r w:rsidRPr="00C31263">
        <w:t>,</w:t>
      </w:r>
    </w:p>
    <w:p w:rsidR="001B78F3" w:rsidRPr="00C31263" w:rsidRDefault="001B78F3" w:rsidP="001B78F3">
      <w:pPr>
        <w:pStyle w:val="NormalHanging12a"/>
      </w:pPr>
      <w:r w:rsidRPr="00C31263">
        <w:t>–</w:t>
      </w:r>
      <w:r w:rsidRPr="00C31263">
        <w:tab/>
        <w:t>έχοντας υπόψη τον κανονισμό (ΕΕ) 2022/2039 του Ευρωπαϊκού Κοινοβουλίου και του Συμβουλίου, της 19ης Οκτωβρίου 2022, για την τροποποίηση των κανονισμών (ΕΕ) αριθ. 1303/2013 και (ΕΕ) 2021/1060 σχετικά με πρόσθετη ευελιξία για την αντιμετώπιση των συνεπειών της στρατιωτικής επίθεσης της Ρωσικής Ομοσπονδίας FAST (ευέλικτη βοήθεια για εδάφη) – CARE</w:t>
      </w:r>
      <w:r w:rsidRPr="00C31263">
        <w:rPr>
          <w:rStyle w:val="FootnoteReference"/>
          <w:color w:val="000000"/>
        </w:rPr>
        <w:footnoteReference w:id="9"/>
      </w:r>
      <w:r w:rsidRPr="00C31263">
        <w:t>,</w:t>
      </w:r>
    </w:p>
    <w:p w:rsidR="001B78F3" w:rsidRPr="00C31263" w:rsidRDefault="001B78F3" w:rsidP="001B78F3">
      <w:pPr>
        <w:pStyle w:val="NormalHanging12a"/>
      </w:pPr>
      <w:r w:rsidRPr="00C31263">
        <w:t>–</w:t>
      </w:r>
      <w:r w:rsidRPr="00C31263">
        <w:tab/>
        <w:t>έχοντας υπόψη την ανακοίνωση της Επιτροπής, της 4ης Φεβρουαρίου 2022, σχετικά με την 8η έκθεση για τη συνοχή: συνοχή στην Ευρώπη με ορίζοντα το 2050 (COM(2022)0034),</w:t>
      </w:r>
    </w:p>
    <w:p w:rsidR="001B78F3" w:rsidRPr="00C31263" w:rsidRDefault="001B78F3" w:rsidP="001B78F3">
      <w:pPr>
        <w:pStyle w:val="NormalHanging12a"/>
      </w:pPr>
      <w:r w:rsidRPr="00C31263">
        <w:t>–</w:t>
      </w:r>
      <w:r w:rsidRPr="00C31263">
        <w:tab/>
        <w:t>έχοντας υπόψη την ανακοίνωση της Επιτροπής, της 17ης Ιανουαρίου 2023, με τίτλο «Αξιοποίηση ταλέντων στις περιφέρειες της Ευρώπης» (COM(2023)0032),</w:t>
      </w:r>
    </w:p>
    <w:p w:rsidR="001B78F3" w:rsidRPr="00C31263" w:rsidRDefault="001B78F3" w:rsidP="001B78F3">
      <w:pPr>
        <w:pStyle w:val="NormalHanging12a"/>
        <w:rPr>
          <w:szCs w:val="24"/>
        </w:rPr>
      </w:pPr>
      <w:r w:rsidRPr="00C31263">
        <w:t>–</w:t>
      </w:r>
      <w:r w:rsidRPr="00C31263">
        <w:tab/>
        <w:t xml:space="preserve">έχοντας υπόψη την πρόταση της Επιτροπής, της 29ης Μαΐου 2018, σχετικά με κανονισμό του Ευρωπαϊκού Κοινοβουλίου και του Συμβουλίου για τη θέσπιση μηχανισμού αντιμετώπισης νομικών και διοικητικών εμποδίων σε διασυνοριακό </w:t>
      </w:r>
      <w:r w:rsidRPr="00C31263">
        <w:lastRenderedPageBreak/>
        <w:t>πλαίσιο (COM(2018)0373),</w:t>
      </w:r>
    </w:p>
    <w:p w:rsidR="001B78F3" w:rsidRPr="00C31263" w:rsidRDefault="001B78F3" w:rsidP="001B78F3">
      <w:pPr>
        <w:pStyle w:val="NormalHanging12a"/>
        <w:rPr>
          <w:szCs w:val="24"/>
        </w:rPr>
      </w:pPr>
      <w:r w:rsidRPr="00C31263">
        <w:t>–</w:t>
      </w:r>
      <w:r w:rsidRPr="00C31263">
        <w:tab/>
        <w:t>έχοντας υπόψη την τροποποιημένη πρόταση της Επιτροπής, της 12ης Δεκεμβρίου 2023, σχετικά με κανονισμό του Ευρωπαϊκού Κοινοβουλίου και του Συμβουλίου για τη θέσπιση μηχανισμού αντιμετώπισης νομικών και διοικητικών εμποδίων σε διασυνοριακό πλαίσιο (COM(</w:t>
      </w:r>
      <w:r w:rsidR="00AD23E9" w:rsidRPr="00AD23E9">
        <w:t>2023</w:t>
      </w:r>
      <w:r w:rsidRPr="00C31263">
        <w:t>)0790),</w:t>
      </w:r>
    </w:p>
    <w:p w:rsidR="001B78F3" w:rsidRPr="00C31263" w:rsidRDefault="001B78F3" w:rsidP="001B78F3">
      <w:pPr>
        <w:pStyle w:val="NormalHanging12a"/>
        <w:rPr>
          <w:szCs w:val="24"/>
        </w:rPr>
      </w:pPr>
      <w:r w:rsidRPr="00C31263">
        <w:t>–</w:t>
      </w:r>
      <w:r w:rsidRPr="00C31263">
        <w:tab/>
        <w:t>έχοντας υπόψη την ανακοίνωση της Επιτροπής, της 30ής Ιουνίου 2021, με τίτλο «Ένα μακρόπνοο όραμα για τις αγροτικές περιοχές της ΕΕ – Προς ισχυρότερες, συνδεδεμένες, ανθεκτικές και ευημερούσες αγροτικές περιοχές με ορίζοντα το 2040» (COM(2021)0345),</w:t>
      </w:r>
    </w:p>
    <w:p w:rsidR="001B78F3" w:rsidRPr="00C31263" w:rsidRDefault="001B78F3" w:rsidP="001B78F3">
      <w:pPr>
        <w:pStyle w:val="NormalHanging12a"/>
        <w:rPr>
          <w:szCs w:val="24"/>
        </w:rPr>
      </w:pPr>
      <w:r w:rsidRPr="00C31263">
        <w:t>–</w:t>
      </w:r>
      <w:r w:rsidRPr="00C31263">
        <w:tab/>
        <w:t>έχοντας υπόψη την Εδαφική Ατζέντα 2030 της Ευρωπαϊκής Ένωσης, η οποία εγκρίθηκε κατά την άτυπη σύνοδο των υπουργών που είναι αρμόδιοι για την εδαφική συνοχή ή/και την εδαφική ανάπτυξη την 1η Δεκεμβρίου 2020,</w:t>
      </w:r>
    </w:p>
    <w:p w:rsidR="001B78F3" w:rsidRPr="00C31263" w:rsidRDefault="001B78F3" w:rsidP="001B78F3">
      <w:pPr>
        <w:pStyle w:val="NormalHanging12a"/>
        <w:rPr>
          <w:szCs w:val="24"/>
        </w:rPr>
      </w:pPr>
      <w:r w:rsidRPr="00C31263">
        <w:t>–</w:t>
      </w:r>
      <w:r w:rsidRPr="00C31263">
        <w:tab/>
        <w:t>έχοντας υπόψη την έκθεση του 2022 της Διακυβερνητικής Επιτροπής για την Κλιματική Αλλαγή (IPCC) με τίτλο «Climate Change 2022: Mitigation of Climate Change – Contribution of Working Group III to the Sixth Assessment Report of the Intergovernmental Panel on Climate Change» (Κλιματική αλλαγή 2022: Μετριασμός της κλιματικής αλλαγής – Συμβολή της ομάδας εργασίας ΙΙΙ στην έκτη έκθεση αξιολόγησης που συνέταξε η Διακυβερνητική Επιτροπή για την Κλιματική Αλλαγή),</w:t>
      </w:r>
    </w:p>
    <w:p w:rsidR="001B78F3" w:rsidRPr="00C31263" w:rsidRDefault="001B78F3" w:rsidP="001B78F3">
      <w:pPr>
        <w:pStyle w:val="NormalHanging12a"/>
      </w:pPr>
      <w:r w:rsidRPr="00C31263">
        <w:t>–</w:t>
      </w:r>
      <w:r w:rsidRPr="00C31263">
        <w:tab/>
        <w:t xml:space="preserve">έχοντας υπόψη την ειδική έκθεση της IPCC του 2018 με τίτλο «Global warming of 1.5 °C –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(Υπερθέρμανση του πλανήτη κατά 1,5 °C: ειδική έκθεση της IPCC σχετικά με τις επιπτώσεις της αύξησης της θερμοκρασίας του πλανήτη κατά 1,5 °C σε σχέση με τα προβιομηχανικά επίπεδα και τις σχετικές παγκόσμιες πορείες των εκπομπών αερίων θερμοκηπίου, στο πλαίσιο της ενίσχυσης της παγκόσμιας αντιμετώπισης της απειλής της κλιματικής αλλαγής, της βιώσιμης ανάπτυξης και των προσπαθειών για την εξάλειψη της φτώχειας), </w:t>
      </w:r>
    </w:p>
    <w:p w:rsidR="001B78F3" w:rsidRPr="00C31263" w:rsidRDefault="001B78F3" w:rsidP="001B78F3">
      <w:pPr>
        <w:pStyle w:val="NormalHanging12a"/>
      </w:pPr>
      <w:r w:rsidRPr="00C31263">
        <w:t>–</w:t>
      </w:r>
      <w:r w:rsidRPr="00C31263">
        <w:tab/>
        <w:t xml:space="preserve">έχοντας υπόψη την ειδική έκθεση της IPCC του 2019 με τίτλο «Climate change and land: an IPCC special report on climate change, desertification, land degradation, sustainable land management, food security, and greenhouse gas fluxes in terrestrial ecosystems» (Κλιματική αλλαγή και γη: υποβάθμιση του εδάφους, βιώσιμη διαχείριση της γης, επισιτιστική ασφάλεια και ροές αερίων του θερμοκηπίου στα χερσαία οικοσυστήματα), </w:t>
      </w:r>
    </w:p>
    <w:p w:rsidR="001B78F3" w:rsidRPr="00C31263" w:rsidRDefault="001B78F3" w:rsidP="001B78F3">
      <w:pPr>
        <w:pStyle w:val="NormalHanging12a"/>
        <w:rPr>
          <w:szCs w:val="24"/>
        </w:rPr>
      </w:pPr>
      <w:r w:rsidRPr="00C31263">
        <w:t>–</w:t>
      </w:r>
      <w:r w:rsidRPr="00C31263">
        <w:tab/>
        <w:t>έχοντας υπόψη την ειδική έκθεση της IPCC του 2019 με τίτλο «IPCC Special Report on the Ocean and Cryosphere in a Changing Climate» (Ειδική έκθεση της IPCC για τους ωκεανούς και την κρυόσφαιρα σε ένα μεταβαλλόμενο κλίμα),</w:t>
      </w:r>
    </w:p>
    <w:p w:rsidR="001B78F3" w:rsidRPr="00C31263" w:rsidRDefault="001B78F3" w:rsidP="001B78F3">
      <w:pPr>
        <w:pStyle w:val="NormalHanging12a"/>
        <w:rPr>
          <w:szCs w:val="24"/>
        </w:rPr>
      </w:pPr>
      <w:r w:rsidRPr="00C31263">
        <w:t>–</w:t>
      </w:r>
      <w:r w:rsidRPr="00C31263">
        <w:tab/>
        <w:t>έχοντας υπόψη τη συμφωνία που συνήφθη κατά την 21η διάσκεψη των μερών της σύμβασης-πλαισίου των Ηνωμένων Εθνών για την κλιματική αλλαγή (COP 21) στις 12 Δεκεμβρίου 2015 στο Παρίσι (συμφωνία του Παρισιού),</w:t>
      </w:r>
    </w:p>
    <w:p w:rsidR="001B78F3" w:rsidRPr="00C31263" w:rsidRDefault="001B78F3" w:rsidP="001B78F3">
      <w:pPr>
        <w:pStyle w:val="NormalHanging12a"/>
        <w:rPr>
          <w:szCs w:val="24"/>
        </w:rPr>
      </w:pPr>
      <w:r w:rsidRPr="00C31263">
        <w:t>–</w:t>
      </w:r>
      <w:r w:rsidRPr="00C31263">
        <w:tab/>
        <w:t xml:space="preserve">έχοντας υπόψη το ψήφισμά του, της 23ης Νοεμβρίου 2023, σχετικά με την αξιοποίηση </w:t>
      </w:r>
      <w:r w:rsidRPr="00C31263">
        <w:lastRenderedPageBreak/>
        <w:t>ταλέντων στις περιφέρειες της Ευρώπης</w:t>
      </w:r>
      <w:r w:rsidRPr="00C31263">
        <w:rPr>
          <w:vertAlign w:val="superscript"/>
        </w:rPr>
        <w:footnoteReference w:id="10"/>
      </w:r>
      <w:r w:rsidRPr="00C31263">
        <w:t>,</w:t>
      </w:r>
    </w:p>
    <w:p w:rsidR="001B78F3" w:rsidRPr="00C31263" w:rsidRDefault="001B78F3" w:rsidP="001B78F3">
      <w:pPr>
        <w:pStyle w:val="NormalHanging12a"/>
        <w:rPr>
          <w:szCs w:val="24"/>
        </w:rPr>
      </w:pPr>
      <w:r w:rsidRPr="00C31263">
        <w:t>–</w:t>
      </w:r>
      <w:r w:rsidRPr="00C31263">
        <w:tab/>
        <w:t>έχοντας υπόψη το ψήφισμά του της 9ης Μαΐου 2023 σχετικά με τον ρόλο της πολιτικής συνοχής στην αντιμετώπιση πολυδιάστατων περιβαλλοντικών προκλήσεων στη λεκάνη της Μεσογείου</w:t>
      </w:r>
      <w:r w:rsidRPr="00C31263">
        <w:rPr>
          <w:rStyle w:val="FootnoteReference"/>
        </w:rPr>
        <w:footnoteReference w:id="11"/>
      </w:r>
      <w:r w:rsidRPr="00C31263">
        <w:t>,</w:t>
      </w:r>
    </w:p>
    <w:p w:rsidR="001B78F3" w:rsidRPr="00C31263" w:rsidRDefault="001B78F3" w:rsidP="001B78F3">
      <w:pPr>
        <w:pStyle w:val="NormalHanging12a"/>
      </w:pPr>
      <w:r w:rsidRPr="00C31263">
        <w:t>–</w:t>
      </w:r>
      <w:r w:rsidRPr="00C31263">
        <w:tab/>
        <w:t>έχοντας υπόψη το ψήφισμά του της 15ης Σεπτεμβρίου 2022 σχετικά με την οικονομική, κοινωνική και εδαφική συνοχή στην ΕΕ: 8η έκθεση για τη συνοχή</w:t>
      </w:r>
      <w:r w:rsidRPr="00C31263">
        <w:rPr>
          <w:rStyle w:val="FootnoteReference"/>
          <w:color w:val="000000"/>
        </w:rPr>
        <w:footnoteReference w:id="12"/>
      </w:r>
      <w:r w:rsidRPr="00C31263">
        <w:t>,</w:t>
      </w:r>
    </w:p>
    <w:p w:rsidR="001B78F3" w:rsidRPr="00C31263" w:rsidRDefault="001B78F3" w:rsidP="001B78F3">
      <w:pPr>
        <w:pStyle w:val="NormalHanging12a"/>
        <w:rPr>
          <w:szCs w:val="24"/>
        </w:rPr>
      </w:pPr>
      <w:r w:rsidRPr="00C31263">
        <w:t>–</w:t>
      </w:r>
      <w:r w:rsidRPr="00C31263">
        <w:tab/>
        <w:t>έχοντας υπόψη το ψήφισμά του της 15ης Σεπτεμβρίου 2022 σχετικά με τις παραμεθόριες περιφέρειες της ΕΕ: ζωντανά εργαστήρια της ευρωπαϊκής ολοκλήρωσης</w:t>
      </w:r>
      <w:r w:rsidRPr="00C31263">
        <w:rPr>
          <w:vertAlign w:val="superscript"/>
        </w:rPr>
        <w:footnoteReference w:id="13"/>
      </w:r>
      <w:r w:rsidRPr="00C31263">
        <w:t>,</w:t>
      </w:r>
    </w:p>
    <w:p w:rsidR="001B78F3" w:rsidRPr="00C31263" w:rsidRDefault="001B78F3" w:rsidP="001B78F3">
      <w:pPr>
        <w:pStyle w:val="NormalHanging12a"/>
      </w:pPr>
      <w:r w:rsidRPr="00C31263">
        <w:t>–</w:t>
      </w:r>
      <w:r w:rsidRPr="00C31263">
        <w:tab/>
        <w:t>έχοντας υπόψη το ψήφισμά του της 15ης Φεβρουαρίου 2022 σχετικά με τις προκλήσεις για τις αστικές περιοχές στη μετά την COVID-19 εποχή</w:t>
      </w:r>
      <w:r w:rsidRPr="00C31263">
        <w:rPr>
          <w:rStyle w:val="FootnoteReference"/>
          <w:rFonts w:eastAsiaTheme="majorEastAsia"/>
          <w:color w:val="000000"/>
        </w:rPr>
        <w:footnoteReference w:id="14"/>
      </w:r>
      <w:r w:rsidRPr="00C31263">
        <w:t>,</w:t>
      </w:r>
    </w:p>
    <w:p w:rsidR="001B78F3" w:rsidRPr="00C31263" w:rsidRDefault="001B78F3" w:rsidP="001B78F3">
      <w:pPr>
        <w:pStyle w:val="NormalHanging12a"/>
        <w:rPr>
          <w:szCs w:val="24"/>
        </w:rPr>
      </w:pPr>
      <w:r w:rsidRPr="00C31263">
        <w:t>–</w:t>
      </w:r>
      <w:r w:rsidRPr="00C31263">
        <w:tab/>
        <w:t>έχοντας υπόψη το ψήφισμά του της 14ης Σεπτεμβρίου 2021 με τίτλο «Προς μια ισχυρότερη εταιρική σχέση με τις εξόχως απόκεντρες περιφέρειες της Ένωσης»</w:t>
      </w:r>
      <w:r w:rsidRPr="00C31263">
        <w:rPr>
          <w:rStyle w:val="FootnoteReference"/>
        </w:rPr>
        <w:footnoteReference w:id="15"/>
      </w:r>
      <w:r w:rsidRPr="00C31263">
        <w:t>,</w:t>
      </w:r>
    </w:p>
    <w:p w:rsidR="001B78F3" w:rsidRPr="00C31263" w:rsidRDefault="001B78F3" w:rsidP="001B78F3">
      <w:pPr>
        <w:pStyle w:val="NormalHanging12a"/>
      </w:pPr>
      <w:r w:rsidRPr="00C31263">
        <w:t>–</w:t>
      </w:r>
      <w:r w:rsidRPr="00C31263">
        <w:tab/>
        <w:t>έχοντας υπόψη το ψήφισμά του της 20ής Μαΐου 2021 σχετικά με την ανατροπή των δημογραφικών εξελίξεων στις περιφέρειες της ΕΕ με τη χρήση μέσων της πολιτικής για τη συνοχή</w:t>
      </w:r>
      <w:r w:rsidRPr="00C31263">
        <w:rPr>
          <w:rStyle w:val="FootnoteReference"/>
          <w:rFonts w:eastAsiaTheme="majorEastAsia"/>
          <w:color w:val="000000"/>
        </w:rPr>
        <w:footnoteReference w:id="16"/>
      </w:r>
      <w:r w:rsidRPr="00C31263">
        <w:t>,</w:t>
      </w:r>
    </w:p>
    <w:p w:rsidR="001B78F3" w:rsidRPr="00C31263" w:rsidRDefault="001B78F3" w:rsidP="001B78F3">
      <w:pPr>
        <w:pStyle w:val="NormalHanging12a"/>
      </w:pPr>
      <w:r w:rsidRPr="00C31263">
        <w:t>–</w:t>
      </w:r>
      <w:r w:rsidRPr="00C31263">
        <w:tab/>
        <w:t>έχοντας υπόψη το ψήφισμά του της 25ης Μαρτίου 2021 σχετικά με την πολιτική συνοχής και τις περιφερειακές στρατηγικές για το περιβάλλον στην καταπολέμηση της κλιματικής αλλαγής</w:t>
      </w:r>
      <w:r w:rsidRPr="00C31263">
        <w:rPr>
          <w:rStyle w:val="FootnoteReference"/>
          <w:rFonts w:eastAsiaTheme="majorEastAsia"/>
          <w:color w:val="000000"/>
        </w:rPr>
        <w:footnoteReference w:id="17"/>
      </w:r>
      <w:r w:rsidRPr="00C31263">
        <w:t>,</w:t>
      </w:r>
    </w:p>
    <w:p w:rsidR="001B78F3" w:rsidRPr="00C31263" w:rsidRDefault="001B78F3" w:rsidP="001B78F3">
      <w:pPr>
        <w:pStyle w:val="NormalHanging12a"/>
        <w:rPr>
          <w:szCs w:val="24"/>
        </w:rPr>
      </w:pPr>
      <w:r w:rsidRPr="00C31263">
        <w:t>–</w:t>
      </w:r>
      <w:r w:rsidRPr="00C31263">
        <w:tab/>
        <w:t>έχοντας υπόψη το ψήφισμά του της 13ης Ιουνίου 2018 σχετικά με την πολιτική συνοχής και την κυκλική οικονομία</w:t>
      </w:r>
      <w:r w:rsidRPr="00C31263">
        <w:rPr>
          <w:rStyle w:val="FootnoteReference"/>
        </w:rPr>
        <w:footnoteReference w:id="18"/>
      </w:r>
      <w:r w:rsidRPr="00C31263">
        <w:t>,</w:t>
      </w:r>
    </w:p>
    <w:p w:rsidR="001B78F3" w:rsidRPr="00C31263" w:rsidRDefault="001B78F3" w:rsidP="001B78F3">
      <w:pPr>
        <w:pStyle w:val="NormalHanging12a"/>
      </w:pPr>
      <w:r w:rsidRPr="00C31263">
        <w:t>–</w:t>
      </w:r>
      <w:r w:rsidRPr="00C31263">
        <w:tab/>
        <w:t>έχοντας υπόψη το ψήφισμά του της 13ης Μαρτίου 2018 σχετικά με τις υστερούσες περιφέρειες της ΕΕ</w:t>
      </w:r>
      <w:r w:rsidRPr="00C31263">
        <w:rPr>
          <w:rStyle w:val="FootnoteReference"/>
          <w:rFonts w:eastAsiaTheme="majorEastAsia"/>
          <w:color w:val="000000"/>
        </w:rPr>
        <w:footnoteReference w:id="19"/>
      </w:r>
      <w:r w:rsidRPr="00C31263">
        <w:t>,</w:t>
      </w:r>
    </w:p>
    <w:p w:rsidR="001B78F3" w:rsidRPr="00C31263" w:rsidRDefault="001B78F3" w:rsidP="001B78F3">
      <w:pPr>
        <w:pStyle w:val="NormalHanging12a"/>
        <w:rPr>
          <w:szCs w:val="24"/>
        </w:rPr>
      </w:pPr>
      <w:r w:rsidRPr="00C31263">
        <w:t>–</w:t>
      </w:r>
      <w:r w:rsidRPr="00C31263">
        <w:tab/>
        <w:t>έχοντας υπόψη τη γνωμοδότηση της Ευρωπαϊκής Επιτροπής των Περιφερειών, της 29ης Νοεμβρίου 2023, με θέμα «Το μέλλον της πολιτικής συνοχής μετά το 2027»</w:t>
      </w:r>
      <w:r w:rsidRPr="00C31263">
        <w:rPr>
          <w:rStyle w:val="FootnoteReference"/>
        </w:rPr>
        <w:footnoteReference w:id="20"/>
      </w:r>
      <w:r w:rsidRPr="00C31263">
        <w:t>,</w:t>
      </w:r>
    </w:p>
    <w:p w:rsidR="001B78F3" w:rsidRPr="00C31263" w:rsidRDefault="001B78F3" w:rsidP="001B78F3">
      <w:pPr>
        <w:pStyle w:val="NormalHanging12a"/>
      </w:pPr>
      <w:r w:rsidRPr="00C31263">
        <w:t>–</w:t>
      </w:r>
      <w:r w:rsidRPr="00C31263">
        <w:tab/>
        <w:t>έχοντας υπόψη την ετήσια έκθεση της ΕΕ σχετικά με την κατάσταση των δήμων και των περιφερειών 2022,</w:t>
      </w:r>
    </w:p>
    <w:p w:rsidR="001B78F3" w:rsidRPr="00C31263" w:rsidRDefault="001B78F3" w:rsidP="001B78F3">
      <w:pPr>
        <w:pStyle w:val="NormalHanging12a"/>
        <w:rPr>
          <w:szCs w:val="24"/>
        </w:rPr>
      </w:pPr>
      <w:r w:rsidRPr="00C31263">
        <w:t>–</w:t>
      </w:r>
      <w:r w:rsidRPr="00C31263">
        <w:tab/>
        <w:t xml:space="preserve">έχοντας υπόψη τη μελέτη με τίτλο «EU lagging regions: state of play and future </w:t>
      </w:r>
      <w:r w:rsidRPr="00C31263">
        <w:lastRenderedPageBreak/>
        <w:t>challenges» (Υστερούσες περιφέρειες της ΕΕ: τρέχουσα κατάσταση και μελλοντικές προκλήσεις), που δημοσιεύθηκε από τη Γενική Διεύθυνση Εσωτερικών Πολιτικών της Ένωσης στις 26 Οκτωβρίου 2020</w:t>
      </w:r>
      <w:r w:rsidRPr="00C31263">
        <w:rPr>
          <w:rStyle w:val="FootnoteReference"/>
        </w:rPr>
        <w:footnoteReference w:id="21"/>
      </w:r>
      <w:r w:rsidRPr="00C31263">
        <w:t>,</w:t>
      </w:r>
    </w:p>
    <w:p w:rsidR="001B78F3" w:rsidRPr="00C31263" w:rsidRDefault="001B78F3" w:rsidP="001B78F3">
      <w:pPr>
        <w:pStyle w:val="NormalHanging12a"/>
      </w:pPr>
      <w:r w:rsidRPr="00C31263">
        <w:t>–</w:t>
      </w:r>
      <w:r w:rsidRPr="00C31263">
        <w:tab/>
        <w:t>έχοντας υπόψη το άρθρο 54 του Κανονισμού του, καθώς και το άρθρο 1 παράγραφος 1 στοιχείο ε) και το Παράρτημα 3 της απόφασης της Διάσκεψης των Προέδρων της 12ης Δεκεμβρίου 2002 σχετικά με τη διαδικασία για την εξουσιοδότηση εκπόνησης εκθέσεων πρωτοβουλίας,</w:t>
      </w:r>
    </w:p>
    <w:p w:rsidR="001B78F3" w:rsidRPr="00C31263" w:rsidRDefault="001B78F3" w:rsidP="001B78F3">
      <w:pPr>
        <w:pStyle w:val="NormalHanging12a"/>
      </w:pPr>
      <w:r w:rsidRPr="00C31263">
        <w:t>–</w:t>
      </w:r>
      <w:r w:rsidRPr="00C31263">
        <w:tab/>
        <w:t>έχοντας υπόψη την επιστολή της Επιτροπής Γεωργίας και Ανάπτυξης της Υπαίθρου,</w:t>
      </w:r>
    </w:p>
    <w:p w:rsidR="001B78F3" w:rsidRPr="00C31263" w:rsidRDefault="001B78F3" w:rsidP="001B78F3">
      <w:pPr>
        <w:pStyle w:val="NormalHanging12a"/>
      </w:pPr>
      <w:r w:rsidRPr="00C31263">
        <w:t>–</w:t>
      </w:r>
      <w:r w:rsidRPr="00C31263">
        <w:tab/>
        <w:t>έχοντας υπόψη την έκθεση της Επιτροπής Περιφερειακής Ανάπτυξης (A9-0049/2024),</w:t>
      </w:r>
    </w:p>
    <w:p w:rsidR="001B78F3" w:rsidRPr="00C31263" w:rsidRDefault="001B78F3" w:rsidP="001B78F3">
      <w:pPr>
        <w:pStyle w:val="NormalHanging12a"/>
        <w:rPr>
          <w:szCs w:val="24"/>
        </w:rPr>
      </w:pPr>
      <w:r w:rsidRPr="00C31263">
        <w:t>Α.</w:t>
      </w:r>
      <w:r w:rsidRPr="00C31263">
        <w:tab/>
        <w:t>λαμβάνοντας υπόψη ότι, κατά την περίοδο προγραμματισμού 2014-2020, η πολιτική συνοχής, ως η κύρια επενδυτική πολιτική της ΕΕ, στήριξε αποτελεσματικά τον στόχο της βάσει της Συνθήκης σχετικά με την επίτευξη οικονομικής, κοινωνικής και εδαφικής συνοχής σε ολόκληρη την ΕΕ· λαμβάνοντας υπόψη ότι η πολιτική συνοχής αποτέλεσε επίσης ουσιώδη επενδυτικό πυλώνα της στρατηγικής «Ευρώπη 2020» συνεισφέροντας στην εκπλήρωση του στόχου της για έξυπνη, βιώσιμη και χωρίς αποκλεισμούς ανάπτυξη· λαμβάνοντας υπόψη ότι η πολιτική συνοχής είναι το μόνο αναπτυξιακό μέσο που είναι προσανατολισμένο στις περιφερειακές και τοπικές ανάγκες και, μεταξύ άλλων, στην αντιμετώπιση των αρνητικών επιπτώσεων της κλιματικής αλλαγής·</w:t>
      </w:r>
    </w:p>
    <w:p w:rsidR="001B78F3" w:rsidRPr="00C31263" w:rsidRDefault="001B78F3" w:rsidP="001B78F3">
      <w:pPr>
        <w:pStyle w:val="NormalHanging12a"/>
      </w:pPr>
      <w:r w:rsidRPr="00C31263">
        <w:t>Β.</w:t>
      </w:r>
      <w:r w:rsidRPr="00C31263">
        <w:tab/>
        <w:t>λαμβάνοντας υπόψη ότι η κλιματική αλλαγή επηρεάζει όλες τις περιφέρειες της ΕΕ, προκαλώντας δραστικές αλλαγές στη ζωή των ανθρώπων· λαμβάνοντας υπόψη ότι, ως εκ τούτου, η κλιματική αλλαγή συνιστά σημαντική απειλή για τη συνοχή της Ένωσης·</w:t>
      </w:r>
    </w:p>
    <w:p w:rsidR="001B78F3" w:rsidRPr="00C31263" w:rsidRDefault="001B78F3" w:rsidP="001B78F3">
      <w:pPr>
        <w:pStyle w:val="NormalHanging12a"/>
        <w:rPr>
          <w:szCs w:val="24"/>
        </w:rPr>
      </w:pPr>
      <w:r w:rsidRPr="00C31263">
        <w:t>Γ.</w:t>
      </w:r>
      <w:r w:rsidRPr="00C31263">
        <w:tab/>
        <w:t xml:space="preserve">λαμβάνοντας υπόψη ότι οι επενδύσεις της πολιτικής συνοχής σε ολόκληρη την ΕΕ είχαν πρωτοφανή θετικό αντίκτυπο στις περιφέρειες, τις πόλεις, τα νησιά, τις αγροτικές, τις παραμεθόριες και τις απομακρυσμένες περιοχές· λαμβάνοντας υπόψη ότι, άμεσα ή έμμεσα, κάθε κράτος μέλος της ΕΕ έχει βιώσει τα θετικά αποτελέσματα της χρηματοδότησης από τον προϋπολογισμό της ΕΕ· λαμβάνοντας υπόψη ότι τα αποτελέσματα των πολλαπλών τοπικών έργων επιβεβαιώνουν τον θεμελιώδη ρόλο των περιφερειακών και τοπικών επενδύσεων που υλοποιούνται χάρη στην πολιτική συνοχής, και τονίζουν τον ρόλο και την προβολή τους στο πλαίσιο του πολυετούς δημοσιονομικού πλαισίου (ΠΔΠ)· </w:t>
      </w:r>
    </w:p>
    <w:p w:rsidR="001B78F3" w:rsidRPr="00C31263" w:rsidRDefault="001B78F3" w:rsidP="001B78F3">
      <w:pPr>
        <w:pStyle w:val="NormalHanging12a"/>
        <w:rPr>
          <w:szCs w:val="24"/>
        </w:rPr>
      </w:pPr>
      <w:r w:rsidRPr="00C31263">
        <w:t>Δ.</w:t>
      </w:r>
      <w:r w:rsidRPr="00C31263">
        <w:tab/>
        <w:t xml:space="preserve">λαμβάνοντας υπόψη ότι η επενδυτική προσέγγιση πολλαπλών προτεραιοτήτων που διακρίνει την πολιτική συνοχής, σε συνδυασμό με την επιμερισμένη διαχείρισή της, έχουν συμβάλει στις προτεραιότητες της ΕΕ, δηλαδή τη στήριξη των μικρών και μεσαίων επιχειρήσεων (ΜΜΕ), της έρευνας και της καινοτομίας, της ψηφιοποίησης, της αγροτικής ανάπτυξης, της βελτίωσης των αστικών υποδομών, του βιώσιμου τουρισμού, των υποδομών μεταφορών, του πολιτισμού και της εκπαίδευσης, της υγειονομικής περίθαλψης, των κοινωνικών πολιτικών, των διασυνοριακών έργων, της ενεργειακής μετάβασης, της ενεργειακής απόδοσης, του κλίματος και του </w:t>
      </w:r>
      <w:r w:rsidRPr="00C31263">
        <w:lastRenderedPageBreak/>
        <w:t xml:space="preserve">περιβάλλοντος· </w:t>
      </w:r>
    </w:p>
    <w:p w:rsidR="001B78F3" w:rsidRPr="00C31263" w:rsidRDefault="001B78F3" w:rsidP="001B78F3">
      <w:pPr>
        <w:pStyle w:val="NormalHanging12a"/>
        <w:rPr>
          <w:szCs w:val="24"/>
        </w:rPr>
      </w:pPr>
      <w:r w:rsidRPr="00C31263">
        <w:t>Ε.</w:t>
      </w:r>
      <w:r w:rsidRPr="00C31263">
        <w:tab/>
        <w:t>λαμβάνοντας υπόψη ότι, μέσω μέσων όπως η πρωτοβουλία επενδύσεων για την αντιμετώπιση του κορονοϊού και η πρωτοβουλία επενδύσεων για την αντιμετώπιση του κορονοϊού + (CRII και CRII +), η δράση συνοχής για τους πρόσφυγες στην Ευρώπη (CARE), η ευέλικτη βοήθεια για εδάφη (FAST-CARE) και η στήριξη οικονομικά προσιτής ενέργειας (SAFE), η πολιτική συνοχής λειτούργησε ως διαρθρωτικό εμπόδιο κατά των πολυάριθμων διαδοχικών κρίσεων που έπληξαν την Ένωση καθ’ όλη τη διάρκεια της περιόδου προγραμματισμού 2014-2020, όπως η πανδημία COVID-19, κατά τη διάρκεια της οποίας διασφάλισε θέσεις εργασίας και βοήθησε τις επιχειρήσεις που επλήγησαν, καθώς και των προσφυγικών, ενεργειακών και πληθωριστικών κρίσεων που προκλήθηκαν από τον επιθετικό πόλεμο της Ρωσίας κατά της Ουκρανίας·</w:t>
      </w:r>
    </w:p>
    <w:p w:rsidR="001B78F3" w:rsidRPr="00C31263" w:rsidRDefault="001B78F3" w:rsidP="001B78F3">
      <w:pPr>
        <w:pStyle w:val="NormalHanging12a"/>
        <w:rPr>
          <w:szCs w:val="24"/>
        </w:rPr>
      </w:pPr>
      <w:r w:rsidRPr="00C31263">
        <w:t>ΣΤ.</w:t>
      </w:r>
      <w:r w:rsidRPr="00C31263">
        <w:tab/>
        <w:t xml:space="preserve">λαμβάνοντας υπόψη ότι η πολιτική συνοχής είναι συνδετικός κρίκος της ΕΕ· λαμβάνοντας υπόψη ότι η μείωση του προϋπολογισμού της και/ή η επανεθνικοποίησή της θα μπορούσε να αποδυναμώσει την ΕΕ και να τροφοδοτήσει αντιευρωπαϊκά αισθήματα σε ολόκληρη την Ένωση· </w:t>
      </w:r>
    </w:p>
    <w:p w:rsidR="001B78F3" w:rsidRPr="00C31263" w:rsidRDefault="001B78F3" w:rsidP="001B78F3">
      <w:pPr>
        <w:pStyle w:val="NormalHanging12a"/>
      </w:pPr>
      <w:r w:rsidRPr="00C31263">
        <w:t>Ζ.</w:t>
      </w:r>
      <w:r w:rsidRPr="00C31263">
        <w:tab/>
        <w:t>λαμβάνοντας υπόψη ότι το αστικό θεματολόγιο της ΕΕ, το οποίο βασίζεται στον Χάρτη της Λειψίας, υποστηρίζει τους στόχους της εδαφικής ατζέντας 2030·</w:t>
      </w:r>
    </w:p>
    <w:p w:rsidR="001B78F3" w:rsidRPr="00C31263" w:rsidRDefault="001B78F3" w:rsidP="001B78F3">
      <w:pPr>
        <w:pStyle w:val="NormalHanging12a"/>
        <w:rPr>
          <w:szCs w:val="24"/>
        </w:rPr>
      </w:pPr>
      <w:r w:rsidRPr="00C31263">
        <w:t>Η.</w:t>
      </w:r>
      <w:r w:rsidRPr="00C31263">
        <w:tab/>
        <w:t>λαμβάνοντας υπόψη ότι οι προκλήσεις που αντιμετωπίζουν οι περιφέρειες της ΕΕ εντοπίζονται και υπόκεινται σε διαχείριση σε εδαφικό επίπεδο· λαμβάνοντας υπόψη ότι η επανειλημμένη χρήση της πολιτικής συνοχής για την αντιμετώπιση κρίσεων και καταστάσεων έκτακτης ανάγκης θέτει σε κίνδυνο τη βιωσιμότητα της πολιτικής αυτής· λαμβάνοντας υπόψη ότι το Ευρωπαϊκό Ελεγκτικό Συνέδριο έχει επισημάνει ότι πρέπει να αναλυθούν προσεκτικά οι επιπτώσεις της συνεχούς συρρίκνωσης της χρηματοδότησης της συνοχής στους μακροπρόθεσμους στόχους της πολιτικής</w:t>
      </w:r>
      <w:r w:rsidRPr="00C31263">
        <w:rPr>
          <w:vertAlign w:val="superscript"/>
        </w:rPr>
        <w:footnoteReference w:id="22"/>
      </w:r>
      <w:r w:rsidRPr="00C31263">
        <w:t>·</w:t>
      </w:r>
    </w:p>
    <w:p w:rsidR="001B78F3" w:rsidRPr="00C31263" w:rsidRDefault="001B78F3" w:rsidP="001B78F3">
      <w:pPr>
        <w:pStyle w:val="NormalHanging12a"/>
        <w:rPr>
          <w:szCs w:val="24"/>
        </w:rPr>
      </w:pPr>
      <w:r w:rsidRPr="00C31263">
        <w:t>Θ.</w:t>
      </w:r>
      <w:r w:rsidRPr="00C31263">
        <w:tab/>
        <w:t>λαμβάνοντας υπόψη ότι η πολιτική συνοχής αποτελεί μακροπρόθεσμη επενδυτική πολιτική, η οποία δεν θα πρέπει να καταστεί η πρώτη πηγή χρηματοδότησης έκτακτης ανάγκης για την αντιμετώπιση τυχόν προκλήσεων ή απρόβλεπτων γεγονότων, καθώς αυτό υπονομεύει τη στρατηγική προσέγγιση της πολιτικής· λαμβάνοντας υπόψη ότι θα πρέπει να θεσπιστούν σαφείς κανόνες σχετικά με τη χρήση των κονδυλίων της πολιτικής συνοχής, ώστε να διασφαλιστεί τόσο μια διαρθρωτική προσέγγιση όσο και η ανάγκη αντιμετώπισης απρόβλεπτων γεγονότων·</w:t>
      </w:r>
    </w:p>
    <w:p w:rsidR="001B78F3" w:rsidRPr="00C31263" w:rsidRDefault="001B78F3" w:rsidP="001B78F3">
      <w:pPr>
        <w:pStyle w:val="NormalHanging12a"/>
        <w:rPr>
          <w:szCs w:val="24"/>
        </w:rPr>
      </w:pPr>
      <w:r w:rsidRPr="00C31263">
        <w:t>Ι.</w:t>
      </w:r>
      <w:r w:rsidRPr="00C31263">
        <w:tab/>
        <w:t xml:space="preserve">λαμβάνοντας υπόψη ότι ολοένα και περισσότερα ταμεία και μέσα υπάγονται διάσπαρτα σε διαφορετικά νομικά και στρατηγικά πλαίσια, ιδίως ο μηχανισμός ανάκαμψης και ανθεκτικότητας (ΜΑΑ), με τον οποίο επιδιώκεται η υλοποίηση προτεραιοτήτων της πολιτικής συνοχής σε διαφορετικό νομικό πλαίσιο και μοντέλο υλοποίησης, και το Ευρωπαϊκό Γεωργικό Ταμείο Αγροτικής Ανάπτυξης (ΕΓΤΑΑ), το οποίο δεν αποτελεί πλέον μέρος των Ευρωπαϊκών Διαρθρωτικών και Επενδυτικών Ταμείων (ΕΔΕΤ)· </w:t>
      </w:r>
    </w:p>
    <w:p w:rsidR="001B78F3" w:rsidRPr="00C31263" w:rsidRDefault="001B78F3" w:rsidP="001B78F3">
      <w:pPr>
        <w:pStyle w:val="NormalHanging12a"/>
        <w:rPr>
          <w:szCs w:val="24"/>
        </w:rPr>
      </w:pPr>
      <w:r w:rsidRPr="00C31263">
        <w:t>ΙΑ.</w:t>
      </w:r>
      <w:r w:rsidRPr="00C31263">
        <w:tab/>
        <w:t xml:space="preserve">λαμβάνοντας υπόψη ότι παρατηρείται απότομη διάβρωση της πολιτικής συνοχής, με την ανάδυση θεματικών κονδυλίων και πρωτοβουλιών που στηρίζουν συγκεκριμένους τομείς ή στόχους και βασίζονται σε συνεισφορές από την πολιτική συνοχής, όπως η </w:t>
      </w:r>
      <w:r w:rsidRPr="00C31263">
        <w:lastRenderedPageBreak/>
        <w:t>πλατφόρμα «Στρατηγικές Τεχνολογίες για την Ευρώπη», η πράξη για τη στήριξη της παραγωγής πυρομαχικών, η Συνδρομή στην Ανάκαμψη για τη Συνοχή και τις Περιοχές της Ευρώπης (REACT-EU) και το RePowerEU· λαμβάνοντας υπόψη ότι αυτό αποδυναμώνει την εδαφική προσέγγιση της πολιτικής·</w:t>
      </w:r>
    </w:p>
    <w:p w:rsidR="001B78F3" w:rsidRPr="00C31263" w:rsidRDefault="001B78F3" w:rsidP="001B78F3">
      <w:pPr>
        <w:pStyle w:val="NormalHanging12a"/>
        <w:rPr>
          <w:szCs w:val="24"/>
        </w:rPr>
      </w:pPr>
      <w:r w:rsidRPr="00C31263">
        <w:t>ΙΒ.</w:t>
      </w:r>
      <w:r w:rsidRPr="00C31263">
        <w:tab/>
        <w:t>λαμβάνοντας υπόψη ότι η αποτελεσματική διαχείριση των κονδυλίων της πολιτικής συνοχής είναι ζωτικής σημασίας για την επίτευξη των στόχων και των αναγκών της περιφερειακής και τοπικής ανάπτυξης·</w:t>
      </w:r>
    </w:p>
    <w:p w:rsidR="001B78F3" w:rsidRPr="00C31263" w:rsidRDefault="001B78F3" w:rsidP="001B78F3">
      <w:pPr>
        <w:pStyle w:val="NormalHanging12a"/>
      </w:pPr>
      <w:r w:rsidRPr="00C31263">
        <w:t>ΙΓ.</w:t>
      </w:r>
      <w:r w:rsidRPr="00C31263">
        <w:tab/>
        <w:t>λαμβάνοντας υπόψη ότι το σύστημα παρακολούθησης των κονδυλίων της πολιτικής συνοχής σχεδιάστηκε κυρίως για τον εντοπισμό σφαλμάτων, με πιο περιορισμένη όμως ικανότητα εντοπισμού των περιπτώσεων απάτης·</w:t>
      </w:r>
    </w:p>
    <w:p w:rsidR="001B78F3" w:rsidRPr="00C31263" w:rsidRDefault="001B78F3" w:rsidP="001B78F3">
      <w:pPr>
        <w:pStyle w:val="NormalHanging12a"/>
      </w:pPr>
      <w:r w:rsidRPr="00C31263">
        <w:t>ΙΔ.</w:t>
      </w:r>
      <w:r w:rsidRPr="00C31263">
        <w:tab/>
        <w:t>λαμβάνοντας υπόψη ότι η καταπολέμηση της απάτης πρέπει να στηρίζεται σε ενισχυμένη και άμεση συνεργασία μεταξύ των υπηρεσιών της Επιτροπής και της Ευρωπαϊκής Εισαγγελίας· λαμβάνοντας υπόψη ότι η μη σαφής διάκριση μεταξύ σφάλματος, παρατυπίας και απάτης περιπλέκει και επιβαρύνει σημαντικά τη διαχείριση και την υλοποίηση της πολιτικής συνοχής·</w:t>
      </w:r>
    </w:p>
    <w:p w:rsidR="001B78F3" w:rsidRPr="00C31263" w:rsidRDefault="001B78F3" w:rsidP="001B78F3">
      <w:pPr>
        <w:pStyle w:val="NormalHanging12a"/>
        <w:rPr>
          <w:szCs w:val="24"/>
        </w:rPr>
      </w:pPr>
      <w:r w:rsidRPr="00C31263">
        <w:t>ΙΕ.</w:t>
      </w:r>
      <w:r w:rsidRPr="00C31263">
        <w:tab/>
        <w:t>λαμβάνοντας υπόψη ότι η καθυστερημένη έγκριση του ΠΔΠ 2021-2027, η πληθώρα των πρόσφατων κρίσεων και η θέσπιση των μέσων του Next Generation EU αποτέλεσαν εμπόδιο στην ταχεία εφαρμογή της πολιτικής συνοχής σε ολόκληρη την ΕΕ, δημιούργησαν προκλήσεις σχετικά με τον προγραμματισμό και την υλοποίηση και προκάλεσαν αβεβαιότητα στις σχεδιαζόμενες περιφερειακές επενδύσεις της ΕΕ·</w:t>
      </w:r>
    </w:p>
    <w:p w:rsidR="001B78F3" w:rsidRPr="00C31263" w:rsidRDefault="001B78F3" w:rsidP="001B78F3">
      <w:pPr>
        <w:pStyle w:val="NormalHanging12a"/>
        <w:rPr>
          <w:szCs w:val="24"/>
        </w:rPr>
      </w:pPr>
      <w:r w:rsidRPr="00C31263">
        <w:t>ΙΣΤ.</w:t>
      </w:r>
      <w:r w:rsidRPr="00C31263">
        <w:tab/>
        <w:t>λαμβάνοντας υπόψη ότι, δεδομένου ότι η νομική βάση για τον ΜΑΑ είναι το άρθρο 175 ΣΛΕΕ, τα κράτη μέλη και η Επιτροπή θα έπρεπε να είχαν επιδιώξει τους στόχους της οικονομικής, κοινωνικής και εδαφικής συνοχής και να συντονιστούν αποτελεσματικά με την πολιτική συνοχής·</w:t>
      </w:r>
    </w:p>
    <w:p w:rsidR="001B78F3" w:rsidRPr="00C31263" w:rsidRDefault="001B78F3" w:rsidP="001B78F3">
      <w:pPr>
        <w:pStyle w:val="NormalHanging12a"/>
        <w:rPr>
          <w:szCs w:val="24"/>
        </w:rPr>
      </w:pPr>
      <w:r w:rsidRPr="00C31263">
        <w:t>ΙΖ.</w:t>
      </w:r>
      <w:r w:rsidRPr="00C31263">
        <w:tab/>
        <w:t>λαμβάνοντας υπόψη ότι, σε πολλές περιπτώσεις, ο ΜΑΑ εφαρμόστηκε από τα κράτη μέλη με τρόπο ανταγωνιστικό προς την πολιτική συνοχής, συχνά χωρίς διαβούλευση ή συνεργασία με τις τοπικές και περιφερειακές αρχές, ακόμη και όσον αφορά τον απολογισμό των πεπραγμένων· λαμβάνοντας υπόψη ότι οι περιφέρειες της ΕΕ είναι συχνά πιο πρόθυμες και ικανές από τις κυβερνήσεις των κρατών μελών να υλοποιήσουν αυτή τη χρηματοδότηση·</w:t>
      </w:r>
    </w:p>
    <w:p w:rsidR="001B78F3" w:rsidRPr="00C31263" w:rsidRDefault="001B78F3" w:rsidP="001B78F3">
      <w:pPr>
        <w:pStyle w:val="NormalHanging12a"/>
        <w:rPr>
          <w:szCs w:val="24"/>
        </w:rPr>
      </w:pPr>
      <w:r w:rsidRPr="00C31263">
        <w:t>ΙΗ.</w:t>
      </w:r>
      <w:r w:rsidRPr="00C31263">
        <w:tab/>
        <w:t>λαμβάνοντας υπόψη ότι η τελευταία φάση υλοποίησης του ΠΔΠ 2014-2020 ήταν ιδιαίτερα απαιτητική, καθώς στο τέλος της περιόδου προγραμματισμού, η πρόσθετη χρηματοδότηση που παρασχέθηκε για την αντιμετώπιση των πρόσφατων κρίσεων, μεταξύ άλλων μέσω του NextGenerationEU, και η έναρξη της περιόδου προγραμματισμού 2021-2027 αλληλεπικαλύφθηκαν χρονικά και άσκησαν πρόσθετη πίεση στις εθνικές, περιφερειακές και τοπικές διοικήσεις, γεγονός που επιβράδυνε τον ρυθμό υλοποίησης και επηρέασε αρνητικά τις ικανότητές τους όσον αφορά την παρακολούθηση και τον έλεγχο· λαμβάνοντας υπόψη ότι, σύμφωνα με το Ευρωπαϊκό Ελεγκτικό Συνέδριο, η πίεση να δαπανηθούν μεγάλα ποσά σε πολύ σύντομο χρονικό διάστημα μπορεί δυστυχώς να συνέβαλε στην αύξηση των παράτυπων δαπανών</w:t>
      </w:r>
      <w:r w:rsidRPr="00C31263">
        <w:rPr>
          <w:vertAlign w:val="superscript"/>
        </w:rPr>
        <w:footnoteReference w:id="23"/>
      </w:r>
      <w:r w:rsidRPr="00C31263">
        <w:t>·</w:t>
      </w:r>
    </w:p>
    <w:p w:rsidR="001B78F3" w:rsidRPr="00C31263" w:rsidRDefault="001B78F3" w:rsidP="001B78F3">
      <w:pPr>
        <w:pStyle w:val="NormalHanging12a"/>
        <w:rPr>
          <w:szCs w:val="24"/>
        </w:rPr>
      </w:pPr>
      <w:r w:rsidRPr="00C31263">
        <w:lastRenderedPageBreak/>
        <w:t>ΙΘ.</w:t>
      </w:r>
      <w:r w:rsidRPr="00C31263">
        <w:tab/>
        <w:t>λαμβάνοντας υπόψη ότι τα ποσοστά υλοποίησης της πολιτικής συνοχής διαφέρουν σημαντικά μεταξύ των κρατών μελών και μεταξύ των χρηματοδοτικών προγραμμάτων· λαμβάνοντας υπόψη ότι ορισμένα κράτη μέλη και ορισμένες περιφέρειες παρουσιάζουν σταθερά χαμηλά ποσοστά υλοποίησης, κάτι που σημαίνει ότι πρέπει να δοθεί περαιτέρω προσοχή στην αποτελεσματικότητα της διαχείρισης αυτών των προγραμμάτων·</w:t>
      </w:r>
    </w:p>
    <w:p w:rsidR="001B78F3" w:rsidRPr="00C31263" w:rsidRDefault="001B78F3" w:rsidP="001B78F3">
      <w:pPr>
        <w:pStyle w:val="NormalHanging12a"/>
        <w:rPr>
          <w:szCs w:val="24"/>
        </w:rPr>
      </w:pPr>
      <w:r w:rsidRPr="00C31263">
        <w:t>Κ.</w:t>
      </w:r>
      <w:r w:rsidRPr="00C31263">
        <w:tab/>
        <w:t>λαμβάνοντας υπόψη ότι, παρά τις κανονιστικές βελτιώσεις που θεσπίστηκαν κατά την περίοδο προγραμματισμού 2014-2020 και τις βελτιώσεις στο κανονιστικό πλαίσιο 2021-2027, ορισμένες προκλήσεις εξακολουθούν να υφίστανται· λαμβάνοντας υπόψη ότι η υλοποίηση της πολιτικής συνοχής έχει αποδειχθεί ιδιαίτερα περίπλοκη για τις διαχειριστικές αρχές, τους αρμόδιους περιφερειακούς οργανισμούς και τους τελικούς δικαιούχους·</w:t>
      </w:r>
    </w:p>
    <w:p w:rsidR="001B78F3" w:rsidRPr="00C31263" w:rsidRDefault="001B78F3" w:rsidP="001B78F3">
      <w:pPr>
        <w:pStyle w:val="NormalHanging12a"/>
        <w:rPr>
          <w:szCs w:val="24"/>
        </w:rPr>
      </w:pPr>
      <w:r w:rsidRPr="00C31263">
        <w:t>ΚΑ.</w:t>
      </w:r>
      <w:r w:rsidRPr="00C31263">
        <w:tab/>
        <w:t>λαμβάνοντας υπόψη ότι οι κανόνες σύναψης δημοσίων συμβάσεων σε πολλά κράτη μέλη, παράλληλα με τον πρόσθετο έλεγχο και την πρόσθετη παρακολούθηση σε εθνικό επίπεδο, δημιουργούν πρόσθετη επιβάρυνση για τις διαχειριστικές αρχές και τους δικαιούχους·</w:t>
      </w:r>
    </w:p>
    <w:p w:rsidR="001B78F3" w:rsidRPr="00C31263" w:rsidRDefault="001B78F3" w:rsidP="001B78F3">
      <w:pPr>
        <w:pStyle w:val="NormalHanging12a"/>
        <w:rPr>
          <w:szCs w:val="24"/>
        </w:rPr>
      </w:pPr>
      <w:r w:rsidRPr="00C31263">
        <w:t>ΚΒ.</w:t>
      </w:r>
      <w:r w:rsidRPr="00C31263">
        <w:tab/>
        <w:t xml:space="preserve">λαμβάνοντας υπόψη ότι, ενώ η υιοθέτηση στρατηγικής προσέγγισης καθ’ όλη τη διάρκεια της περιόδου προγραμματισμού είναι υψίστης σημασίας, θα πρέπει να είναι δυνατή η επαναξιολόγηση και η προσαρμογή αυτής της προσέγγισης μεσοπρόθεσμα· λαμβάνοντας, ωστόσο, υπόψη ότι απαιτείται επαρκής βαθμός ευελιξίας στον προγραμματισμό της πολιτικής συνοχής για την αντιμετώπιση απρόβλεπτων γεγονότων που συμβαίνουν κατά τη διάρκεια της περιόδου προγραμματισμού· </w:t>
      </w:r>
    </w:p>
    <w:p w:rsidR="001B78F3" w:rsidRPr="00C31263" w:rsidRDefault="001B78F3" w:rsidP="001B78F3">
      <w:pPr>
        <w:pStyle w:val="NormalHanging12a"/>
        <w:rPr>
          <w:szCs w:val="24"/>
        </w:rPr>
      </w:pPr>
      <w:r w:rsidRPr="00C31263">
        <w:t>ΚΓ.</w:t>
      </w:r>
      <w:r w:rsidRPr="00C31263">
        <w:tab/>
        <w:t>λαμβάνοντας υπόψη ότι η χρηματοδότηση της πολιτικής συνοχής θα πρέπει να συμμορφώνεται με τον Χάρτη των Θεμελιωδών Δικαιωμάτων της ΕΕ, τις αρχές του κράτους δικαίου και τον ευρωπαϊκό κώδικα δεοντολογίας για την εταιρική σχέση</w:t>
      </w:r>
      <w:r w:rsidRPr="00C31263">
        <w:rPr>
          <w:rStyle w:val="FootnoteReference"/>
        </w:rPr>
        <w:footnoteReference w:id="24"/>
      </w:r>
      <w:r w:rsidRPr="00C31263">
        <w:t>·</w:t>
      </w:r>
    </w:p>
    <w:p w:rsidR="001B78F3" w:rsidRPr="00C31263" w:rsidRDefault="001B78F3" w:rsidP="001B78F3">
      <w:pPr>
        <w:pStyle w:val="NormalHanging12a"/>
        <w:rPr>
          <w:szCs w:val="24"/>
        </w:rPr>
      </w:pPr>
      <w:r w:rsidRPr="00C31263">
        <w:t>ΚΔ.</w:t>
      </w:r>
      <w:r w:rsidRPr="00C31263">
        <w:tab/>
        <w:t>λαμβάνοντας υπόψη ότι οι αρχές της πολυεπίπεδης διακυβέρνησης και της εταιρικής σχέσης πρέπει να ενισχυθούν σημαντικά για την αποτελεσματική συμμετοχή των τοπικών και περιφερειακών φορέων στον προγραμματισμό, τον αναπρογραμματισμό και την εκτέλεση των κονδυλίων της ΕΕ·</w:t>
      </w:r>
    </w:p>
    <w:p w:rsidR="001B78F3" w:rsidRPr="00C31263" w:rsidRDefault="001B78F3" w:rsidP="001B78F3">
      <w:pPr>
        <w:pStyle w:val="NormalHanging12a"/>
        <w:rPr>
          <w:szCs w:val="24"/>
        </w:rPr>
      </w:pPr>
      <w:r w:rsidRPr="00C31263">
        <w:t>ΚΕ.</w:t>
      </w:r>
      <w:r w:rsidRPr="00C31263">
        <w:tab/>
        <w:t>λαμβάνοντας υπόψη ότι η πολιτική συνοχής έχει συμβάλει αποτελεσματικά στη μείωση των ανισοτήτων με την πάροδο των ετών, αλλά, όπως προκύπτει από την όγδοη έκθεση για τη συνοχή, εξακολουθούν να υφίστανται ορισμένες ανισότητες μεταξύ των κρατών μελών, μεταξύ και εντός των περιφερειών, μεταξύ διαφόρων τύπων περιοχών (όπως αναφέρονται στα άρθρα 174 και 349 ΣΛΕΕ) και εντός των πλουσιότερων αστικών περιοχών· λαμβάνοντας υπόψη ότι έχουν επίσης προκύψει νέες ανισότητες, όπως το περιφερειακό χάσμα καινοτομίας·</w:t>
      </w:r>
    </w:p>
    <w:p w:rsidR="001B78F3" w:rsidRPr="00C31263" w:rsidRDefault="001B78F3" w:rsidP="001B78F3">
      <w:pPr>
        <w:pStyle w:val="NormalHanging12a"/>
      </w:pPr>
      <w:r w:rsidRPr="00C31263">
        <w:t>ΚΣΤ.</w:t>
      </w:r>
      <w:r w:rsidRPr="00C31263">
        <w:tab/>
        <w:t xml:space="preserve">λαμβάνοντας υπόψη ότι οι εξόχως απόκεντρες και νησιωτικές περιοχές με καθεστώς υπερπόντιων χωρών και εδαφών αντιμετωπίζουν σημαντικό αριθμό διαρθρωτικών περιορισμών και είναι λιγότερο ανεπτυγμένες από τις ηπειρωτικές περιοχές στα κράτη </w:t>
      </w:r>
      <w:r w:rsidRPr="00C31263">
        <w:lastRenderedPageBreak/>
        <w:t>μέλη τους· λαμβάνοντας υπόψη ότι ένα σταθερό και προβλέψιμο κανονιστικό περιβάλλον είναι ιδιαίτερα σημαντικό για την αποτελεσματική διαχείριση των κονδυλίων της πολιτικής συνοχής στις εν λόγω περιφέρειες·</w:t>
      </w:r>
    </w:p>
    <w:p w:rsidR="001B78F3" w:rsidRPr="00C31263" w:rsidRDefault="001B78F3" w:rsidP="001B78F3">
      <w:pPr>
        <w:pStyle w:val="NormalHanging12a"/>
        <w:rPr>
          <w:szCs w:val="24"/>
        </w:rPr>
      </w:pPr>
      <w:r w:rsidRPr="00C31263">
        <w:t>ΚΖ.</w:t>
      </w:r>
      <w:r w:rsidRPr="00C31263">
        <w:tab/>
        <w:t>λαμβάνοντας υπόψη ότι η πράσινη και η ψηφιακή μετάβαση κινούνται με πολύ διαφορετικούς ρυθμούς εντός της ΕΕ και θα πρέπει να τύχουν κατάλληλης διαχείρισης ώστε να αποφευχθούν δυσμενείς επιπτώσεις σε ορισμένες περιφέρειες και ακόμη μεγαλύτερες ανισότητες·</w:t>
      </w:r>
    </w:p>
    <w:p w:rsidR="001B78F3" w:rsidRPr="00C31263" w:rsidRDefault="001B78F3" w:rsidP="001B78F3">
      <w:pPr>
        <w:pStyle w:val="NormalHanging12a"/>
        <w:rPr>
          <w:szCs w:val="24"/>
        </w:rPr>
      </w:pPr>
      <w:r w:rsidRPr="00C31263">
        <w:t>ΚΗ.</w:t>
      </w:r>
      <w:r w:rsidRPr="00C31263">
        <w:tab/>
        <w:t>λαμβάνοντας υπόψη ότι οι ανατολικές περιφέρειες της ΕΕ κάλυψαν μεν το κενό, άλλες περιφέρειες όμως, ιδίως στο νότιο τμήμα της ΕΕ, παρέμειναν στάσιμες· λαμβάνοντας υπόψη ότι ορισμένες περιφέρειες έχουν εγκλωβιστεί σε αναπτυξιακό τέλμα, το οποίο χαρακτηρίζεται από μακρές περιόδους αργής ή αρνητικής ανάπτυξης, με χαμηλή παραγωγικότητα και χαμηλά επίπεδα δημιουργίας θέσεων εργασίας·</w:t>
      </w:r>
    </w:p>
    <w:p w:rsidR="001B78F3" w:rsidRPr="00C31263" w:rsidRDefault="001B78F3" w:rsidP="001B78F3">
      <w:pPr>
        <w:pStyle w:val="NormalHanging12a"/>
        <w:rPr>
          <w:szCs w:val="24"/>
        </w:rPr>
      </w:pPr>
      <w:r w:rsidRPr="00C31263">
        <w:t>ΚΘ.</w:t>
      </w:r>
      <w:r w:rsidRPr="00C31263">
        <w:tab/>
        <w:t>λαμβάνοντας υπόψη ότι ο επιθετικός πόλεμος της Ρωσίας κατά της Ουκρανίας έχει επηρεάσει ιδιαίτερα τις ανατολικές παραμεθόριες περιοχές της ΕΕ·</w:t>
      </w:r>
    </w:p>
    <w:p w:rsidR="001B78F3" w:rsidRPr="00C31263" w:rsidRDefault="001B78F3" w:rsidP="001B78F3">
      <w:pPr>
        <w:pStyle w:val="NormalHanging12a"/>
        <w:rPr>
          <w:szCs w:val="24"/>
        </w:rPr>
      </w:pPr>
      <w:r w:rsidRPr="00C31263">
        <w:t>Λ.</w:t>
      </w:r>
      <w:r w:rsidRPr="00C31263">
        <w:tab/>
        <w:t>λαμβάνοντας υπόψη ότι η δημογραφική γήρανση στο σύνολο της ΕΕ είχε ως αποτέλεσμα τη συρρίκνωση του πληθυσμού σε ηλικία εργασίας· λαμβάνοντας υπόψη ότι πολλές περιφέρειες της ΕΕ βρίσκονται αντιμέτωπες με τη συνεχή φυγή του νεαρού σε ηλικία και ειδικευμένου εργατικού δυναμικού τους· λαμβάνοντας υπόψη ότι οι αγροτικές, περιφερειακές και εξόχως απόκεντρες περιοχές και οι περιοχές όπου συντελείται βιομηχανική μετάβαση στην ΕΕ πλήττονται ιδιαίτερα από τις εν λόγω ανησυχητικές δημογραφικές τάσεις· λαμβάνοντας υπόψη ότι οι τάσεις αυτές, εάν δεν αντιμετωπιστούν, θα έχουν ανεπιθύμητες μακροπρόθεσμες επιπτώσεις στην ΕΕ·</w:t>
      </w:r>
    </w:p>
    <w:p w:rsidR="001B78F3" w:rsidRPr="00C31263" w:rsidRDefault="001B78F3" w:rsidP="001B78F3">
      <w:pPr>
        <w:pStyle w:val="NormalHanging12a"/>
      </w:pPr>
      <w:r w:rsidRPr="00C31263">
        <w:t>ΛΑ.</w:t>
      </w:r>
      <w:r w:rsidRPr="00C31263">
        <w:tab/>
        <w:t>λαμβάνοντας υπόψη ότι για τις προενταξιακές διαδικασίες και τις διαδικασίες διεύρυνσης στην Ευρωπαϊκή Ένωση απαιτείται καλά ισορροπημένη και στοχευμένη πολιτική περιφερειακής ανάπτυξης και πολιτική συνοχής·</w:t>
      </w:r>
    </w:p>
    <w:p w:rsidR="001B78F3" w:rsidRPr="00C31263" w:rsidRDefault="001B78F3" w:rsidP="001B78F3">
      <w:pPr>
        <w:pStyle w:val="NormalHanging12a"/>
        <w:rPr>
          <w:b/>
          <w:i/>
        </w:rPr>
      </w:pPr>
      <w:r w:rsidRPr="00C31263">
        <w:rPr>
          <w:b/>
          <w:i/>
        </w:rPr>
        <w:t>Αποτελέσματα</w:t>
      </w:r>
    </w:p>
    <w:p w:rsidR="001B78F3" w:rsidRPr="00C31263" w:rsidRDefault="00C31263" w:rsidP="00C31263">
      <w:pPr>
        <w:pStyle w:val="NormalHanging12a"/>
        <w:ind w:hanging="570"/>
        <w:rPr>
          <w:szCs w:val="24"/>
        </w:rPr>
      </w:pPr>
      <w:r w:rsidRPr="00C31263">
        <w:rPr>
          <w:szCs w:val="24"/>
        </w:rPr>
        <w:t>1.</w:t>
      </w:r>
      <w:r w:rsidRPr="00C31263">
        <w:rPr>
          <w:szCs w:val="24"/>
        </w:rPr>
        <w:tab/>
      </w:r>
      <w:r w:rsidR="001B78F3" w:rsidRPr="00C31263">
        <w:t>σημειώνει ότι οι αξιολογήσεις που διενεργήθηκαν από τα κράτη μέλη σχετικά με τα αποτελέσματα των επενδύσεων της πολιτικής συνοχής για την περίοδο 2014-2020 δείχνουν ότι, σε γενικές γραμμές, η πολιτική συνοχής είχε θετικά αποτελέσματα στους τομείς που στήριξε</w:t>
      </w:r>
      <w:r w:rsidR="001B78F3" w:rsidRPr="00C31263">
        <w:rPr>
          <w:vertAlign w:val="superscript"/>
        </w:rPr>
        <w:footnoteReference w:id="25"/>
      </w:r>
      <w:r w:rsidR="001B78F3" w:rsidRPr="00C31263">
        <w:t xml:space="preserve"> </w:t>
      </w:r>
      <w:r w:rsidR="001B78F3" w:rsidRPr="00C31263">
        <w:rPr>
          <w:rStyle w:val="FootnoteReference"/>
        </w:rPr>
        <w:footnoteReference w:id="26"/>
      </w:r>
      <w:r w:rsidR="001B78F3" w:rsidRPr="00C31263">
        <w:t>· αναγνωρίζει ότι οι επενδύσεις αυτές έχουν συμβάλει στην επίτευξη του στόχου της στρατηγικής «Ευρώπη 2020» για έξυπνη, βιώσιμη και χωρίς αποκλεισμούς ανάπτυξη·</w:t>
      </w:r>
    </w:p>
    <w:p w:rsidR="001B78F3" w:rsidRPr="00C31263" w:rsidRDefault="00C31263" w:rsidP="00C31263">
      <w:pPr>
        <w:pStyle w:val="NormalHanging12a"/>
        <w:ind w:hanging="570"/>
        <w:rPr>
          <w:szCs w:val="24"/>
        </w:rPr>
      </w:pPr>
      <w:r w:rsidRPr="00C31263">
        <w:rPr>
          <w:szCs w:val="24"/>
        </w:rPr>
        <w:t>2.</w:t>
      </w:r>
      <w:r w:rsidRPr="00C31263">
        <w:rPr>
          <w:szCs w:val="24"/>
        </w:rPr>
        <w:tab/>
      </w:r>
      <w:r w:rsidR="001B78F3" w:rsidRPr="00C31263">
        <w:t xml:space="preserve">χαιρετίζει τη συμβολή της πολιτικής συνοχής στην έρευνα και την καινοτομία, καθώς, μεταξύ άλλων, ενίσχυσε τη συνεργασία μεταξύ της ερευνητικής κοινότητας και των επιχειρήσεων και βοήθησε ώστε η έρευνα να οδηγήσει σε εμπορεύσιμα προϊόντα ή </w:t>
      </w:r>
      <w:r w:rsidR="001B78F3" w:rsidRPr="00C31263">
        <w:lastRenderedPageBreak/>
        <w:t xml:space="preserve">υπηρεσίες· σημειώνει ότι, σύμφωνα με τα στοιχεία της Επιτροπής, μέχρι το τέλος του 2022 περισσότερες από 75 000 επιχειρήσεις είχαν συνεργαστεί με ερευνητικά ιδρύματα και περίπου 37 000 είχαν εισαγάγει νέα προϊόντα στην αγορά χάρη στην υποστήριξη μέσω του </w:t>
      </w:r>
      <w:r w:rsidR="001B78F3" w:rsidRPr="00C31263">
        <w:rPr>
          <w:rStyle w:val="expandableitem"/>
        </w:rPr>
        <w:t>Ευρωπαϊκού Ταμείου Περιφερειακής Ανάπτυξης (ΕΤΠΑ)</w:t>
      </w:r>
      <w:r w:rsidR="001B78F3" w:rsidRPr="00C31263">
        <w:rPr>
          <w:vertAlign w:val="superscript"/>
        </w:rPr>
        <w:footnoteReference w:id="27"/>
      </w:r>
      <w:r w:rsidR="001B78F3" w:rsidRPr="00C31263">
        <w:t>· σημειώνει επίσης ότι, έως την ίδια ημερομηνία, περισσότεροι από 72 000 ερευνητές εργάζονταν σε καλύτερες εγκαταστάσεις</w:t>
      </w:r>
      <w:r w:rsidR="001B78F3" w:rsidRPr="00C31263">
        <w:rPr>
          <w:vertAlign w:val="superscript"/>
        </w:rPr>
        <w:footnoteReference w:id="28"/>
      </w:r>
      <w:r w:rsidR="001B78F3" w:rsidRPr="00C31263">
        <w:t>· τονίζει ότι η πολιτική συνοχής συνέβαλε επίσης στη γεφύρωση του ψηφιακού χάσματος μεταξύ των περιφερειών στηρίζοντας την ανάπτυξη υποδομών της τεχνολογίας της πληροφορίας και των επικοινωνιών σε λιγότερο ανεπτυγμένες περιφέρειες· εκφράζει την ικανοποίησή του για το γεγονός ότι, κατά συνέπεια, έως το τέλος του 2022 είχε παρασχεθεί σε 7,8 εκατομμύρια νοικοκυριά καλύτερη ευρυζωνική πρόσβαση</w:t>
      </w:r>
      <w:r w:rsidR="001B78F3" w:rsidRPr="00C31263">
        <w:rPr>
          <w:vertAlign w:val="superscript"/>
        </w:rPr>
        <w:footnoteReference w:id="29"/>
      </w:r>
      <w:r w:rsidR="001B78F3" w:rsidRPr="00C31263">
        <w:t>·</w:t>
      </w:r>
    </w:p>
    <w:p w:rsidR="001B78F3" w:rsidRPr="00C31263" w:rsidRDefault="00C31263" w:rsidP="00C31263">
      <w:pPr>
        <w:pStyle w:val="NormalHanging12a"/>
        <w:ind w:hanging="570"/>
        <w:rPr>
          <w:szCs w:val="24"/>
        </w:rPr>
      </w:pPr>
      <w:r w:rsidRPr="00C31263">
        <w:rPr>
          <w:szCs w:val="24"/>
        </w:rPr>
        <w:t>3.</w:t>
      </w:r>
      <w:r w:rsidRPr="00C31263">
        <w:rPr>
          <w:szCs w:val="24"/>
        </w:rPr>
        <w:tab/>
      </w:r>
      <w:r w:rsidR="001B78F3" w:rsidRPr="00C31263">
        <w:t>επισημαίνει ότι η στήριξη της πολιτικής συνοχής έχει αποφέρει επίσης απτά οφέλη σε χιλιάδες ΜΜΕ· τονίζει ότι αυτός είναι ένας από τους τομείς στήριξης του ΕΤΠΑ όπου σημειώθηκαν οι καλύτερες επιδόσεις· υπογραμμίζει ότι το ΕΤΠΑ έως το τέλος του 2022 είχε στηρίξει περισσότερες από 2,2 εκατομμύρια επιχειρήσεις, με συνέπεια τη δημιουργία 370 000 θέσεων εργασίας</w:t>
      </w:r>
      <w:r w:rsidR="001B78F3" w:rsidRPr="00C31263">
        <w:rPr>
          <w:vertAlign w:val="superscript"/>
        </w:rPr>
        <w:footnoteReference w:id="30"/>
      </w:r>
      <w:r w:rsidR="001B78F3" w:rsidRPr="00C31263">
        <w:t>· παρατηρεί ότι στις αξιολογήσεις που διενεργήθηκαν στην Τσεχία, την Πολωνία, τη Γερμανία, τις Κάτω Χώρες και την Αυστρία περιλαμβάνονται παραδείγματα ΜΜΕ που έγιναν πιο ανταγωνιστικές και καινοτόμες, αύξησαν την παραγωγικότητά τους και απέκτησαν καλύτερη πρόσβαση στις διεθνείς αγορές</w:t>
      </w:r>
      <w:r w:rsidR="001B78F3" w:rsidRPr="00C31263">
        <w:rPr>
          <w:vertAlign w:val="superscript"/>
        </w:rPr>
        <w:footnoteReference w:id="31"/>
      </w:r>
      <w:r w:rsidR="001B78F3" w:rsidRPr="00C31263">
        <w:t>·</w:t>
      </w:r>
    </w:p>
    <w:p w:rsidR="001B78F3" w:rsidRPr="00C31263" w:rsidRDefault="00C31263" w:rsidP="00C31263">
      <w:pPr>
        <w:pStyle w:val="NormalHanging12a"/>
        <w:ind w:hanging="570"/>
        <w:rPr>
          <w:szCs w:val="24"/>
        </w:rPr>
      </w:pPr>
      <w:r w:rsidRPr="00C31263">
        <w:rPr>
          <w:szCs w:val="24"/>
        </w:rPr>
        <w:t>4.</w:t>
      </w:r>
      <w:r w:rsidRPr="00C31263">
        <w:rPr>
          <w:szCs w:val="24"/>
        </w:rPr>
        <w:tab/>
      </w:r>
      <w:r w:rsidR="001B78F3" w:rsidRPr="00C31263">
        <w:t>υπογραμμίζει ότι η συνοχή διαδραμάτισε επίσης ουσιαστικό ρόλο στη μετάβαση σε μια οικονομία χαμηλών εκπομπών διοξειδίου του άνθρακα· σημειώνει ότι η μείωση της κατανάλωσης ενέργειας στα κτίρια αποτελεί βασική συνιστώσα της μετάβασης αυτής και ότι η στήριξη στο πλαίσιο της πολιτικής συνοχής στον τομέα αυτόν έχει ήδη αποδώσει καρπούς· εκφράζει την ικανοποίησή του διότι, σύμφωνα με τις αξιολογήσεις των κρατών μελών, τα μέτρα βελτίωσης της ενεργειακής απόδοσης αποδείχθηκαν αποτελεσματικά σε ολόκληρη την ΕΕ</w:t>
      </w:r>
      <w:r w:rsidR="001B78F3" w:rsidRPr="00C31263">
        <w:rPr>
          <w:vertAlign w:val="superscript"/>
        </w:rPr>
        <w:footnoteReference w:id="32"/>
      </w:r>
      <w:r w:rsidR="001B78F3" w:rsidRPr="00C31263">
        <w:t xml:space="preserve">· επισημαίνει ότι έως το τέλος του 2022 το ΕΤΠΑ είχε συμβάλει στη βελτίωση της ενεργειακής απόδοσης 550 000 νοικοκυριών· τονίζει ότι η πολιτική συνοχής στήριξε επενδύσεις σε αρκετές περιοχές εξόρυξης άνθρακα οι οποίες αποδεδειγμένα συνέβαλαν στην απανθρακοποίηση· επισημαίνει ότι στις Αστούριες (Ισπανία), οι προσπάθειες επικεντρώθηκαν στην απασχόληση των νέων και των γυναικών στις αγροτικές περιοχές, με στόχο την ενθάρρυνση της επιχειρηματικότητας και της κοινωνικής ένταξης· επισημαίνει επίσης ότι στη Νοτιοανατολική περιφέρεια της Βουλγαρίας, τα κονδύλια της πολιτικής συνοχής επικεντρώθηκαν στην ενεργειακή απόδοση, στον εκσυγχρονισμό των ΜΜΕ και στην </w:t>
      </w:r>
      <w:r w:rsidR="001B78F3" w:rsidRPr="00C31263">
        <w:lastRenderedPageBreak/>
        <w:t>προώθηση της ανάπτυξης δεξιοτήτων</w:t>
      </w:r>
      <w:r w:rsidR="001B78F3" w:rsidRPr="00C31263">
        <w:rPr>
          <w:vertAlign w:val="superscript"/>
        </w:rPr>
        <w:footnoteReference w:id="33"/>
      </w:r>
      <w:r w:rsidR="001B78F3" w:rsidRPr="00C31263">
        <w:t>· αναγνωρίζει ότι τα μέτρα που αποσκοπούν στην παραγωγή ενέργειας από ανανεώσιμες πηγές οδήγησαν, έως το τέλος του 2022, σε αύξηση της ικανότητας παραγωγής ενέργειας από ανανεώσιμες πηγές στην ΕΕ κατά 6 000 MW, με στόχο, έως το τέλος του 2023, τα 8 700 MW</w:t>
      </w:r>
      <w:r w:rsidR="001B78F3" w:rsidRPr="00C31263">
        <w:rPr>
          <w:vertAlign w:val="superscript"/>
        </w:rPr>
        <w:footnoteReference w:id="34"/>
      </w:r>
      <w:r w:rsidR="001B78F3" w:rsidRPr="00C31263">
        <w:t>· επισημαίνει ότι στην Εσθονία και σε περιφέρειες της Γαλλίας, για παράδειγμα, έχουν αναφερθεί θετικά αποτελέσματα στον εν λόγω τομέα</w:t>
      </w:r>
      <w:r w:rsidR="001B78F3" w:rsidRPr="00C31263">
        <w:rPr>
          <w:vertAlign w:val="superscript"/>
        </w:rPr>
        <w:footnoteReference w:id="35"/>
      </w:r>
      <w:r w:rsidR="001B78F3" w:rsidRPr="00C31263">
        <w:t>·</w:t>
      </w:r>
    </w:p>
    <w:p w:rsidR="001B78F3" w:rsidRPr="00C31263" w:rsidRDefault="00C31263" w:rsidP="00C31263">
      <w:pPr>
        <w:pStyle w:val="NormalHanging12a"/>
        <w:ind w:hanging="570"/>
        <w:rPr>
          <w:szCs w:val="24"/>
        </w:rPr>
      </w:pPr>
      <w:r w:rsidRPr="00C31263">
        <w:rPr>
          <w:szCs w:val="24"/>
        </w:rPr>
        <w:t>5.</w:t>
      </w:r>
      <w:r w:rsidRPr="00C31263">
        <w:rPr>
          <w:szCs w:val="24"/>
        </w:rPr>
        <w:tab/>
      </w:r>
      <w:r w:rsidR="001B78F3" w:rsidRPr="00C31263">
        <w:t>τονίζει ότι, από τις αξιολογήσεις των προσπαθειών σχετικά με την προσαρμογή στην κλιματική αλλαγή και την πρόληψη του κινδύνου, καταδεικνύεται η ανάγκη διασυνοριακής συνεργασίας ούτως ώστε τα μέτρα που χρηματοδοτούνται από την πολιτική συνοχής να καταστούν πράγματι αποτελεσματικά· υπογραμμίζει ότι ορισμένες χώρες έχουν ήδη εφαρμόσει κοινά μέτρα πρόληψης των κινδύνων και πολιτικής προστασίας, και σημειώνει ότι τέτοιες συνεργασίες έχουν πραγματοποιηθεί μεταξύ της Ιταλίας και της Γαλλίας, μεταξύ της Τσεχίας και της Πολωνίας, καθώς και μεταξύ της Ιταλίας και της Αυστρίας</w:t>
      </w:r>
      <w:r w:rsidR="001B78F3" w:rsidRPr="00C31263">
        <w:rPr>
          <w:vertAlign w:val="superscript"/>
        </w:rPr>
        <w:footnoteReference w:id="36"/>
      </w:r>
      <w:r w:rsidR="001B78F3" w:rsidRPr="00C31263">
        <w:t>· τονίζει ότι, όσον αφορά την προσαρμογή στην κλιματική αλλαγή, χάρη στις επενδύσεις στον τομέα της συνοχής 29 εκατομμύρια άνθρωποι είναι πλέον λιγότερο εκτεθειμένοι σε πλημμύρες</w:t>
      </w:r>
      <w:r w:rsidR="001B78F3" w:rsidRPr="00C31263">
        <w:rPr>
          <w:vertAlign w:val="superscript"/>
        </w:rPr>
        <w:footnoteReference w:id="37"/>
      </w:r>
      <w:r w:rsidR="001B78F3" w:rsidRPr="00C31263">
        <w:t>·</w:t>
      </w:r>
    </w:p>
    <w:p w:rsidR="001B78F3" w:rsidRPr="00C31263" w:rsidRDefault="00C31263" w:rsidP="00C31263">
      <w:pPr>
        <w:pStyle w:val="NormalHanging12a"/>
        <w:ind w:hanging="570"/>
        <w:rPr>
          <w:szCs w:val="24"/>
        </w:rPr>
      </w:pPr>
      <w:r w:rsidRPr="00C31263">
        <w:rPr>
          <w:szCs w:val="24"/>
        </w:rPr>
        <w:t>6.</w:t>
      </w:r>
      <w:r w:rsidRPr="00C31263">
        <w:rPr>
          <w:szCs w:val="24"/>
        </w:rPr>
        <w:tab/>
      </w:r>
      <w:r w:rsidR="001B78F3" w:rsidRPr="00C31263">
        <w:t>σημειώνει ότι η στήριξη της συνοχής από το ΕΤΠΑ και το Ταμείο Συνοχής αύξησε επίσης τον αριθμό των ατόμων που επωφελούνται από τη βελτίωση της ύδρευσης (8,3 εκατομμύρια άτομα έως το τέλος του 2022</w:t>
      </w:r>
      <w:r w:rsidR="001B78F3" w:rsidRPr="00C31263">
        <w:rPr>
          <w:vertAlign w:val="superscript"/>
        </w:rPr>
        <w:footnoteReference w:id="38"/>
      </w:r>
      <w:r w:rsidR="001B78F3" w:rsidRPr="00C31263">
        <w:t>) και από την καλύτερη διαχείριση των αστικών τους αποβλήτων· επισημαίνει ότι οι περισσότεροι από τους στοχευμένους δικαιούχους (70 %) των μέτρων βελτίωσης της ύδρευσης, διαμένουν στην Ιταλία, τη Ρουμανία, την Ελλάδα, την Πορτογαλία, τη Βουλγαρία και την Τσεχία· επισημαίνει επίσης ότι στη Γαλλία και στο Βέλγιο, τα έργα που χρηματοδοτούνται από το Ταμείο Συνοχής έχουν συμβάλει στην τόνωση της κυκλικής οικονομίας</w:t>
      </w:r>
      <w:r w:rsidR="001B78F3" w:rsidRPr="00C31263">
        <w:rPr>
          <w:vertAlign w:val="superscript"/>
        </w:rPr>
        <w:footnoteReference w:id="39"/>
      </w:r>
      <w:r w:rsidR="001B78F3" w:rsidRPr="00C31263">
        <w:t>·</w:t>
      </w:r>
    </w:p>
    <w:p w:rsidR="001B78F3" w:rsidRPr="00C31263" w:rsidRDefault="00C31263" w:rsidP="00C31263">
      <w:pPr>
        <w:pStyle w:val="NormalHanging12a"/>
        <w:ind w:hanging="570"/>
        <w:rPr>
          <w:szCs w:val="24"/>
        </w:rPr>
      </w:pPr>
      <w:r w:rsidRPr="00C31263">
        <w:rPr>
          <w:szCs w:val="24"/>
        </w:rPr>
        <w:t>7.</w:t>
      </w:r>
      <w:r w:rsidRPr="00C31263">
        <w:rPr>
          <w:szCs w:val="24"/>
        </w:rPr>
        <w:tab/>
      </w:r>
      <w:r w:rsidR="001B78F3" w:rsidRPr="00C31263">
        <w:t xml:space="preserve">τονίζει ότι στα δίκτυα ενέργειας και μεταφορών διατέθηκαν σημαντικές επενδύσεις από το ΕΤΠΑ και το Ταμείο Συνοχής· επισημαίνει ότι, παρόλο που ο αντίκτυπος των έργων υποδομής αυτού του είδους μπορεί να εκτιμηθεί δεόντως μόνο σε πιο μακροπρόθεσμη βάση, από αξιολογήσεις που διενεργήθηκαν στην Πολωνία και στην Τσεχία προέκυψε ότι ορισμένες από τις επενδύσεις σε οδικές και σιδηροδρομικές υποδομές έχουν ήδη </w:t>
      </w:r>
      <w:r w:rsidR="001B78F3" w:rsidRPr="00C31263">
        <w:lastRenderedPageBreak/>
        <w:t>επιφέρει ελάττωση των οδικών ατυχημάτων, μειωμένους χρόνους μετακίνησης και λιγότερη ρύπανση</w:t>
      </w:r>
      <w:r w:rsidR="001B78F3" w:rsidRPr="00C31263">
        <w:rPr>
          <w:vertAlign w:val="superscript"/>
        </w:rPr>
        <w:footnoteReference w:id="40"/>
      </w:r>
      <w:r w:rsidR="001B78F3" w:rsidRPr="00C31263">
        <w:t>· εκφράζει την ικανοποίησή του για το γεγονός ότι, στη Σλοβακία, ο εκσυγχρονισμός των γραμμών του τραμ βελτίωσε τις συνδέσεις, μείωσε τον χρόνο μετακίνησης, βελτίωσε την ασφάλεια και συνέβαλε στη μείωση του θορύβου και των δονήσεων</w:t>
      </w:r>
      <w:r w:rsidR="001B78F3" w:rsidRPr="00C31263">
        <w:rPr>
          <w:vertAlign w:val="superscript"/>
        </w:rPr>
        <w:footnoteReference w:id="41"/>
      </w:r>
      <w:r w:rsidR="001B78F3" w:rsidRPr="00C31263">
        <w:t>· επισημαίνει ότι, επιπλέον, σε κράτη μέλη όπως η Πολωνία και η Βουλγαρία, τα χρηματοδοτούμενα έργα φυσικού αερίου συνέβαλαν στον στρατηγικό στόχο της διαφοροποίησης του ενεργειακού τους εφοδιασμού</w:t>
      </w:r>
      <w:r w:rsidR="001B78F3" w:rsidRPr="00C31263">
        <w:rPr>
          <w:vertAlign w:val="superscript"/>
        </w:rPr>
        <w:footnoteReference w:id="42"/>
      </w:r>
      <w:r w:rsidR="001B78F3" w:rsidRPr="00C31263">
        <w:t>· εκφράζει την ικανοποίησή του για την έναρξη λειτουργίας τον Οκτώβριο του 2022, στη Βουλγαρία, της γραμμής διασύνδεσης φυσικού αερίου μεταξύ Ελλάδας και Βουλγαρίας, η οποία λαμβάνει τη στήριξη του ΕΤΠΑ και συμβάλλει στους στρατηγικούς στόχους της ΕΕ σχετικά με την αυτονομία του ενεργειακού εφοδιασμού και τη διαφοροποίηση των πηγών εφοδιασμού</w:t>
      </w:r>
      <w:r w:rsidR="001B78F3" w:rsidRPr="00C31263">
        <w:rPr>
          <w:vertAlign w:val="superscript"/>
        </w:rPr>
        <w:footnoteReference w:id="43"/>
      </w:r>
      <w:r w:rsidR="001B78F3" w:rsidRPr="00C31263">
        <w:t>·</w:t>
      </w:r>
    </w:p>
    <w:p w:rsidR="001B78F3" w:rsidRPr="00C31263" w:rsidRDefault="00C31263" w:rsidP="00C31263">
      <w:pPr>
        <w:pStyle w:val="NormalHanging12a"/>
        <w:ind w:hanging="570"/>
        <w:rPr>
          <w:szCs w:val="24"/>
        </w:rPr>
      </w:pPr>
      <w:r w:rsidRPr="00C31263">
        <w:rPr>
          <w:szCs w:val="24"/>
        </w:rPr>
        <w:t>8.</w:t>
      </w:r>
      <w:r w:rsidRPr="00C31263">
        <w:rPr>
          <w:szCs w:val="24"/>
        </w:rPr>
        <w:tab/>
      </w:r>
      <w:r w:rsidR="001B78F3" w:rsidRPr="00C31263">
        <w:t>αναγνωρίζει ότι, στο πλαίσιο της συνοχής, ιδίως μέσω του Ευρωπαϊκού Κοινωνικού Ταμείου (ΕΚΤ) και της Πρωτοβουλίας για την απασχόληση των νέων, στηρίχθηκαν επιτυχημένα μέτρα για την απασχόληση, την κοινωνική ένταξη, καθώς και για την εκπαίδευση και την επαγγελματική κατάρτιση· τονίζει ότι μέχρι το τέλος του 2022, 6,8 εκατομμύρια άνθρωποι είχαν βρει μια θέση εργασίας χάρη στα μέτρα που υποστηρίχθηκαν από το ΕΚΤ και την Πρωτοβουλία για την απασχόληση των νέων και 10,2 εκατομμύρια άνθρωποι είχαν αποκτήσει επαγγελματικά προσόντα</w:t>
      </w:r>
      <w:r w:rsidR="001B78F3" w:rsidRPr="00C31263">
        <w:rPr>
          <w:vertAlign w:val="superscript"/>
        </w:rPr>
        <w:footnoteReference w:id="44"/>
      </w:r>
      <w:r w:rsidR="001B78F3" w:rsidRPr="00C31263">
        <w:t>·</w:t>
      </w:r>
    </w:p>
    <w:p w:rsidR="001B78F3" w:rsidRPr="00C31263" w:rsidRDefault="00C31263" w:rsidP="00C31263">
      <w:pPr>
        <w:pStyle w:val="NormalHanging12a"/>
        <w:ind w:hanging="570"/>
        <w:rPr>
          <w:szCs w:val="24"/>
        </w:rPr>
      </w:pPr>
      <w:r w:rsidRPr="00C31263">
        <w:rPr>
          <w:szCs w:val="24"/>
        </w:rPr>
        <w:t>9.</w:t>
      </w:r>
      <w:r w:rsidRPr="00C31263">
        <w:rPr>
          <w:szCs w:val="24"/>
        </w:rPr>
        <w:tab/>
      </w:r>
      <w:r w:rsidR="001B78F3" w:rsidRPr="00C31263">
        <w:t>υπογραμμίζει ότι, σύμφωνα με αξιολογήσεις κρατών μελών όπως η Ιταλία, η Γερμανία, η Πολωνία και η Ιρλανδία, τα άτομα, και ιδίως οι νέοι, που συμμετείχαν σε μέτρα κατάρτισης, προγράμματα μαθητείας και πρακτικής άσκησης τα οποία υποστηρίζονται με κονδύλια της πολιτικής συνοχής, είχαν σημαντικά περισσότερες πιθανότητες εξεύρεσης εργασίας</w:t>
      </w:r>
      <w:r w:rsidR="001B78F3" w:rsidRPr="00C31263">
        <w:rPr>
          <w:vertAlign w:val="superscript"/>
        </w:rPr>
        <w:footnoteReference w:id="45"/>
      </w:r>
      <w:r w:rsidR="001B78F3" w:rsidRPr="00C31263">
        <w:t>· επισημαίνει την επίτευξη ικανοποιητικών αποτελεσμάτων σε έργα για μακροχρόνια ανέργους στην Πολωνία και την Ιρλανδία· επισημαίνει επίσης ότι στην αξιολόγηση</w:t>
      </w:r>
      <w:r w:rsidR="001B78F3" w:rsidRPr="00C31263">
        <w:rPr>
          <w:vertAlign w:val="superscript"/>
        </w:rPr>
        <w:footnoteReference w:id="46"/>
      </w:r>
      <w:r w:rsidR="001B78F3" w:rsidRPr="00C31263">
        <w:t xml:space="preserve"> της Πρωτοβουλίας για την απασχόληση των νέων για την περίοδο 2014-2020, η οποία διενεργήθηκε στην Ουγγαρία, διαπιστώθηκε ότι το πρόγραμμα συνέβαλε σημαντικά στην πιθανότητα απασχόλησης των συμμετεχόντων βραχυπρόθεσμα, αλλά ότι ο αντίκτυπος αυτός μειωνόταν με την πάροδο του χρόνου· υπογραμμίζει ότι το συμπέρασμα ακόμη μίας αξιολόγησης</w:t>
      </w:r>
      <w:r w:rsidR="001B78F3" w:rsidRPr="00C31263">
        <w:rPr>
          <w:vertAlign w:val="superscript"/>
        </w:rPr>
        <w:footnoteReference w:id="47"/>
      </w:r>
      <w:r w:rsidR="001B78F3" w:rsidRPr="00C31263">
        <w:t xml:space="preserve"> από την Ουγγαρία ήταν ότι τα καθεστώτα στήριξης της ένταξης στην αγορά εργασίας τα οποία χρηματοδοτούνται μέσω του ΕΚΤ είχαν θετικό και σημαντικό αντίκτυπο στην εξεύρεση εργασίας· επισημαίνει ότι, σε αξιολόγηση της Πρωτοβουλίας για την απασχόληση των νέων που </w:t>
      </w:r>
      <w:r w:rsidR="001B78F3" w:rsidRPr="00C31263">
        <w:lastRenderedPageBreak/>
        <w:t>διενεργήθηκε στη Σουηδία</w:t>
      </w:r>
      <w:r w:rsidR="001B78F3" w:rsidRPr="00C31263">
        <w:rPr>
          <w:vertAlign w:val="superscript"/>
        </w:rPr>
        <w:footnoteReference w:id="48"/>
      </w:r>
      <w:r w:rsidR="001B78F3" w:rsidRPr="00C31263">
        <w:t>, διαπιστώθηκε ο συνολικός θετικός αντίκτυπος στην απασχόληση για τους συμμετέχοντες, ιδίως αλλοδαπής προέλευσης· τονίζει ότι τα μέτρα κατάρτισης τόσο για τους μαθητές όσο και τους δασκάλους είχαν θετικό αντίκτυπο στο ποσοστό πρόωρης εγκατάλειψης του σχολείου, για παράδειγμα, στη Γερμανία, την Πορτογαλία και την Ισπανία</w:t>
      </w:r>
      <w:r w:rsidR="001B78F3" w:rsidRPr="00C31263">
        <w:rPr>
          <w:vertAlign w:val="superscript"/>
        </w:rPr>
        <w:footnoteReference w:id="49"/>
      </w:r>
      <w:r w:rsidR="001B78F3" w:rsidRPr="00C31263">
        <w:t>·</w:t>
      </w:r>
    </w:p>
    <w:p w:rsidR="001B78F3" w:rsidRPr="00C31263" w:rsidRDefault="00C31263" w:rsidP="00C31263">
      <w:pPr>
        <w:pStyle w:val="NormalHanging12a"/>
        <w:ind w:hanging="570"/>
        <w:rPr>
          <w:szCs w:val="24"/>
        </w:rPr>
      </w:pPr>
      <w:r w:rsidRPr="00C31263">
        <w:rPr>
          <w:szCs w:val="24"/>
        </w:rPr>
        <w:t>10.</w:t>
      </w:r>
      <w:r w:rsidRPr="00C31263">
        <w:rPr>
          <w:szCs w:val="24"/>
        </w:rPr>
        <w:tab/>
      </w:r>
      <w:r w:rsidR="001B78F3" w:rsidRPr="00C31263">
        <w:t>επισημαίνει ότι με το ΕΚΤ παρασχέθηκε βοήθεια στους επιχειρηματίες για την ίδρυση νέων επιχειρήσεων και κατάρτιση για την καλύτερη προσαρμογή των εταιρειών σε μεταβολές της αγοράς· τονίζει ότι το κέντρο για νεοφυείς επιχειρήσεις και την επιχειρηματικότητα στη Θουριγγία της Γερμανίας έλαβε υποστήριξη, μεταξύ άλλων έργων, μέσω του προγράμματος ΕΚΤ</w:t>
      </w:r>
      <w:r w:rsidR="001B78F3" w:rsidRPr="00C31263">
        <w:rPr>
          <w:vertAlign w:val="superscript"/>
        </w:rPr>
        <w:footnoteReference w:id="50"/>
      </w:r>
      <w:r w:rsidR="001B78F3" w:rsidRPr="00C31263">
        <w:t xml:space="preserve"> στη Θουριγγία για την ενίσχυση της επιχειρηματικότητας· αναγνωρίζει ότι έως το τέλος του 2021 περίπου 2 900 άτομα είχαν λάβει βοήθεια από το κέντρο για την ίδρυση νέας επιχείρησης στην περιοχή· σημειώνει ότι οι πρόσφυγες και οι μετανάστες που φθάνουν στο Λουξεμβούργο είχαν πρόσβαση σε ειδικό πρόγραμμα επιχειρηματικότητας που υποστηρίχθηκε από το ΕΚΤ</w:t>
      </w:r>
      <w:r w:rsidR="001B78F3" w:rsidRPr="00C31263">
        <w:rPr>
          <w:vertAlign w:val="superscript"/>
        </w:rPr>
        <w:footnoteReference w:id="51"/>
      </w:r>
      <w:r w:rsidR="001B78F3" w:rsidRPr="00C31263">
        <w:t>·</w:t>
      </w:r>
    </w:p>
    <w:p w:rsidR="001B78F3" w:rsidRPr="00C31263" w:rsidRDefault="00C31263" w:rsidP="00C31263">
      <w:pPr>
        <w:pStyle w:val="NormalHanging12a"/>
        <w:ind w:hanging="570"/>
        <w:rPr>
          <w:szCs w:val="24"/>
        </w:rPr>
      </w:pPr>
      <w:r w:rsidRPr="00C31263">
        <w:rPr>
          <w:szCs w:val="24"/>
        </w:rPr>
        <w:t>11.</w:t>
      </w:r>
      <w:r w:rsidRPr="00C31263">
        <w:rPr>
          <w:szCs w:val="24"/>
        </w:rPr>
        <w:tab/>
      </w:r>
      <w:r w:rsidR="001B78F3" w:rsidRPr="00C31263">
        <w:t>τονίζει ότι, μέσω της χρηματοδοτικής στήριξης της πολιτικής συνοχής για έργα στον τομέα της υγειονομικής περίθαλψης, κυρίως μέσω επενδύσεων του ΕΚΤ και του ΕΤΠΑ, 58,3 εκατομμύρια άτομα είχαν πρόσβαση σε βελτιωμένες υπηρεσίες υγειονομικής περίθαλψης σε ολόκληρη την ΕΕ έως το τέλος του 2022</w:t>
      </w:r>
      <w:r w:rsidR="001B78F3" w:rsidRPr="00C31263">
        <w:rPr>
          <w:vertAlign w:val="superscript"/>
        </w:rPr>
        <w:footnoteReference w:id="52"/>
      </w:r>
      <w:r w:rsidR="001B78F3" w:rsidRPr="00C31263">
        <w:t>· υπογραμμίζει ότι στη Λιθουανία, για παράδειγμα, με τα έργα που χρηματοδοτούνται από το Ταμείο Συνοχής, επιτεύχθηκε η μείωση του κινδύνου καρδιαγγειακών παθήσεων και του ποσοστού αυτοκτονιών</w:t>
      </w:r>
      <w:r w:rsidR="001B78F3" w:rsidRPr="00C31263">
        <w:rPr>
          <w:vertAlign w:val="superscript"/>
        </w:rPr>
        <w:footnoteReference w:id="53"/>
      </w:r>
      <w:r w:rsidR="001B78F3" w:rsidRPr="00C31263">
        <w:t>·</w:t>
      </w:r>
    </w:p>
    <w:p w:rsidR="001B78F3" w:rsidRPr="00C31263" w:rsidRDefault="00C31263" w:rsidP="00C31263">
      <w:pPr>
        <w:pStyle w:val="NormalHanging12a"/>
        <w:ind w:hanging="570"/>
        <w:rPr>
          <w:szCs w:val="24"/>
        </w:rPr>
      </w:pPr>
      <w:r w:rsidRPr="00C31263">
        <w:rPr>
          <w:szCs w:val="24"/>
        </w:rPr>
        <w:t>12.</w:t>
      </w:r>
      <w:r w:rsidRPr="00C31263">
        <w:rPr>
          <w:szCs w:val="24"/>
        </w:rPr>
        <w:tab/>
      </w:r>
      <w:r w:rsidR="001B78F3" w:rsidRPr="00C31263">
        <w:t>εκφράζει την ικανοποίησή του για τη συμβολή της πολιτικής συνοχής στην εδαφική συνεργασία· σημειώνει ότι ο εν λόγω ειδικός στόχος του ΕΤΠΑ συνέβαλε στη χρηματοδότηση διασυνοριακών, διακρατικών και διαπεριφερειακών έργων σε τομείς όπως η έρευνα, η ανάπτυξη και η καινοτομία, καθώς και το περιβάλλον· υπογραμμίζει ότι, όπως αναφέρει η Επιτροπή, χωρίς την εν λόγω ειδική στήριξη της συνοχής, τα περισσότερα από τα εν λόγω έργα συνεργασίας δεν θα είχαν πραγματοποιηθεί· τονίζει ότι έως το τέλος του 2022 περισσότερες από 40 000 επιχειρήσεις είχαν συμμετάσχει σε διασυνοριακά, διακρατικά ή διαπεριφερειακά ερευνητικά έργα και περίπου 178 000 άτομα είχαν επωφεληθεί από πρωτοβουλίες διασυνοριακής κινητικότητας</w:t>
      </w:r>
      <w:r w:rsidR="001B78F3" w:rsidRPr="00C31263">
        <w:rPr>
          <w:vertAlign w:val="superscript"/>
        </w:rPr>
        <w:footnoteReference w:id="54"/>
      </w:r>
      <w:r w:rsidR="001B78F3" w:rsidRPr="00C31263">
        <w:t xml:space="preserve">· επισημαίνει ότι, σύμφωνα με πρόσφατες αξιολογήσεις της Επιτροπής, υπάρχουν παραδείγματα </w:t>
      </w:r>
      <w:r w:rsidR="001B78F3" w:rsidRPr="00C31263">
        <w:lastRenderedPageBreak/>
        <w:t>επιτυχούς συνεργασίας σε θεματικά πεδία, όπως τα έργα τεχνολογίας πληροφοριών και επικοινωνιών που σχετίζονται με έξυπνες πόλεις στην Ελλάδα και την Κύπρο</w:t>
      </w:r>
      <w:r w:rsidR="001B78F3" w:rsidRPr="00C31263">
        <w:rPr>
          <w:vertAlign w:val="superscript"/>
        </w:rPr>
        <w:footnoteReference w:id="55"/>
      </w:r>
      <w:r w:rsidR="001B78F3" w:rsidRPr="00C31263">
        <w:t>· σημειώνει επίσης ότι το πρόγραμμα Σουηδίας-Φινλανδίας-Νορβηγίας Botnia-Atlantica έχει ενισχύσει τις γνώσεις σχετικά με την προστασία της θάλασσας και των παράκτιων περιοχών</w:t>
      </w:r>
      <w:r w:rsidR="001B78F3" w:rsidRPr="00C31263">
        <w:rPr>
          <w:vertAlign w:val="superscript"/>
        </w:rPr>
        <w:footnoteReference w:id="56"/>
      </w:r>
      <w:r w:rsidR="001B78F3" w:rsidRPr="00C31263">
        <w:t>· υπογραμμίζει ότι, σύμφωνα με την αξιολόγηση του αντικτύπου του προγράμματος Interreg Κεντρικής Ευρώπης 2014-2020</w:t>
      </w:r>
      <w:r w:rsidR="001B78F3" w:rsidRPr="00C31263">
        <w:rPr>
          <w:vertAlign w:val="superscript"/>
        </w:rPr>
        <w:footnoteReference w:id="57"/>
      </w:r>
      <w:r w:rsidR="001B78F3" w:rsidRPr="00C31263">
        <w:t>, το οποίο περιλαμβάνει την Αυστρία, την Κροατία, την Τσεχία, τη Γερμανία, την Ουγγαρία, την Ιταλία, την Πολωνία, τη Σλοβακία και τη Σλοβενία, έως το τέλος του 2021 το πρόγραμμα είχε θετικό αντίκτυπο στους τομείς της καινοτομίας, της οικονομίας χαμηλών εκπομπών διοξειδίου του άνθρακα, του περιβάλλοντος, του πολιτισμού και των μεταφορών εκφράζει την ικανοποίησή του για το γεγονός ότι το πρόγραμμα Interreg Ρουμανίας-Σερβίας συνέβαλε επίσης στην ενίσχυση της συνεργασίας μεταξύ των δύο χωρών σε όλους τους σχετικούς τομείς</w:t>
      </w:r>
      <w:r w:rsidR="001B78F3" w:rsidRPr="00C31263">
        <w:rPr>
          <w:vertAlign w:val="superscript"/>
        </w:rPr>
        <w:footnoteReference w:id="58"/>
      </w:r>
      <w:r w:rsidR="001B78F3" w:rsidRPr="00C31263">
        <w:t xml:space="preserve"> και ότι το πρόγραμμα Κροατίας-Σερβίας στήριξε την παραγωγή ηλεκτρικής ενέργειας από ανανεώσιμες πηγές και την αύξηση της ενεργειακής απόδοσης</w:t>
      </w:r>
      <w:r w:rsidR="001B78F3" w:rsidRPr="00C31263">
        <w:rPr>
          <w:vertAlign w:val="superscript"/>
        </w:rPr>
        <w:footnoteReference w:id="59"/>
      </w:r>
      <w:r w:rsidR="001B78F3" w:rsidRPr="00C31263">
        <w:t>· εφιστά την προσοχή στα θετικά αποτελέσματα του προγράμματος Interreg Σουηδίας-Δανίας-Νορβηγίας στον τομέα της πράσινης οικονομίας</w:t>
      </w:r>
      <w:r w:rsidR="001B78F3" w:rsidRPr="00C31263">
        <w:rPr>
          <w:vertAlign w:val="superscript"/>
        </w:rPr>
        <w:footnoteReference w:id="60"/>
      </w:r>
      <w:r w:rsidR="001B78F3" w:rsidRPr="00C31263">
        <w:t>·</w:t>
      </w:r>
    </w:p>
    <w:p w:rsidR="001B78F3" w:rsidRPr="00C31263" w:rsidRDefault="00C31263" w:rsidP="00C31263">
      <w:pPr>
        <w:pStyle w:val="NormalHanging12a"/>
        <w:ind w:hanging="570"/>
        <w:rPr>
          <w:szCs w:val="24"/>
        </w:rPr>
      </w:pPr>
      <w:r w:rsidRPr="00C31263">
        <w:rPr>
          <w:szCs w:val="24"/>
        </w:rPr>
        <w:t>13.</w:t>
      </w:r>
      <w:r w:rsidRPr="00C31263">
        <w:rPr>
          <w:szCs w:val="24"/>
        </w:rPr>
        <w:tab/>
      </w:r>
      <w:r w:rsidR="001B78F3" w:rsidRPr="00C31263">
        <w:t>χαιρετίζει την απάντηση της πολιτικής συνοχής στις πρόσφατες κρίσεις· σημειώνει ότι εγκρίθηκαν περισσότερες από 300 τροποποιήσεις των προγραμμάτων CRII και CRII+, με αποτέλεσμα να ανακατευθυνθούν κονδύλια ύψους σχεδόν 28 δισεκατομμυρίων EUR</w:t>
      </w:r>
      <w:r w:rsidR="001B78F3" w:rsidRPr="00C31263">
        <w:rPr>
          <w:vertAlign w:val="superscript"/>
        </w:rPr>
        <w:footnoteReference w:id="61"/>
      </w:r>
      <w:r w:rsidR="001B78F3" w:rsidRPr="00C31263">
        <w:t xml:space="preserve"> για την αντιμετώπιση των συνεπειών της κρίσης COVID-19· τονίζει την ανακατεύθυνση 13 δισ. EUR για την παροχή επιχειρηματικής στήριξης στις επιχειρήσεις που επλήγησαν περισσότερο από την κρίση COVID-19</w:t>
      </w:r>
      <w:r w:rsidR="001B78F3" w:rsidRPr="00C31263">
        <w:rPr>
          <w:vertAlign w:val="superscript"/>
        </w:rPr>
        <w:footnoteReference w:id="62"/>
      </w:r>
      <w:r w:rsidR="001B78F3" w:rsidRPr="00C31263">
        <w:t>· σημειώνει ότι μέχρι στιγμής έχουν πραγματοποιηθεί λίγες μόνο αξιολογήσεις στον τομέα αυτόν· σημειώνει, ωστόσο, ότι, στις Κάτω Χώρες, τη Μάλτα και τη Γαλλία (Grand Est), τα χρηματοδοτούμενα μέτρα θεωρήθηκαν συναφή με τις ανάγκες των ανθρώπων και των επιχειρήσεων, σύμφωνα με τις διαθέσιμες αξιολογήσεις</w:t>
      </w:r>
      <w:r w:rsidR="001B78F3" w:rsidRPr="00C31263">
        <w:rPr>
          <w:vertAlign w:val="superscript"/>
        </w:rPr>
        <w:footnoteReference w:id="63"/>
      </w:r>
      <w:r w:rsidR="001B78F3" w:rsidRPr="00C31263">
        <w:t>· επισημαίνει επίσης ότι υπάρχουν στοιχεία που αποδεικνύουν ότι η επιχειρηματική στήριξη του ΕΤΠΑ στην Ουγγαρία, η οποία κατέστη δυνατή με την εν λόγω ευελιξία, είχε θετικό αντίκτυπο στις επιχειρήσεις-στόχους</w:t>
      </w:r>
      <w:r w:rsidR="001B78F3" w:rsidRPr="00C31263">
        <w:rPr>
          <w:vertAlign w:val="superscript"/>
        </w:rPr>
        <w:footnoteReference w:id="64"/>
      </w:r>
      <w:r w:rsidR="001B78F3" w:rsidRPr="00C31263">
        <w:t xml:space="preserve">· επισημαίνει ότι και η προκαταρκτική αξιολόγηση της </w:t>
      </w:r>
      <w:r w:rsidR="001B78F3" w:rsidRPr="00C31263">
        <w:lastRenderedPageBreak/>
        <w:t>Επιτροπής</w:t>
      </w:r>
      <w:r w:rsidR="001B78F3" w:rsidRPr="00C31263">
        <w:rPr>
          <w:vertAlign w:val="superscript"/>
        </w:rPr>
        <w:footnoteReference w:id="65"/>
      </w:r>
      <w:r w:rsidR="001B78F3" w:rsidRPr="00C31263">
        <w:t xml:space="preserve"> για τη στήριξη που παρέχεται από το ΕΤΠΑ και το Ταμείο Ευρωπαϊκής Βοήθειας προς τους Απόρους στο πλαίσιο της CRII και της CRII+ ήταν θετική ως επί το πλείστον· υπογραμμίζει ότι στα περισσότερα κράτη μέλη επιτεύχθηκε ο στόχος των πρωτοβουλιών CRII και CRII+, καθότι έγινε χρήση της ευελιξίας στη χρηματοδότηση για την αποτελεσματική ανακατανομή των υπόλοιπων πόρων στη χρηματοδότηση βραχυπρόθεσμων εργασιακών ρυθμίσεων, σε μέτρα κοινωνικής ένταξης και στα συστήματα υγειονομικής περίθαλψης των κρατών μελών, ανάλογα με το εκάστοτε εθνικό πλαίσιο· τονίζει ότι χάρη στις πρωτοβουλίες CRII και CRII+, οι κυβερνήσεις είχαν επίσης τη δυνατότητα να διατηρήσουν το επίπεδό τους όσον αφορά τη σύναψη συμβάσεων και την ανάληψη δαπανών κατά τη διάρκεια αυτής της δύσκολης περιόδου· επισημαίνει τη στήριξη στο πλαίσιο του REACT-EU υπέρ των μέτρων ανάκαμψης με γνώμονα μελλοντοστραφείς προτεραιότητες, όπως η διττή οικολογική και ψηφιακή μετάβαση· τονίζει ότι ένα παράδειγμα της εν λόγω στήριξης αποτελεί το έργο Green Change Zealand, με το οποίο δόθηκε βοήθεια σε 20 ΜΜΕ στη Δανία για τη μείωση της κατανάλωσης ενέργειας και υλικών, μέσω πράσινων σχεδίων αναδιάρθρωσης·</w:t>
      </w:r>
    </w:p>
    <w:p w:rsidR="001B78F3" w:rsidRPr="00C31263" w:rsidRDefault="001B78F3" w:rsidP="001B78F3">
      <w:pPr>
        <w:pStyle w:val="NormalHanging12a"/>
        <w:rPr>
          <w:b/>
          <w:i/>
        </w:rPr>
      </w:pPr>
      <w:r w:rsidRPr="00C31263">
        <w:rPr>
          <w:b/>
          <w:i/>
        </w:rPr>
        <w:t>Μελλοντική πολιτική συνοχής</w:t>
      </w:r>
    </w:p>
    <w:p w:rsidR="001B78F3" w:rsidRPr="00C31263" w:rsidRDefault="001B78F3" w:rsidP="001B78F3">
      <w:pPr>
        <w:pStyle w:val="NormalHanging12a"/>
        <w:rPr>
          <w:i/>
        </w:rPr>
      </w:pPr>
      <w:r w:rsidRPr="00C31263">
        <w:rPr>
          <w:i/>
        </w:rPr>
        <w:t>Γενικές αρχές</w:t>
      </w:r>
    </w:p>
    <w:p w:rsidR="001B78F3" w:rsidRPr="00C31263" w:rsidRDefault="00C31263" w:rsidP="00C31263">
      <w:pPr>
        <w:pStyle w:val="NormalHanging12a"/>
        <w:ind w:hanging="570"/>
        <w:rPr>
          <w:szCs w:val="24"/>
        </w:rPr>
      </w:pPr>
      <w:r w:rsidRPr="00C31263">
        <w:rPr>
          <w:szCs w:val="24"/>
        </w:rPr>
        <w:t>14.</w:t>
      </w:r>
      <w:r w:rsidRPr="00C31263">
        <w:rPr>
          <w:szCs w:val="24"/>
        </w:rPr>
        <w:tab/>
      </w:r>
      <w:r w:rsidR="001B78F3" w:rsidRPr="00C31263">
        <w:t>επιμένει ότι, λόγω της περιφερειακής της εστίασης, της τοποκεντρικής προσέγγισης, του στρατηγικού σχεδιασμού και του μοντέλου αποτελεσματικής εφαρμογής της, η πολιτική συνοχής θα πρέπει να παραμείνει το κύριο επενδυτικό μέσο της ΕΕ για τη μείωση των ανισοτήτων, τη διασφάλιση της οικονομικής, κοινωνικής και εδαφικής συνοχής και την τόνωση της περιφερειακής και τοπικής βιώσιμης ανάπτυξης και ότι θα πρέπει να εξακολουθεί να συμβάλλει καθοριστικά στη στήριξη μιας κοινωνικά δίκαιης μετάβασης και ανάκαμψης από συμμετρικούς και ασύμμετρους κλυδωνισμούς και στην καταπολέμηση της κλιματικής αλλαγής·</w:t>
      </w:r>
    </w:p>
    <w:p w:rsidR="001B78F3" w:rsidRPr="00C31263" w:rsidRDefault="00C31263" w:rsidP="00C31263">
      <w:pPr>
        <w:pStyle w:val="NormalHanging12a"/>
        <w:ind w:hanging="570"/>
        <w:rPr>
          <w:szCs w:val="24"/>
        </w:rPr>
      </w:pPr>
      <w:r w:rsidRPr="00C31263">
        <w:rPr>
          <w:szCs w:val="24"/>
        </w:rPr>
        <w:t>15.</w:t>
      </w:r>
      <w:r w:rsidRPr="00C31263">
        <w:rPr>
          <w:szCs w:val="24"/>
        </w:rPr>
        <w:tab/>
      </w:r>
      <w:r w:rsidR="001B78F3" w:rsidRPr="00C31263">
        <w:t>εκφράζει τη λύπη του για τη μείωση του μεριδίου του ΠΔΠ 2021-2027 που προορίζεται για τη συνοχή, σε σύγκριση με την προηγούμενη περίοδο προγραμματισμού· υπενθυμίζει ότι η πανδημία COVID-19 και ο επιθετικός πόλεμος της Ρωσίας κατά της Ουκρανίας έχουν δημιουργήσει νέες ανισότητες μεταξύ των περιφερειών· πιστεύει ότι πρέπει να αυξηθεί, σε πραγματικούς όρους, ο συνολικός προϋπολογισμός συνοχής και το μερίδιο πολιτικής του ΠΔΠ σε σύγκριση με την περίοδο προγραμματισμού 2021-2027·</w:t>
      </w:r>
    </w:p>
    <w:p w:rsidR="001B78F3" w:rsidRPr="00C31263" w:rsidRDefault="00C31263" w:rsidP="00C31263">
      <w:pPr>
        <w:pStyle w:val="NormalHanging12a"/>
        <w:ind w:hanging="570"/>
        <w:rPr>
          <w:szCs w:val="24"/>
        </w:rPr>
      </w:pPr>
      <w:r w:rsidRPr="00C31263">
        <w:rPr>
          <w:szCs w:val="24"/>
        </w:rPr>
        <w:t>16.</w:t>
      </w:r>
      <w:r w:rsidRPr="00C31263">
        <w:rPr>
          <w:szCs w:val="24"/>
        </w:rPr>
        <w:tab/>
      </w:r>
      <w:r w:rsidR="001B78F3" w:rsidRPr="00C31263">
        <w:t xml:space="preserve">θεωρεί ότι οι επενδύσεις στον τομέα της συνοχής θα πρέπει να παραμείνουν υπό επιμερισμένη διαχείριση όσον αφορά τον προγραμματισμό και την υλοποίηση, ώστε να είναι σε θέση να ανταποκρίνονται στις ανάγκες των κρατών μελών, των περιφερειών, και των αστικών, αγροτικών και απομακρυσμένων περιοχών· αναγνωρίζει ότι ο συμπρογραμματισμός, η συγχρηματοδότηση, η συνυπευθυνότητα και η συνευθύνη είναι οι πλέον αποτελεσματικές μέθοδοι για την επιτυχή εφαρμογή της μακροπρόθεσμης επενδυτικής πολιτικής της ΕΕ και των ενωσιακά χρηματοδοτούμενων </w:t>
      </w:r>
      <w:r w:rsidR="001B78F3" w:rsidRPr="00C31263">
        <w:lastRenderedPageBreak/>
        <w:t>έργων·</w:t>
      </w:r>
    </w:p>
    <w:p w:rsidR="001B78F3" w:rsidRPr="00C31263" w:rsidRDefault="00C31263" w:rsidP="00C31263">
      <w:pPr>
        <w:pStyle w:val="NormalHanging12a"/>
        <w:ind w:hanging="570"/>
        <w:rPr>
          <w:szCs w:val="24"/>
        </w:rPr>
      </w:pPr>
      <w:r w:rsidRPr="00C31263">
        <w:rPr>
          <w:szCs w:val="24"/>
        </w:rPr>
        <w:t>17.</w:t>
      </w:r>
      <w:r w:rsidRPr="00C31263">
        <w:rPr>
          <w:szCs w:val="24"/>
        </w:rPr>
        <w:tab/>
      </w:r>
      <w:r w:rsidR="001B78F3" w:rsidRPr="00C31263">
        <w:t>υπογραμμίζει ότι η εμφάνιση μέσων δημοσιονομικής στήριξης που βασίζονται στην άμεση διαχείριση και σε ένα απλούστερο μοντέλο υλοποίησης θα μπορούσε να οδηγήσει σε επανεθνικοποίηση της πολιτικής συνοχής και να θέσει σε κίνδυνο μία από τις βασικές αρχές της: την πολυεπίπεδη διακυβέρνηση· απορρίπτει, ως εκ τούτου, οποιαδήποτε επανεθνικοποίηση της πολιτικής συνοχής·</w:t>
      </w:r>
    </w:p>
    <w:p w:rsidR="001B78F3" w:rsidRPr="00C31263" w:rsidRDefault="00C31263" w:rsidP="00C31263">
      <w:pPr>
        <w:pStyle w:val="NormalHanging12a"/>
        <w:ind w:hanging="570"/>
        <w:rPr>
          <w:szCs w:val="24"/>
        </w:rPr>
      </w:pPr>
      <w:r w:rsidRPr="00C31263">
        <w:rPr>
          <w:szCs w:val="24"/>
        </w:rPr>
        <w:t>18.</w:t>
      </w:r>
      <w:r w:rsidRPr="00C31263">
        <w:rPr>
          <w:szCs w:val="24"/>
        </w:rPr>
        <w:tab/>
      </w:r>
      <w:r w:rsidR="001B78F3" w:rsidRPr="00C31263">
        <w:t>επιμένει ότι όλες οι περιφέρειες της ΕΕ θα πρέπει να παραμείνουν επιλέξιμες για χρηματοδότηση στο πλαίσιο της πολιτικής συνοχής· υπογραμμίζει ότι αυτός είναι ο μόνος τρόπος για να αντιμετωπιστούν οι περιφερειακές προκλήσεις, να επιτευχθεί ένα πιο ισορροπημένο πρότυπο ανάπτυξης σε ολόκληρη την ΕΕ και να αντιμετωπιστούν σε τοπικό επίπεδο τα ιδιαίτερα προβλήματα περιφερειακής ανάπτυξης·</w:t>
      </w:r>
    </w:p>
    <w:p w:rsidR="001B78F3" w:rsidRPr="00C31263" w:rsidRDefault="00C31263" w:rsidP="00C31263">
      <w:pPr>
        <w:pStyle w:val="NormalHanging12a"/>
        <w:ind w:hanging="570"/>
        <w:rPr>
          <w:szCs w:val="24"/>
        </w:rPr>
      </w:pPr>
      <w:r w:rsidRPr="00C31263">
        <w:rPr>
          <w:szCs w:val="24"/>
        </w:rPr>
        <w:t>19.</w:t>
      </w:r>
      <w:r w:rsidRPr="00C31263">
        <w:rPr>
          <w:szCs w:val="24"/>
        </w:rPr>
        <w:tab/>
      </w:r>
      <w:r w:rsidR="001B78F3" w:rsidRPr="00C31263">
        <w:t>τονίζει ότι η μελλοντική πολιτική συνοχής πρέπει να συνεχίσει να εστιάζει στις περιφέρειες που πλήττονται από σοβαρούς και μόνιμους φυσικούς και δημογραφικούς περιορισμούς, όπως αραιοκατοικημένες περιοχές, νησιά, ορεινές περιοχές και διασυνοριακές περιοχές, σε πλήρη συμμόρφωση με το άρθρο 174 ΣΛΕΕ· σημειώνει, στο πλαίσιο αυτό, ότι η ΕΕ έχει καταρτίσει ένα αστικό και αγροτικό θεματολόγιο ενώ αναμένεται η δημοσίευση και ενός νησιωτικού θεματολογίου·</w:t>
      </w:r>
    </w:p>
    <w:p w:rsidR="001B78F3" w:rsidRPr="00C31263" w:rsidRDefault="00C31263" w:rsidP="00C31263">
      <w:pPr>
        <w:pStyle w:val="NormalHanging12a"/>
        <w:ind w:hanging="570"/>
      </w:pPr>
      <w:r w:rsidRPr="00C31263">
        <w:t>20.</w:t>
      </w:r>
      <w:r w:rsidRPr="00C31263">
        <w:tab/>
      </w:r>
      <w:r w:rsidR="001B78F3" w:rsidRPr="00C31263">
        <w:t>ζητεί από το Συμβούλιο την αποδέσμευση και την έναρξη εργασιών επί του φακέλου που αφορά τον ευρωπαϊκό διασυνοριακό μηχανισμό·</w:t>
      </w:r>
    </w:p>
    <w:p w:rsidR="001B78F3" w:rsidRPr="00C31263" w:rsidRDefault="00C31263" w:rsidP="00C31263">
      <w:pPr>
        <w:pStyle w:val="NormalHanging12a"/>
        <w:ind w:hanging="570"/>
        <w:rPr>
          <w:szCs w:val="24"/>
        </w:rPr>
      </w:pPr>
      <w:r w:rsidRPr="00C31263">
        <w:rPr>
          <w:szCs w:val="24"/>
        </w:rPr>
        <w:t>21.</w:t>
      </w:r>
      <w:r w:rsidRPr="00C31263">
        <w:rPr>
          <w:szCs w:val="24"/>
        </w:rPr>
        <w:tab/>
      </w:r>
      <w:r w:rsidR="001B78F3" w:rsidRPr="00C31263">
        <w:t>τονίζει τη σημασία που έχει η εφαρμογή του άρθρου 349 ΣΛΕΕ σε όλες τις πολιτικές της ΕΕ, με σκοπό την επίτευξη των στόχων που καθορίζονται σε αυτό· υπενθυμίζει τον ζωτικό ρόλο που διαδραματίζει η πολιτική συνοχής στις εξόχως απόκεντρες περιοχές· τονίζει τη σημασία του σχεδιασμού και της διατήρησης ειδικά προσαρμοσμένων προγραμμάτων και μέτρων για τις εν λόγω περιφέρειες, δεδομένου ότι η πλειονότητα των εξόχως απόκεντρων περιοχών εξακολουθεί να συγκαταλέγεται μεταξύ των λιγότερο ανεπτυγμένων περιφερειών ή θα πρέπει να αντιμετωπίζονται ως τέτοιες· καλεί την Επιτροπή να εγγυηθεί υψηλά ποσοστά συγχρηματοδότησης, ιδίως για τις εξόχως απόκεντρες περιοχές, χαρακτηρίζοντας όλες αυτές τις περιφέρειες ως λιγότερο ανεπτυγμένες περιφέρειες για τον σκοπό αυτόν·</w:t>
      </w:r>
    </w:p>
    <w:p w:rsidR="001B78F3" w:rsidRPr="00C31263" w:rsidRDefault="00C31263" w:rsidP="00C31263">
      <w:pPr>
        <w:pStyle w:val="NormalHanging12a"/>
        <w:ind w:hanging="570"/>
        <w:rPr>
          <w:szCs w:val="24"/>
        </w:rPr>
      </w:pPr>
      <w:r w:rsidRPr="00C31263">
        <w:rPr>
          <w:szCs w:val="24"/>
        </w:rPr>
        <w:t>22.</w:t>
      </w:r>
      <w:r w:rsidRPr="00C31263">
        <w:rPr>
          <w:szCs w:val="24"/>
        </w:rPr>
        <w:tab/>
      </w:r>
      <w:r w:rsidR="001B78F3" w:rsidRPr="00C31263">
        <w:t>τονίζει ότι οι δυσανάλογες επιβαρύνσεις, όπως τα εγγενή διαρθρωτικά μειονεκτήματα που αντιμετωπίζουν όλες οι παραμεθόριες περιοχές, θα πρέπει να αντισταθμίζονται από ένα χωριστό σύστημα περιφερειακών ενισχύσεων ειδικά σχεδιασμένων για τις παραμεθόριες περιοχές· απαιτεί το 0,26 % του προϋπολογισμού της πολιτικής συνοχής της ΕΕ να δεσμεύεται αποκλειστικά για την ανάπτυξη παραμεθόριων περιοχών («δισεκατομμύριο για τις παραμεθόριες περιοχές») στην αρχή κάθε νέας περιόδου προγραμματισμού, αρχής γενομένης από την περίοδο 2028-2034·</w:t>
      </w:r>
    </w:p>
    <w:p w:rsidR="001B78F3" w:rsidRPr="00C31263" w:rsidRDefault="00C31263" w:rsidP="00C31263">
      <w:pPr>
        <w:pStyle w:val="NormalHanging12a"/>
        <w:ind w:hanging="570"/>
        <w:rPr>
          <w:szCs w:val="24"/>
        </w:rPr>
      </w:pPr>
      <w:r w:rsidRPr="00C31263">
        <w:rPr>
          <w:szCs w:val="24"/>
        </w:rPr>
        <w:t>23.</w:t>
      </w:r>
      <w:r w:rsidRPr="00C31263">
        <w:rPr>
          <w:szCs w:val="24"/>
        </w:rPr>
        <w:tab/>
      </w:r>
      <w:r w:rsidR="001B78F3" w:rsidRPr="00C31263">
        <w:t xml:space="preserve">πιστεύει ότι τα κριτήρια της «μη πρόκλησης σημαντικής βλάβης» πρέπει να αποτρέπουν τα περιβαλλοντικώς επιβλαβή μέτρα προκειμένου να επιτευχθεί ο στόχος μιας Ευρώπης με ουδέτερο ισοζύγιο άνθρακα έως το 2050 το αργότερο· ζητεί από την Επιτροπή να θεσπίσει αυστηρά κριτήρια στο επικείμενο νομικό πλαίσιο της πολιτικής συνοχής μετά το 2027 με σκοπό τη βελτίωση της εφαρμογής της αρχής της μη πρόκλησης σημαντικής βλάβης· ζητεί επίσης οι δαπάνες που σχετίζονται με το κλίμα να είναι τουλάχιστον στο ίδιο επίπεδο στο νέο πλαίσιο, προκειμένου να επιτευχθούν οι στόχοι για το κλίμα που ορίζονται στη συμφωνία του Παρισιού και να υπάρχει </w:t>
      </w:r>
      <w:r w:rsidR="001B78F3" w:rsidRPr="00C31263">
        <w:lastRenderedPageBreak/>
        <w:t>εναρμόνιση με τους Στόχους Βιώσιμης Ανάπτυξης των Ηνωμένων Εθνών και με την Ευρωπαϊκή Πράσινη Συμφωνία·</w:t>
      </w:r>
    </w:p>
    <w:p w:rsidR="001B78F3" w:rsidRPr="00C31263" w:rsidRDefault="00C31263" w:rsidP="00C31263">
      <w:pPr>
        <w:pStyle w:val="NormalHanging12a"/>
        <w:ind w:hanging="570"/>
        <w:rPr>
          <w:szCs w:val="24"/>
        </w:rPr>
      </w:pPr>
      <w:r w:rsidRPr="00C31263">
        <w:rPr>
          <w:szCs w:val="24"/>
        </w:rPr>
        <w:t>24.</w:t>
      </w:r>
      <w:r w:rsidRPr="00C31263">
        <w:rPr>
          <w:szCs w:val="24"/>
        </w:rPr>
        <w:tab/>
      </w:r>
      <w:r w:rsidR="001B78F3" w:rsidRPr="00C31263">
        <w:t>υπογραμμίζει ότι ο κύριος σκοπός της πολιτικής συνοχής της ΕΕ είναι η μείωση των ανισοτήτων μεταξύ των κρατών μελών και ιδίως μεταξύ και εντός των περιφερειών των κρατών μελών· υπογραμμίζει ότι ο προϋπολογισμός της πολιτικής συνοχής θα πρέπει να χρησιμοποιείται πρωτίστως για τους στόχους της πολιτικής συνοχής και όχι για νέα μέσα και προγράμματα που δεν εμπίπτουν στην πολιτική συνοχής, είτε εντός είτε εκτός του ΠΔΠ, συμπεριλαμβανομένων των προαιρετικών μεταβιβάσεων·</w:t>
      </w:r>
    </w:p>
    <w:p w:rsidR="001B78F3" w:rsidRPr="00C31263" w:rsidRDefault="00C31263" w:rsidP="00C31263">
      <w:pPr>
        <w:pStyle w:val="NormalHanging12a"/>
        <w:ind w:hanging="570"/>
        <w:rPr>
          <w:szCs w:val="24"/>
        </w:rPr>
      </w:pPr>
      <w:r w:rsidRPr="00C31263">
        <w:rPr>
          <w:szCs w:val="24"/>
        </w:rPr>
        <w:t>25.</w:t>
      </w:r>
      <w:r w:rsidRPr="00C31263">
        <w:rPr>
          <w:szCs w:val="24"/>
        </w:rPr>
        <w:tab/>
      </w:r>
      <w:r w:rsidR="001B78F3" w:rsidRPr="00C31263">
        <w:t>αναγνωρίζει την ανάγκη ενσωματωμένης ευελιξίας για την αντιμετώπιση κρίσεων· προτείνει τη δημιουργία ενός ειδικού άξονα που θα επιτρέπει στις τοπικές και περιφερειακές αρχές να διαχειρίζονται τις αναδυόμενες προτεραιότητες· τονίζει, ωστόσο, ότι η αναπροσαρμογή της χρηματοδότησης για τη συνοχή δεν θα πρέπει να ενεργοποιείται από νέες νομοθετικές πρωτοβουλίες της Επιτροπής, αλλά αντίθετα θα πρέπει να δρομολογείται από μια διαχειριστική αρχή στο πλαίσιο διαδικασίας από τη βάση προς την κορυφή, μετά από υποχρεωτικές διαβουλεύσεις με τις περιφερειακές και τοπικές αρχές και με την κατάλληλη συμμετοχή της κοινωνίας των πολιτών, όπως προβλέπεται στον κανονισμό περί κοινών διατάξεων και στον κώδικα δεοντολογίας για την εταιρική σχέση· τονίζει ότι κατ’ αυτόν τον τρόπο δεν θα αποδυναμωθεί ο πολυετής προσανατολισμός της πολιτικής, αλλά θα υποστηριχθεί η καλύτερη προσαρμογή της στον ταχέως μεταβαλλόμενο χαρακτήρα της εποχής μας·</w:t>
      </w:r>
    </w:p>
    <w:p w:rsidR="001B78F3" w:rsidRPr="00C31263" w:rsidRDefault="00C31263" w:rsidP="00C31263">
      <w:pPr>
        <w:pStyle w:val="NormalHanging12a"/>
        <w:ind w:hanging="570"/>
        <w:rPr>
          <w:szCs w:val="24"/>
        </w:rPr>
      </w:pPr>
      <w:r w:rsidRPr="00C31263">
        <w:rPr>
          <w:szCs w:val="24"/>
        </w:rPr>
        <w:t>26.</w:t>
      </w:r>
      <w:r w:rsidRPr="00C31263">
        <w:rPr>
          <w:szCs w:val="24"/>
        </w:rPr>
        <w:tab/>
      </w:r>
      <w:r w:rsidR="001B78F3" w:rsidRPr="00C31263">
        <w:t>αποδοκιμάζει το γεγονός ότι οι καθυστερήσεις στις διαπραγματεύσεις για το ΠΔΠ προκάλεσαν σημαντικές καθυστερήσεις κατά την περίοδο προγραμματισμού 2021-2027, κάτι που είχε αντίκτυπο στους δικαιούχους και ιδίως στις διαχειριστικές αρχές, οι οποίες επιβαρύνθηκαν σημαντικά λόγω της ενασχόλησής τους τόσο με την ολοκλήρωση της περιόδου χρηματοδότησης 2014-2020 όσο και με την έναρξη της τρέχουσας περιόδου χρηματοδότησης· καλεί, επομένως, την Επιτροπή να εξετάσει εάν είναι νομικά δυνατόν να δημιουργηθούν δύο χωριστά τμήματα στο πλαίσιο του κανονισμού περί κοινών διατάξεων, και συγκεκριμένα ένα τμήμα που να αφορά το περιεχόμενο (πολιτικής φύσης) και ένα τμήμα που να αφορά το ΠΔΠ (δημοσιονομικοί πόροι), για την περίοδο προγραμματισμού μετά το 2027· πιστεύει ότι το τμήμα που αφορά το περιεχόμενο θα πρέπει να αποτελεί αντικείμενο διαπραγματεύσεων και να συνάπτεται πριν από το τμήμα που αφορά το ΠΔΠ, ώστε οι διαχειριστικές αρχές να έχουν τη δυνατότητα έγκαιρης έναρξης της προετοιμασίας, για να διασφαλίζεται η αρχή της πραγματικής εταιρικής σχέσης και η αποδοτική χρήση των μέσων της πολιτικής συνοχής·</w:t>
      </w:r>
    </w:p>
    <w:p w:rsidR="001B78F3" w:rsidRPr="00C31263" w:rsidRDefault="00C31263" w:rsidP="00C31263">
      <w:pPr>
        <w:pStyle w:val="NormalHanging12a"/>
        <w:ind w:hanging="570"/>
        <w:rPr>
          <w:szCs w:val="24"/>
        </w:rPr>
      </w:pPr>
      <w:r w:rsidRPr="00C31263">
        <w:rPr>
          <w:szCs w:val="24"/>
        </w:rPr>
        <w:t>27.</w:t>
      </w:r>
      <w:r w:rsidRPr="00C31263">
        <w:rPr>
          <w:szCs w:val="24"/>
        </w:rPr>
        <w:tab/>
      </w:r>
      <w:r w:rsidR="001B78F3" w:rsidRPr="00C31263">
        <w:t>προειδοποιεί ότι η ύπαρξη πολλαπλών ταμείων με στόχο τη συνοχή, μερικές φορές με προτεραιότητες που αλληλοκαλύπτονται, μπορεί να υπονομεύσει την αποτελεσματική εφαρμογή της πολιτική συνοχής· ζητεί σαφή διαχωρισμό, καθώς και ευθυγράμμιση και συμπληρωματικότητα μεταξύ της πολιτικής συνοχής και των άλλων μέσων, ώστε να αποφεύγονται οι επικαλύψεις και ο ανταγωνισμός μεταξύ των μέσων της ΕΕ· επιμένει στην ανάγκη ενίσχυσης αυτής της συμπληρωματικότητας με την ενίσχυση της δυνατότητας χρηματοδότησης κοινών έργων·</w:t>
      </w:r>
    </w:p>
    <w:p w:rsidR="001B78F3" w:rsidRPr="00C31263" w:rsidRDefault="00C31263" w:rsidP="00C31263">
      <w:pPr>
        <w:pStyle w:val="NormalHanging12a"/>
        <w:ind w:hanging="570"/>
        <w:rPr>
          <w:szCs w:val="24"/>
        </w:rPr>
      </w:pPr>
      <w:r w:rsidRPr="00C31263">
        <w:rPr>
          <w:szCs w:val="24"/>
        </w:rPr>
        <w:t>28.</w:t>
      </w:r>
      <w:r w:rsidRPr="00C31263">
        <w:rPr>
          <w:szCs w:val="24"/>
        </w:rPr>
        <w:tab/>
      </w:r>
      <w:r w:rsidR="001B78F3" w:rsidRPr="00C31263">
        <w:t xml:space="preserve">εφιστά την προσοχή στις δυσκολίες των τοπικών, περιφερειακών και εθνικών αρχών όσον αφορά την πρόσληψη ειδικευμένου εργατικού δυναμικού για την υλοποίηση, τη διαχείριση και τον έλεγχο των κονδυλίων της πολιτικής συνοχής, ως έναν από τους λόγους για τις καθυστερήσεις στην εκτέλεση των εν λόγω κονδυλίων· καλεί τα κράτη </w:t>
      </w:r>
      <w:r w:rsidR="001B78F3" w:rsidRPr="00C31263">
        <w:lastRenderedPageBreak/>
        <w:t>μέλη και τις περιφέρειές τους να καταβάλλουν προσπάθειες για την κατάρτιση και την πρόσληψη εξειδικευμένου προσωπικού για τη βελτιστοποίηση της εκτέλεσης, της διαχείρισης και του ελέγχου των κονδυλίων της ΕΕ στο μέλλον, προκειμένου τα κονδύλια αυτά να καταστούν όσο το δυνατόν πιο αποτελεσματικά και αποδοτικά·</w:t>
      </w:r>
    </w:p>
    <w:p w:rsidR="001B78F3" w:rsidRPr="00C31263" w:rsidRDefault="00C31263" w:rsidP="00C31263">
      <w:pPr>
        <w:pStyle w:val="NormalHanging12a"/>
        <w:ind w:hanging="570"/>
        <w:rPr>
          <w:szCs w:val="24"/>
        </w:rPr>
      </w:pPr>
      <w:r w:rsidRPr="00C31263">
        <w:rPr>
          <w:szCs w:val="24"/>
        </w:rPr>
        <w:t>29.</w:t>
      </w:r>
      <w:r w:rsidRPr="00C31263">
        <w:rPr>
          <w:szCs w:val="24"/>
        </w:rPr>
        <w:tab/>
      </w:r>
      <w:r w:rsidR="001B78F3" w:rsidRPr="00C31263">
        <w:t>επισημαίνει ότι, όπως αποδεικνύεται από τις αναλύσεις των επιδόσεων των ταμείων της πολιτικής συνοχής, μεταξύ άλλων του Ευρωπαϊκού Ελεγκτικού Συνεδρίου, υπάρχουν περιθώρια βελτίωσης της αποτελεσματικότητας των παρεμβάσεων της πολιτικής συνοχής για την υλοποίηση των πρωταρχικών προτεραιοτήτων της ΕΕ και την αντιμετώπιση εδαφικών προκλήσεων, όπως η ανταγωνιστικότητα ή ο οικολογικός προσανατολισμός της οικονομίας· εκτιμά ότι μια ευρύτερη αντίδραση που θα περιλαμβάνει περισσότερες πολιτικές της ΕΕ και μια αποτελεσματική στόχευση των κονδυλίων θα είναι επομένως απαραίτητη για την καταπολέμηση της «γεωγραφίας της δυσαρέσκειας»·</w:t>
      </w:r>
    </w:p>
    <w:p w:rsidR="001B78F3" w:rsidRPr="00C31263" w:rsidRDefault="00C31263" w:rsidP="00C31263">
      <w:pPr>
        <w:pStyle w:val="NormalHanging12a"/>
        <w:ind w:hanging="570"/>
      </w:pPr>
      <w:r w:rsidRPr="00C31263">
        <w:t>30.</w:t>
      </w:r>
      <w:r w:rsidRPr="00C31263">
        <w:tab/>
      </w:r>
      <w:r w:rsidR="001B78F3" w:rsidRPr="00C31263">
        <w:t>πιστεύει ότι η νομοθετική πρόταση για τη μελλοντική πολιτική συνοχής θα πρέπει να εκδοθεί μόνο εφόσον ληφθούν υπόψη τα αποτελέσματα των προσπαθειών ευρείας διαβούλευσης και της ευθυγράμμισης γεγονότων και επιτόπιων δομών σε όλη την ΕΕ, με το αιτιολογικό της συγκέντρωσης όλων των επιπέδων διακυβέρνησης και όλων των άλλων ενδιαφερόμενων μερών·</w:t>
      </w:r>
    </w:p>
    <w:p w:rsidR="001B78F3" w:rsidRPr="00C31263" w:rsidRDefault="00C31263" w:rsidP="00C31263">
      <w:pPr>
        <w:pStyle w:val="NormalHanging12a"/>
        <w:ind w:hanging="570"/>
        <w:rPr>
          <w:szCs w:val="24"/>
        </w:rPr>
      </w:pPr>
      <w:r w:rsidRPr="00C31263">
        <w:rPr>
          <w:szCs w:val="24"/>
        </w:rPr>
        <w:t>31.</w:t>
      </w:r>
      <w:r w:rsidRPr="00C31263">
        <w:rPr>
          <w:szCs w:val="24"/>
        </w:rPr>
        <w:tab/>
      </w:r>
      <w:r w:rsidR="001B78F3" w:rsidRPr="00C31263">
        <w:t>υπογραμμίζει την ανάγκη για ολοκληρωμένη αξιολόγηση του αντικτύπου των ΕΔΕΤ στα κράτη μέλη και στις δικαιούχες περιφέρειες και δήμους, με έμφαση όχι μόνο στο επίπεδο εκτέλεσης των κονδυλίων που διατίθενται, αλλά μάλλον στον μετασχηματιστικό χαρακτήρα των επενδύσεων και τον αντίκτυπό τους στην οικονομία και την απασχόληση στην περιοχή·</w:t>
      </w:r>
    </w:p>
    <w:p w:rsidR="001B78F3" w:rsidRPr="00C31263" w:rsidRDefault="00C31263" w:rsidP="00C31263">
      <w:pPr>
        <w:pStyle w:val="NormalHanging12a"/>
        <w:ind w:hanging="570"/>
        <w:rPr>
          <w:szCs w:val="24"/>
        </w:rPr>
      </w:pPr>
      <w:r w:rsidRPr="00C31263">
        <w:rPr>
          <w:szCs w:val="24"/>
        </w:rPr>
        <w:t>32.</w:t>
      </w:r>
      <w:r w:rsidRPr="00C31263">
        <w:rPr>
          <w:szCs w:val="24"/>
        </w:rPr>
        <w:tab/>
      </w:r>
      <w:r w:rsidR="001B78F3" w:rsidRPr="00C31263">
        <w:t>σημειώνει ότι το κανονιστικό πλαίσιο για την περίοδο 2021-2027 έχει ήδη θεσπίσει μέτρα για την απλούστευση της υλοποίησης και της διαχείρισης της πολιτικής συνοχής· επισημαίνει ότι, ενώ έχει σημειωθεί πραγματική πρόοδος, απομένει ακόμη πολύς δρόμος όσον αφορά την απλούστευση των διαδικασιών για τους τελικούς δικαιούχους και την παροχή ασφάλειας δικαίου για τις διαχειριστικές αρχές· τονίζει ότι θα πρέπει να αποφεύγονται οι αλληλεπικαλυπτόμενοι έλεγχοι και λογιστικοί έλεγχοι των κονδυλίων· τονίζει ότι η περαιτέρω απλούστευση θα πρέπει επίσης να καταστήσει δυνατή την επιτάχυνση του ρυθμού εφαρμογής και απορρόφησης·</w:t>
      </w:r>
    </w:p>
    <w:p w:rsidR="001B78F3" w:rsidRPr="00C31263" w:rsidRDefault="00C31263" w:rsidP="00C31263">
      <w:pPr>
        <w:pStyle w:val="NormalHanging12a"/>
        <w:ind w:hanging="570"/>
        <w:rPr>
          <w:szCs w:val="24"/>
        </w:rPr>
      </w:pPr>
      <w:r w:rsidRPr="00C31263">
        <w:rPr>
          <w:szCs w:val="24"/>
        </w:rPr>
        <w:t>33.</w:t>
      </w:r>
      <w:r w:rsidRPr="00C31263">
        <w:rPr>
          <w:szCs w:val="24"/>
        </w:rPr>
        <w:tab/>
      </w:r>
      <w:r w:rsidR="001B78F3" w:rsidRPr="00C31263">
        <w:t>τονίζει, ως εκ τούτου, ότι η απλούστευση θα πρέπει να είναι μία από τις βασικές κινητήριες δυνάμεις της μελλοντικής πολιτικής συνοχής· θεωρεί αναγκαίο να εξορθολογιστούν οι διαδικασίες σύναψης δημόσιων συμβάσεων, να βελτιωθεί η ευθυγράμμιση της πολιτικής συνοχής με τους κανόνες για τις κρατικές ενισχύσεις, να αυξηθεί η χρήση απλουστευμένων επιλογών κόστους, να εφαρμοστεί η αρχή του ενιαίου ελέγχου και να προσδιοριστούν «υπηρεσίες μίας στάσης» για δυνητικούς δικαιούχους· πιστεύει ότι η εφαρμογή των κανόνων παρεκβολής του ποσοστού σφάλματος δημιουργεί δυσανάλογο διοικητικό φόρτο για τις διαχειριστικές αρχές και ζητεί από την Επιτροπή να εξετάσει το ενδεχόμενο αναθεώρησης των εν λόγω κανόνων· καλεί τα κράτη μέλη να αποφεύγουν τις υπερβολικές ρυθμίσεις προκειμένου να διασφαλίζεται η ασφάλεια δικαίου για τους δικαιούχους·</w:t>
      </w:r>
    </w:p>
    <w:p w:rsidR="001B78F3" w:rsidRPr="00C31263" w:rsidRDefault="00C31263" w:rsidP="00C31263">
      <w:pPr>
        <w:pStyle w:val="NormalHanging12a"/>
        <w:ind w:hanging="570"/>
        <w:rPr>
          <w:szCs w:val="24"/>
        </w:rPr>
      </w:pPr>
      <w:r w:rsidRPr="00C31263">
        <w:rPr>
          <w:szCs w:val="24"/>
        </w:rPr>
        <w:t>34.</w:t>
      </w:r>
      <w:r w:rsidRPr="00C31263">
        <w:rPr>
          <w:szCs w:val="24"/>
        </w:rPr>
        <w:tab/>
      </w:r>
      <w:r w:rsidR="001B78F3" w:rsidRPr="00C31263">
        <w:t xml:space="preserve">πιστεύει ότι ο περαιτέρω εξορθολογισμός της αρχιτεκτονικής των χρηματοδοτικών μέσων της ΕΕ θα πρέπει να επιτευχθεί σε ολόκληρο το Ταμείο Συνοχής, το ΕΤΠΑ, το ΕΚΤ+ και το Ταμείο Δίκαιης Μετάβασης, και ενδεχομένως να επεκταθεί στο ΕΓΤΑΑ, </w:t>
      </w:r>
      <w:r w:rsidR="001B78F3" w:rsidRPr="00C31263">
        <w:lastRenderedPageBreak/>
        <w:t>καθώς θα πρέπει να καλύπτεται από τον κανονισμό περί κοινών διατάξεων· αναγνωρίζει ότι ένας τέτοιος εξορθολογισμός θα οδηγούσε σε περαιτέρω απλούστευση του προγραμματισμού και της εφαρμογής της πολιτικής, σε ενίσχυση της ορατότητας και της αποτελεσματικότητάς της και στη βελτίωση της πρόσβασης στη χρηματοδότηση για τους δικαιούχους· τονίζει τη σημασία του εξορθολογισμού των ειδικών κανονισμών για κάθε ταμείο προκειμένου να ελαχιστοποιηθούν οι καθυστερήσεις εφαρμογής και η πολυπλοκότητα του προγραμματισμού· σημειώνει ότι κάθε εξορθολογισμός των ταμείων θα πρέπει να διατηρεί τον θεματικό προσανατολισμό τους και τις χρηματοδοτικές ροές για τους αντίστοιχους τομείς πολιτικής·</w:t>
      </w:r>
    </w:p>
    <w:p w:rsidR="001B78F3" w:rsidRPr="00C31263" w:rsidRDefault="00C31263" w:rsidP="00C31263">
      <w:pPr>
        <w:pStyle w:val="NormalHanging12a"/>
        <w:ind w:hanging="570"/>
        <w:rPr>
          <w:szCs w:val="24"/>
        </w:rPr>
      </w:pPr>
      <w:r w:rsidRPr="00C31263">
        <w:rPr>
          <w:szCs w:val="24"/>
        </w:rPr>
        <w:t>35.</w:t>
      </w:r>
      <w:r w:rsidRPr="00C31263">
        <w:rPr>
          <w:szCs w:val="24"/>
        </w:rPr>
        <w:tab/>
      </w:r>
      <w:r w:rsidR="001B78F3" w:rsidRPr="00C31263">
        <w:t>αναγνωρίζει ότι η θέσπιση του πλαισίου επιδόσεων κατά την περίοδο 2014-2020 ήταν μια προσπάθεια να βελτιωθεί ο προσανατολισμός της πολιτικής στα αποτελέσματα· ζητεί, εν προκειμένω, εκ βάθρων εκσυγχρονισμό του μοντέλου υλοποίησης —στροφή από έναν κύκλο δραστηριότητας-πληρωμής στην εφαρμογή βάσει επιδόσεων, σύμφωνα με απτά ορόσημα, και ταυτόχρονη σύνδεση με μεταρρυθμίσεις που ενισχύουν την τοπική και περιφερειακή ανάπτυξη υπογραμμίζοντας τα βασικά στοιχεία της πολιτικής συνοχής· τονίζει ότι η προσέγγιση βάσει επιδόσεων δεν θα έχει αποτέλεσμα, εκτός εάν οι αρχές σε περιφερειακό και τοπικό επίπεδο έχουν λόγο σχετικά με τον προσδιορισμό των στόχων βάσει των οποίων θα μετράται η επιτυχία της πολιτικής·</w:t>
      </w:r>
    </w:p>
    <w:p w:rsidR="001B78F3" w:rsidRPr="00C31263" w:rsidRDefault="00C31263" w:rsidP="00C31263">
      <w:pPr>
        <w:pStyle w:val="NormalHanging12a"/>
        <w:ind w:hanging="570"/>
        <w:rPr>
          <w:szCs w:val="24"/>
        </w:rPr>
      </w:pPr>
      <w:r w:rsidRPr="00C31263">
        <w:rPr>
          <w:szCs w:val="24"/>
        </w:rPr>
        <w:t>36.</w:t>
      </w:r>
      <w:r w:rsidRPr="00C31263">
        <w:rPr>
          <w:szCs w:val="24"/>
        </w:rPr>
        <w:tab/>
      </w:r>
      <w:r w:rsidR="001B78F3" w:rsidRPr="00C31263">
        <w:t>υπογραμμίζει ότι μια τέτοια στροφή προς την εφαρμογή με βάση τις επιδόσεις δεν θα πρέπει να υπονομεύει τη διαφάνεια, τη λογοδοσία και την προστασία των οικονομικών συμφερόντων της Ένωσης· σημειώνει ότι τα συστήματα λογιστικού και άλλου ελέγχου θα πρέπει, ωστόσο, να προσαρμοστούν στο πλαίσιο που βασίζεται στις επιδόσεις·</w:t>
      </w:r>
    </w:p>
    <w:p w:rsidR="001B78F3" w:rsidRPr="00C31263" w:rsidRDefault="00C31263" w:rsidP="00C31263">
      <w:pPr>
        <w:pStyle w:val="NormalHanging12a"/>
        <w:ind w:hanging="570"/>
        <w:rPr>
          <w:szCs w:val="24"/>
        </w:rPr>
      </w:pPr>
      <w:r w:rsidRPr="00C31263">
        <w:rPr>
          <w:szCs w:val="24"/>
        </w:rPr>
        <w:t>37.</w:t>
      </w:r>
      <w:r w:rsidRPr="00C31263">
        <w:rPr>
          <w:szCs w:val="24"/>
        </w:rPr>
        <w:tab/>
      </w:r>
      <w:r w:rsidR="001B78F3" w:rsidRPr="00C31263">
        <w:t>ζητεί ευρύτερη χρήση των ψηφιακών τεχνολογιών και λύσεων στα κράτη μέλη για την απλοποίηση της υλοποίησης, την παρακολούθησης και της αναφοράς, γεγονός που θα συμβάλει σε πιο αποτελεσματική διοίκηση και στην ανάγκη για λιγότερα φυσικά έγγραφα·</w:t>
      </w:r>
    </w:p>
    <w:p w:rsidR="001B78F3" w:rsidRPr="00C31263" w:rsidRDefault="00C31263" w:rsidP="00C31263">
      <w:pPr>
        <w:pStyle w:val="NormalHanging12a"/>
        <w:ind w:hanging="570"/>
        <w:rPr>
          <w:szCs w:val="24"/>
        </w:rPr>
      </w:pPr>
      <w:r w:rsidRPr="00C31263">
        <w:rPr>
          <w:szCs w:val="24"/>
        </w:rPr>
        <w:t>38.</w:t>
      </w:r>
      <w:r w:rsidRPr="00C31263">
        <w:rPr>
          <w:szCs w:val="24"/>
        </w:rPr>
        <w:tab/>
      </w:r>
      <w:r w:rsidR="001B78F3" w:rsidRPr="00C31263">
        <w:t>σημειώνει ότι δεν πρέπει να γίνεται κατάχρηση των δημόσιων πόρων που προέρχονται από φορολογούμενους· καλεί την Επιτροπή, τα κράτη μέλη και τις περιφερειακές αρχές να αξιοποιήσουν και να βελτιώσουν τους ισχύοντες μηχανισμούς για τον εντοπισμό και την καταπολέμηση των παρατυπιών, της απάτης και της διαφθοράς στη χρηματοδότηση της πολιτικής συνοχής·</w:t>
      </w:r>
    </w:p>
    <w:p w:rsidR="001B78F3" w:rsidRPr="00C31263" w:rsidRDefault="00C31263" w:rsidP="00C31263">
      <w:pPr>
        <w:pStyle w:val="NormalHanging12a"/>
        <w:ind w:hanging="570"/>
        <w:rPr>
          <w:szCs w:val="24"/>
        </w:rPr>
      </w:pPr>
      <w:r w:rsidRPr="00C31263">
        <w:rPr>
          <w:szCs w:val="24"/>
        </w:rPr>
        <w:t>39.</w:t>
      </w:r>
      <w:r w:rsidRPr="00C31263">
        <w:rPr>
          <w:szCs w:val="24"/>
        </w:rPr>
        <w:tab/>
      </w:r>
      <w:r w:rsidR="001B78F3" w:rsidRPr="00C31263">
        <w:t>καλεί την Επιτροπή να διασφαλίσει ότι όλα τα κράτη μέλη έχουν αποτελεσματικό μηχανισμό για την αναφορά παρατυπιών, σύμφωνα με τον κατ’ εξουσιοδότηση κανονισμό (ΕΕ) 2015/1970 της Επιτροπής</w:t>
      </w:r>
      <w:r w:rsidR="001B78F3" w:rsidRPr="00C31263">
        <w:rPr>
          <w:rStyle w:val="FootnoteReference"/>
        </w:rPr>
        <w:footnoteReference w:id="66"/>
      </w:r>
      <w:r w:rsidR="001B78F3" w:rsidRPr="00C31263">
        <w:t xml:space="preserve">· προτείνει οι παρατυπίες να ταξινομούνται ως περατωθείσες στο σύστημα διαχείρισης παρατυπιών (IMS) μόνο αφού τα υπολειπόμενα ποσά ανακτηθούν και σε εθνικό επίπεδο, όχι απλώς μόλις τα παράτυπα ποσά επιστρέφονται στην Επιτροπή· συνιστά στα κράτη μέλη να διασφαλίσουν, μέσω εργαλείων εξόρυξης δεδομένων όπως το ARACHNE, ότι τα δεδομένα που περιέχονται </w:t>
      </w:r>
      <w:r w:rsidR="001B78F3" w:rsidRPr="00C31263">
        <w:lastRenderedPageBreak/>
        <w:t>στην επίσημη έκθεση παρατυπιών και απάτης στο IMS διασταυρώνονται με τα δεδομένα για τα εγκεκριμένα έργα·</w:t>
      </w:r>
    </w:p>
    <w:p w:rsidR="001B78F3" w:rsidRPr="00C31263" w:rsidRDefault="00C31263" w:rsidP="00C31263">
      <w:pPr>
        <w:pStyle w:val="NormalHanging12a"/>
        <w:ind w:hanging="570"/>
        <w:rPr>
          <w:szCs w:val="24"/>
        </w:rPr>
      </w:pPr>
      <w:r w:rsidRPr="00C31263">
        <w:rPr>
          <w:szCs w:val="24"/>
        </w:rPr>
        <w:t>40.</w:t>
      </w:r>
      <w:r w:rsidRPr="00C31263">
        <w:rPr>
          <w:szCs w:val="24"/>
        </w:rPr>
        <w:tab/>
      </w:r>
      <w:r w:rsidR="001B78F3" w:rsidRPr="00C31263">
        <w:t>καλεί την Επιτροπή να βελτιώσει τον συντονισμό των αρμοδιοτήτων της Ευρωπαϊκής Υπηρεσίας Καταπολέμησης της Απάτης (OLAF) και της Ευρωπαϊκής Εισαγγελίας για τη διερεύνηση παρατυπιών και απάτης που σχετίζονται με τα ταμεία της πολιτικής συνοχής·</w:t>
      </w:r>
    </w:p>
    <w:p w:rsidR="001B78F3" w:rsidRPr="00C31263" w:rsidRDefault="00C31263" w:rsidP="00C31263">
      <w:pPr>
        <w:pStyle w:val="NormalHanging12a"/>
        <w:ind w:hanging="570"/>
        <w:rPr>
          <w:szCs w:val="24"/>
        </w:rPr>
      </w:pPr>
      <w:r w:rsidRPr="00C31263">
        <w:rPr>
          <w:szCs w:val="24"/>
        </w:rPr>
        <w:t>41.</w:t>
      </w:r>
      <w:r w:rsidRPr="00C31263">
        <w:rPr>
          <w:szCs w:val="24"/>
        </w:rPr>
        <w:tab/>
      </w:r>
      <w:r w:rsidR="001B78F3" w:rsidRPr="00C31263">
        <w:t>καλεί τα υπόλοιπα κράτη μέλη να προσχωρήσουν στην Ευρωπαϊκή Εισαγγελία, προκειμένου να ενισχυθεί η καταπολέμηση της διαφθοράς και της κατάχρησης των κονδυλίων της ΕΕ·</w:t>
      </w:r>
    </w:p>
    <w:p w:rsidR="001B78F3" w:rsidRPr="00C31263" w:rsidRDefault="00C31263" w:rsidP="00C31263">
      <w:pPr>
        <w:pStyle w:val="NormalHanging12a"/>
        <w:ind w:hanging="570"/>
        <w:rPr>
          <w:szCs w:val="24"/>
        </w:rPr>
      </w:pPr>
      <w:r w:rsidRPr="00C31263">
        <w:rPr>
          <w:szCs w:val="24"/>
        </w:rPr>
        <w:t>42.</w:t>
      </w:r>
      <w:r w:rsidRPr="00C31263">
        <w:rPr>
          <w:szCs w:val="24"/>
        </w:rPr>
        <w:tab/>
      </w:r>
      <w:r w:rsidR="001B78F3" w:rsidRPr="00C31263">
        <w:t>υποστηρίζει σθεναρά την εφαρμογή της αιρεσιμότητας για το κράτος δικαίου σε όλα τα κράτη μέλη· αναμένει, ως εκ τούτου, από την Επιτροπή να λάβει πλήρως υπόψη τις πτυχές του κράτους δικαίου κατά την έγκριση των συμφωνιών εταιρικής σχέσης και των προγραμμάτων της πολιτικής συνοχής, ώστε να συμμορφώνονται πλήρως με τους αναγκαίους πρόσφορους όρους για την αποτελεσματική εφαρμογή και υλοποίηση του Χάρτη των Θεμελιωδών Δικαιωμάτων, όπως περιγράφεται στο παράρτημα III του κανονισμού περί κοινών διατάξεων· αναμένει επίσης από την Επιτροπή να μην εγκρίνει καμία συμφωνία ή πρόγραμμα εταιρικής σχέσης έως ότου αυτή η εις βάθος ανάλυση των συγκεκριμένων πτυχών οδηγήσει σε υψηλό επίπεδο διασφάλισης της απουσίας κινδύνου·</w:t>
      </w:r>
    </w:p>
    <w:p w:rsidR="001B78F3" w:rsidRPr="00C31263" w:rsidRDefault="00C31263" w:rsidP="00C31263">
      <w:pPr>
        <w:pStyle w:val="NormalHanging12a"/>
        <w:ind w:hanging="570"/>
        <w:rPr>
          <w:szCs w:val="24"/>
        </w:rPr>
      </w:pPr>
      <w:r w:rsidRPr="00C31263">
        <w:rPr>
          <w:szCs w:val="24"/>
        </w:rPr>
        <w:t>43.</w:t>
      </w:r>
      <w:r w:rsidRPr="00C31263">
        <w:rPr>
          <w:szCs w:val="24"/>
        </w:rPr>
        <w:tab/>
      </w:r>
      <w:r w:rsidR="001B78F3" w:rsidRPr="00C31263">
        <w:t>επαναλαμβάνει τη σημασία των διασφαλίσεων που θα αποτρέπουν την άδικη ποινικοποίηση των δικαιούχων που βρίσκονται σε χώρες που ενδέχεται να υπόκεινται στην ενεργοποίηση του μηχανισμού για το κράτος δικαίου· ζητεί από την Επιτροπή να εξετάσει τρόπους με τους οποίους θα μπορεί να διαθέσει τα κονδύλια στους τελικούς δικαιούχους τους·</w:t>
      </w:r>
    </w:p>
    <w:p w:rsidR="001B78F3" w:rsidRPr="00C31263" w:rsidRDefault="00C31263" w:rsidP="00C31263">
      <w:pPr>
        <w:pStyle w:val="NormalHanging12a"/>
        <w:ind w:hanging="570"/>
        <w:rPr>
          <w:szCs w:val="24"/>
        </w:rPr>
      </w:pPr>
      <w:r w:rsidRPr="00C31263">
        <w:rPr>
          <w:szCs w:val="24"/>
        </w:rPr>
        <w:t>44.</w:t>
      </w:r>
      <w:r w:rsidRPr="00C31263">
        <w:rPr>
          <w:szCs w:val="24"/>
        </w:rPr>
        <w:tab/>
      </w:r>
      <w:r w:rsidR="001B78F3" w:rsidRPr="00C31263">
        <w:t>τονίζει ότι η πολιτική συνοχής πρέπει να προσαρμοστεί καλύτερα στις προκλήσεις που θέτουν η πράσινη, η ψηφιακή και η βιομηχανική μετάβαση και οι κοινωνικές συνέπειες που αυτές συνεπάγονται, προκειμένου να παραμείνει επίκαιρη και να επιτύχει τους στόχους που ορίζονται στις Συνθήκες· πιστεύει ότι, για να επιτευχθεί αυτό, είναι σημαντικό να αντληθούν διδάγματα όχι μόνο από την περίοδο χρηματοδότησης 2014-2020, αλλά και από μέσα όπως ο ΜΑΑ, για την αντιμετώπιση των κοινωνικοοικονομικών προκλήσεων που συνδέονται με τις πρόσφατες κρίσεις και για την παροχή επαρκούς στήριξης σε μειονεκτούσες περιοχές και κοινότητες·</w:t>
      </w:r>
    </w:p>
    <w:p w:rsidR="001B78F3" w:rsidRPr="00C31263" w:rsidRDefault="00C31263" w:rsidP="00C31263">
      <w:pPr>
        <w:pStyle w:val="NormalHanging12a"/>
        <w:ind w:hanging="570"/>
        <w:rPr>
          <w:szCs w:val="24"/>
        </w:rPr>
      </w:pPr>
      <w:r w:rsidRPr="00C31263">
        <w:rPr>
          <w:szCs w:val="24"/>
        </w:rPr>
        <w:t>45.</w:t>
      </w:r>
      <w:r w:rsidRPr="00C31263">
        <w:rPr>
          <w:szCs w:val="24"/>
        </w:rPr>
        <w:tab/>
      </w:r>
      <w:r w:rsidR="001B78F3" w:rsidRPr="00C31263">
        <w:t xml:space="preserve">καλεί την Επιτροπή, στους κανονισμούς για την πολιτική συνοχής μετά το 2027, να συνεχίσει να τονίζει τη σημασία της κάλυψης, μεταξύ άλλων, του μετριασμού της κλιματικής αλλαγής και της προσαρμογής σε αυτήν, της απώλειας της βιοποικιλότητας και της προστασίας του περιβάλλοντος, συμπεριλαμβανομένης της καλύτερης διαχείρισης των υδάτων και των αποβλήτων, της αποδοτικότητας των πόρων και της ενέργειας, της ανθεκτικότητας στις καταστροφές και της πρόληψης και διαχείρισης των κινδύνων· θεωρεί, σε αυτό το πλαίσιο, ότι η ενσωμάτωση της διάστασης του κλίματος και οι μηχανισμοί για την ενίσχυση της ανθεκτικότητας στην κλιματική αλλαγή θα πρέπει να αποτελούν αναπόσπαστο μέρος του προγραμματισμού και της υλοποίησης, ειδικότερα κατά την επιλογή έργων· υπενθυμίζει, επιπλέον, στην Επιτροπή ότι η επαρκής στήριξη, ιδίως προς τις τοπικές και περιφερειακές αρχές, για την αντιμετώπιση των κοινωνικοοικονομικών προκλήσεων που συνδέονται με τις πρόσφατες κρίσεις και για την παροχή βοήθειας σε μειονεκτούσες περιοχές και κοινότητες, θα πρέπει να </w:t>
      </w:r>
      <w:r w:rsidR="001B78F3" w:rsidRPr="00C31263">
        <w:lastRenderedPageBreak/>
        <w:t>αποτελεί σημαντικό στοιχείο για την εκτέλεση των κονδυλίων·</w:t>
      </w:r>
    </w:p>
    <w:p w:rsidR="001B78F3" w:rsidRPr="00C31263" w:rsidRDefault="00C31263" w:rsidP="00C31263">
      <w:pPr>
        <w:pStyle w:val="NormalHanging12a"/>
        <w:ind w:hanging="570"/>
        <w:rPr>
          <w:szCs w:val="24"/>
        </w:rPr>
      </w:pPr>
      <w:r w:rsidRPr="00C31263">
        <w:rPr>
          <w:szCs w:val="24"/>
        </w:rPr>
        <w:t>46.</w:t>
      </w:r>
      <w:r w:rsidRPr="00C31263">
        <w:rPr>
          <w:szCs w:val="24"/>
        </w:rPr>
        <w:tab/>
      </w:r>
      <w:r w:rsidR="001B78F3" w:rsidRPr="00C31263">
        <w:t>τονίζει ότι είναι σημαντικό να καταστούν πιο βιώσιμες οι λύσεις κινητικότητας σε ολόκληρη την επικράτεια της ΕΕ, όπως η πολιτική για τα διευρωπαϊκά δίκτυα στον τομέα των υποδομών μεταφορών (ΔΕΔ-Μ)· είναι της άποψης ότι θα πρέπει να δοθεί προτεραιότητα, όσον αφορά τη χρηματοδότηση της ΕΕ, σε έξυπνες και βιώσιμες λύσεις κινητικότητας·</w:t>
      </w:r>
    </w:p>
    <w:p w:rsidR="001B78F3" w:rsidRPr="00C31263" w:rsidRDefault="00C31263" w:rsidP="00C31263">
      <w:pPr>
        <w:pStyle w:val="NormalHanging12a"/>
        <w:ind w:hanging="570"/>
        <w:rPr>
          <w:szCs w:val="24"/>
        </w:rPr>
      </w:pPr>
      <w:r w:rsidRPr="00C31263">
        <w:rPr>
          <w:szCs w:val="24"/>
        </w:rPr>
        <w:t>47.</w:t>
      </w:r>
      <w:r w:rsidRPr="00C31263">
        <w:rPr>
          <w:szCs w:val="24"/>
        </w:rPr>
        <w:tab/>
      </w:r>
      <w:r w:rsidR="001B78F3" w:rsidRPr="00C31263">
        <w:t>καλεί την Επιτροπή και τα κράτη μέλη να καταβάλλουν κάθε δυνατή προσπάθεια προκειμένου να διασφαλίζεται η πρόσβαση όλων των περιφερειών της ΕΕ σε ευρυζωνικές συνδέσεις υψηλής ταχύτητας, ούτως ώστε να τίθενται σε ισότιμη βάση όσον αφορά την επίτευξη της πράσινης μετάβασης·</w:t>
      </w:r>
    </w:p>
    <w:p w:rsidR="001B78F3" w:rsidRPr="00C31263" w:rsidRDefault="00C31263" w:rsidP="00C31263">
      <w:pPr>
        <w:pStyle w:val="NormalHanging12a"/>
        <w:ind w:hanging="570"/>
        <w:rPr>
          <w:szCs w:val="24"/>
        </w:rPr>
      </w:pPr>
      <w:r w:rsidRPr="00C31263">
        <w:rPr>
          <w:szCs w:val="24"/>
        </w:rPr>
        <w:t>48.</w:t>
      </w:r>
      <w:r w:rsidRPr="00C31263">
        <w:rPr>
          <w:szCs w:val="24"/>
        </w:rPr>
        <w:tab/>
      </w:r>
      <w:r w:rsidR="001B78F3" w:rsidRPr="00C31263">
        <w:t>τονίζει την ανάγκη να ενθαρρυνθεί η συμμετοχή του ιδιωτικού τομέα παράλληλα με τον δημόσιο τομέα για επενδύσεις στη βιώσιμη ανάπτυξη· υπογραμμίζει, εν προκειμένω, τον ρόλο που μπορούν να διαδραματίσουν οι ΜΜΕ στην καινοτομία· ζητεί από τα κράτη μέλη και την Επιτροπή να προτείνουν μέτρα που θα βελτιώνουν την υιοθέτηση από τις ΜΜΕ καινοτομιών έτοιμων προς εμπορία·</w:t>
      </w:r>
    </w:p>
    <w:p w:rsidR="001B78F3" w:rsidRPr="00C31263" w:rsidRDefault="00C31263" w:rsidP="00C31263">
      <w:pPr>
        <w:pStyle w:val="NormalHanging12a"/>
        <w:ind w:hanging="570"/>
        <w:rPr>
          <w:szCs w:val="24"/>
        </w:rPr>
      </w:pPr>
      <w:r w:rsidRPr="00C31263">
        <w:rPr>
          <w:szCs w:val="24"/>
        </w:rPr>
        <w:t>49.</w:t>
      </w:r>
      <w:r w:rsidRPr="00C31263">
        <w:rPr>
          <w:szCs w:val="24"/>
        </w:rPr>
        <w:tab/>
      </w:r>
      <w:r w:rsidR="001B78F3" w:rsidRPr="00C31263">
        <w:t>ζητεί καλύτερη πρόσβαση στη χρηματοδότηση για τις τοπικές και περιφερειακές αρχές, καθώς και για τις διασυνοριακές και λιγότερο ανεπτυγμένες περιφέρειες, ώστε να καταστούν δυνατές οι επενδύσεις στην τοπική και περιφερειακή ενεργειακή μετάβαση, συμπεριλαμβανομένης της ενεργειακής απόδοσης, της αποκεντρωμένης διανομής ενέργειας και της ιδιαίτερης εστίασης στις ανανεώσιμες πηγές ενέργειας και σε μια βιώσιμη κυκλική οικονομία·</w:t>
      </w:r>
    </w:p>
    <w:p w:rsidR="001B78F3" w:rsidRPr="00C31263" w:rsidRDefault="00C31263" w:rsidP="00C31263">
      <w:pPr>
        <w:pStyle w:val="NormalHanging12a"/>
        <w:ind w:hanging="570"/>
        <w:rPr>
          <w:szCs w:val="24"/>
        </w:rPr>
      </w:pPr>
      <w:r w:rsidRPr="00C31263">
        <w:rPr>
          <w:szCs w:val="24"/>
        </w:rPr>
        <w:t>50.</w:t>
      </w:r>
      <w:r w:rsidRPr="00C31263">
        <w:rPr>
          <w:szCs w:val="24"/>
        </w:rPr>
        <w:tab/>
      </w:r>
      <w:r w:rsidR="001B78F3" w:rsidRPr="00C31263">
        <w:t>τρέφει την πεποίθηση, λαμβάνοντας υπόψη τις διαρθρωτικές αλλαγές που συνδέονται με τη διττή οικολογική και ψηφιακή μετάβαση και τον άνισο οικονομικό και κοινωνικό της αντίκτυπο στις περιφέρειες της ΕΕ, ότι η αρχή της δίκαιης μετάβασης, βάσει της οποίας καμία περιοχή και κανένας άνθρωπος δεν πρέπει να μένει στο περιθώριο, θα πρέπει να αποτελεί γνώμονα για την επόμενη περίοδο προγραμματισμού της πολιτικής συνοχής·</w:t>
      </w:r>
    </w:p>
    <w:p w:rsidR="001B78F3" w:rsidRPr="00C31263" w:rsidRDefault="00C31263" w:rsidP="00C31263">
      <w:pPr>
        <w:pStyle w:val="NormalHanging12a"/>
        <w:ind w:hanging="570"/>
        <w:rPr>
          <w:szCs w:val="24"/>
        </w:rPr>
      </w:pPr>
      <w:r w:rsidRPr="00C31263">
        <w:rPr>
          <w:szCs w:val="24"/>
        </w:rPr>
        <w:t>51.</w:t>
      </w:r>
      <w:r w:rsidRPr="00C31263">
        <w:rPr>
          <w:szCs w:val="24"/>
        </w:rPr>
        <w:tab/>
      </w:r>
      <w:r w:rsidR="001B78F3" w:rsidRPr="00C31263">
        <w:t>αναγνωρίζει ότι είναι σημαντικό να δοθεί ιδιαίτερη προσοχή στις περιφέρειες στις οποίες συντελείται η βιομηχανική μετάβαση· χαιρετίζει, στο πλαίσιο αυτό, τις προσπάθειες της Επιτροπής να αντιμετωπίσει το ζήτημα αυτό με το Ταμείο Δίκαιης Μετάβασης, τον πρώτο πυλώνα του Μηχανισμού Δίκαιης Μετάβασης· καλεί την Επιτροπή να αντλήσει διδάγματα από την εκτέλεση του εν λόγω ταμείου και να αποσαφηνίσει περαιτέρω τους στόχους του·</w:t>
      </w:r>
    </w:p>
    <w:p w:rsidR="001B78F3" w:rsidRPr="00C31263" w:rsidRDefault="00C31263" w:rsidP="00C31263">
      <w:pPr>
        <w:pStyle w:val="NormalHanging12a"/>
        <w:ind w:hanging="570"/>
        <w:rPr>
          <w:szCs w:val="24"/>
        </w:rPr>
      </w:pPr>
      <w:r w:rsidRPr="00C31263">
        <w:rPr>
          <w:szCs w:val="24"/>
        </w:rPr>
        <w:t>52.</w:t>
      </w:r>
      <w:r w:rsidRPr="00C31263">
        <w:rPr>
          <w:szCs w:val="24"/>
        </w:rPr>
        <w:tab/>
      </w:r>
      <w:r w:rsidR="001B78F3" w:rsidRPr="00C31263">
        <w:t xml:space="preserve">ζητεί να συνεχιστεί η χρηματοδότηση για τη δίκαιη μετάβαση, η οποία θα πρέπει να ενσωματωθεί πλήρως στον κανονισμό περί κοινών διατάξεων και να διαθέτει επαρκή χρηματοδοτικά μέσα για την περίοδο προγραμματισμού μετά το 2027, καθώς και την εφαρμογή των αρχών της επιμερισμένης διαχείρισης και της εταιρικής σχέσης· θεωρεί ότι αυτή η επέκταση του Ταμείου Δίκαιης Μετάβασης θα πρέπει να επικεντρωθεί στο κατάλληλο επίπεδο NUTS (ονοματολογία των στατιστικών εδαφικών μονάδων), να λάβει υπόψη τις περιφερειακές ιδιαιτερότητες, να έχει ευρύτερο πεδίο εφαρμογής από το τρέχον Ταμείο Δίκαιης Μετάβασης, να σχεδιαστεί κατά τρόπο ώστε να επιτρέπει την ταχεία αντιμετώπιση νέων προκλήσεων που αναδύονται σε διάφορους τομείς και κλάδους· ζητεί αυτή η νέα γενιά χρηματοδότησης να κάνει διάκριση μεταξύ μετριασμού της κλιματικής αλλαγής και προσαρμογής σε αυτήν· τονίζει ότι μέρος της </w:t>
      </w:r>
      <w:r w:rsidR="001B78F3" w:rsidRPr="00C31263">
        <w:lastRenderedPageBreak/>
        <w:t>χρηματοδότησης θα πρέπει να διατίθεται στην κοινωνικά δίκαιη μετάβαση και στη μείωση του αποτυπώματος άνθρακα της Ένωσης·</w:t>
      </w:r>
    </w:p>
    <w:p w:rsidR="001B78F3" w:rsidRPr="00C31263" w:rsidRDefault="00C31263" w:rsidP="00C31263">
      <w:pPr>
        <w:pStyle w:val="NormalHanging12a"/>
        <w:ind w:hanging="570"/>
        <w:rPr>
          <w:szCs w:val="24"/>
        </w:rPr>
      </w:pPr>
      <w:r w:rsidRPr="00C31263">
        <w:rPr>
          <w:szCs w:val="24"/>
        </w:rPr>
        <w:t>53.</w:t>
      </w:r>
      <w:r w:rsidRPr="00C31263">
        <w:rPr>
          <w:szCs w:val="24"/>
        </w:rPr>
        <w:tab/>
      </w:r>
      <w:r w:rsidR="001B78F3" w:rsidRPr="00C31263">
        <w:t>ζητεί να διατηρηθεί ένας ειδικός στόχος πολιτικής για την αντιμετώπιση των κοινωνικών ανισοτήτων, καθώς η περιφερειακή σύγκλιση έχει επιβραδυνθεί και έχουν εμφανιστεί νέες αιτίες ανισοτήτων·</w:t>
      </w:r>
    </w:p>
    <w:p w:rsidR="001B78F3" w:rsidRPr="00C31263" w:rsidRDefault="00C31263" w:rsidP="00C31263">
      <w:pPr>
        <w:pStyle w:val="NormalHanging12a"/>
        <w:ind w:hanging="570"/>
        <w:rPr>
          <w:szCs w:val="24"/>
        </w:rPr>
      </w:pPr>
      <w:r w:rsidRPr="00C31263">
        <w:rPr>
          <w:szCs w:val="24"/>
        </w:rPr>
        <w:t>54.</w:t>
      </w:r>
      <w:r w:rsidRPr="00C31263">
        <w:rPr>
          <w:szCs w:val="24"/>
        </w:rPr>
        <w:tab/>
      </w:r>
      <w:r w:rsidR="001B78F3" w:rsidRPr="00C31263">
        <w:t>τονίζει τον κρίσιμο ρόλο που διαδραματίζουν οι επενδύσεις για τη συνοχή σε δημόσιες υπηρεσίες υψηλής ποιότητας όσον αφορά την οικοδόμηση κοινωνικής ανθεκτικότητας και την αντιμετώπιση οικονομικών, υγειονομικών και κοινωνικών κρίσεων·</w:t>
      </w:r>
    </w:p>
    <w:p w:rsidR="001B78F3" w:rsidRPr="00C31263" w:rsidRDefault="00C31263" w:rsidP="00C31263">
      <w:pPr>
        <w:pStyle w:val="NormalHanging12a"/>
        <w:ind w:hanging="570"/>
        <w:rPr>
          <w:szCs w:val="24"/>
        </w:rPr>
      </w:pPr>
      <w:r w:rsidRPr="00C31263">
        <w:rPr>
          <w:szCs w:val="24"/>
        </w:rPr>
        <w:t>55.</w:t>
      </w:r>
      <w:r w:rsidRPr="00C31263">
        <w:rPr>
          <w:szCs w:val="24"/>
        </w:rPr>
        <w:tab/>
      </w:r>
      <w:r w:rsidR="001B78F3" w:rsidRPr="00C31263">
        <w:t>τονίζει ότι στο πεδίο εφαρμογής της στήριξης της πολιτικής συνοχής περιλαμβάνεται η ενσωμάτωση και η ένταξη περισσότερων από 3 εκατομμυρίων ατόμων που διατρέχουν τον κίνδυνο κοινωνικού αποκλεισμού, συμπεριλαμβανομένης της στήριξης 600 000 ατόμων από περιθωριοποιημένες ομάδες, όπως, ειδικότερα, οι Ρομά που ζουν σε λιγότερο ανεπτυγμένες περιφέρειες της ΕΕ· εκφράζει τη λύπη του για την απροθυμία των τοπικών κυβερνήσεων ορισμένων κρατών μελών να χρησιμοποιήσουν αποτελεσματικά τα κονδύλια της πολιτικής συνοχής για να διασφαλίσουν ότι οι άνθρωποι αυτοί έχουν πρόσβαση σε ποιοτικές υπηρεσίες, όπως η ύδρευση και οι αξιοπρεπείς συνθήκες διαβίωσης· καλεί επιτακτικά τα κράτη μέλη να αντιμετωπίσουν αυτά τα πλέον πιεστικά ζητήματα, γεγονός το οποίο θα συμβάλει σημαντικά στη μείωση των περιφερειακών ανισοτήτων·</w:t>
      </w:r>
    </w:p>
    <w:p w:rsidR="001B78F3" w:rsidRPr="00C31263" w:rsidRDefault="00C31263" w:rsidP="00C31263">
      <w:pPr>
        <w:pStyle w:val="NormalHanging12a"/>
        <w:ind w:hanging="570"/>
      </w:pPr>
      <w:r w:rsidRPr="00C31263">
        <w:t>56.</w:t>
      </w:r>
      <w:r w:rsidRPr="00C31263">
        <w:tab/>
      </w:r>
      <w:r w:rsidR="001B78F3" w:rsidRPr="00C31263">
        <w:t>εφιστά την προσοχή στη δυσχερή κατάσταση των περιφερειών που συνορεύουν με τη Ρωσία και τη Λευκορωσία μετά την αναστολή της συνεργασίας ως συνέπεια του επιθετικού πολέμου της Ρωσίας κατά της Ουκρανίας· ζητεί από την Επιτροπή να συνεργαστεί στενά με τα κράτη μέλη που επλήγησαν για την εξεύρεση βιώσιμων λύσεων προκειμένου να αντιμετωπιστούν οι κοινωνικές και οικονομικές προκλήσεις των εν λόγω περιφερειών·</w:t>
      </w:r>
    </w:p>
    <w:p w:rsidR="001B78F3" w:rsidRPr="00C31263" w:rsidRDefault="00C31263" w:rsidP="00C31263">
      <w:pPr>
        <w:pStyle w:val="NormalHanging12a"/>
        <w:ind w:hanging="570"/>
        <w:rPr>
          <w:szCs w:val="24"/>
        </w:rPr>
      </w:pPr>
      <w:r w:rsidRPr="00C31263">
        <w:rPr>
          <w:szCs w:val="24"/>
        </w:rPr>
        <w:t>57.</w:t>
      </w:r>
      <w:r w:rsidRPr="00C31263">
        <w:rPr>
          <w:szCs w:val="24"/>
        </w:rPr>
        <w:tab/>
      </w:r>
      <w:r w:rsidR="001B78F3" w:rsidRPr="00C31263">
        <w:t>υπογραμμίζει τον πολυδιάστατο χαρακτήρα της αγροτικής ανάπτυξης, η οποία εκτείνεται πέρα από τη γεωργία καθεαυτή· σημειώνει ότι μόνο το 11,5 % των ατόμων που ζουν σε αγροτικές περιοχές εργάζονται στους τομείς της γεωργίας, της δασοκομίας και της αλιείας·</w:t>
      </w:r>
    </w:p>
    <w:p w:rsidR="001B78F3" w:rsidRPr="00C31263" w:rsidRDefault="00C31263" w:rsidP="00C31263">
      <w:pPr>
        <w:pStyle w:val="NormalHanging12a"/>
        <w:ind w:hanging="570"/>
        <w:rPr>
          <w:szCs w:val="24"/>
        </w:rPr>
      </w:pPr>
      <w:r w:rsidRPr="00C31263">
        <w:rPr>
          <w:szCs w:val="24"/>
        </w:rPr>
        <w:t>58.</w:t>
      </w:r>
      <w:r w:rsidRPr="00C31263">
        <w:rPr>
          <w:szCs w:val="24"/>
        </w:rPr>
        <w:tab/>
      </w:r>
      <w:r w:rsidR="001B78F3" w:rsidRPr="00C31263">
        <w:t>υπενθυμίζει ότι το ΕΓΤΑΑ συνδέεται επί του παρόντος με το πλαίσιο της πολιτικής συνοχής και ότι θα πρέπει να συνδεθεί περαιτέρω με τον κανονισμό περί κοινών διατάξεων, όπως απαιτείται για την πλήρη ανάπτυξη των αγροτικών περιφερειών· τονίζει την ανάγκη περαιτέρω εξορθολογισμού των ταμείων, συμπεριλαμβανομένου του ΕΓΤΑΑ, στην περιφερειακή ανάπτυξη, καθώς θα μπορούσε να διασφαλίσει την επίτευξη συνεργειών και ισχυρότερων εταιρικών σχέσεων μεταξύ αγροτικών και αστικών περιοχών για επενδύσεις σε αγροτικές περιοχές πέραν της γεωργίας· επιμένει ότι η διαχείριση του ΕΓΤΑΑ θα πρέπει να γίνεται σε περιφερειακό επίπεδο ή με καθοριστική περιφερειακή και τοπική συμμετοχή και θα πρέπει να δίνεται μεγαλύτερη έμφαση από ό,τι στο παρελθόν στα μέτρα διαρθρωτικής πολιτικής σε αραιοκατοικημένες περιοχές·</w:t>
      </w:r>
    </w:p>
    <w:p w:rsidR="001B78F3" w:rsidRPr="00C31263" w:rsidRDefault="00C31263" w:rsidP="00C31263">
      <w:pPr>
        <w:pStyle w:val="NormalHanging12a"/>
        <w:ind w:hanging="570"/>
        <w:rPr>
          <w:szCs w:val="24"/>
        </w:rPr>
      </w:pPr>
      <w:r w:rsidRPr="00C31263">
        <w:rPr>
          <w:szCs w:val="24"/>
        </w:rPr>
        <w:t>59.</w:t>
      </w:r>
      <w:r w:rsidRPr="00C31263">
        <w:rPr>
          <w:szCs w:val="24"/>
        </w:rPr>
        <w:tab/>
      </w:r>
      <w:r w:rsidR="001B78F3" w:rsidRPr="00C31263">
        <w:t>εμμένει στην ανάγκη να υλοποιηθεί ένας μηχανισμός αγροτικής θωράκισης ώστε να εκτιμηθεί ο αντίκτυπος των νομοθετικών πρωτοβουλιών της ΕΕ στις αγροτικές περιοχές·</w:t>
      </w:r>
    </w:p>
    <w:p w:rsidR="001B78F3" w:rsidRPr="00C31263" w:rsidRDefault="00C31263" w:rsidP="00C31263">
      <w:pPr>
        <w:pStyle w:val="NormalHanging12a"/>
        <w:ind w:hanging="570"/>
        <w:rPr>
          <w:szCs w:val="24"/>
        </w:rPr>
      </w:pPr>
      <w:r w:rsidRPr="00C31263">
        <w:rPr>
          <w:szCs w:val="24"/>
        </w:rPr>
        <w:lastRenderedPageBreak/>
        <w:t>60.</w:t>
      </w:r>
      <w:r w:rsidRPr="00C31263">
        <w:rPr>
          <w:szCs w:val="24"/>
        </w:rPr>
        <w:tab/>
      </w:r>
      <w:r w:rsidR="001B78F3" w:rsidRPr="00C31263">
        <w:t>επισημαίνει ότι οποιαδήποτε μελλοντική διεύρυνση της Ένωσης θα έχει επιπτώσεις στο επίπεδο συνοχής εντός της Ένωσης· επισημαίνει ότι είναι πιθανό να επηρεάσει την τρέχουσα ταξινόμηση των διαφόρων περιφερειών, δεδομένου ότι το μέσο κατά κεφαλήν ΑΕγχΠ θα μειωθεί σημαντικά, ως συνέπεια του στατιστικού αντικτύπου·</w:t>
      </w:r>
    </w:p>
    <w:p w:rsidR="001B78F3" w:rsidRPr="00C31263" w:rsidRDefault="00C31263" w:rsidP="00C31263">
      <w:pPr>
        <w:pStyle w:val="NormalHanging12a"/>
        <w:ind w:hanging="570"/>
        <w:rPr>
          <w:szCs w:val="24"/>
        </w:rPr>
      </w:pPr>
      <w:r w:rsidRPr="00C31263">
        <w:rPr>
          <w:szCs w:val="24"/>
        </w:rPr>
        <w:t>61.</w:t>
      </w:r>
      <w:r w:rsidRPr="00C31263">
        <w:rPr>
          <w:szCs w:val="24"/>
        </w:rPr>
        <w:tab/>
      </w:r>
      <w:r w:rsidR="001B78F3" w:rsidRPr="00C31263">
        <w:t>καλεί, ως εκ τούτου, την Επιτροπή να προβεί σε λεπτομερή αξιολόγηση προτού προτείνει νέο κανονισμό για το πλαίσιο συνοχής μετά το 2027, ώστε να διασφαλίσει ότι η πολιτική συνοχής διαθέτει τα κατάλληλα μέσα για να συνεχίσει να στηρίζει όλες τις περιφέρειες και ότι τυχόν δυσμενείς συνέπειες για τις περιφέρειες, που προκαλούνται από στατιστικό αντίκτυπο στην επιλεξιμότητα της πολιτικής συνοχής, μπορούν να αντιμετωπιστούν δεόντως· καλεί, επιπλέον, την Επιτροπή να συμπεριλάβει στην αξιολόγησή της εκτίμηση των πρόσθετων αναγκών διασυνοριακής συνεργασίας που ενδέχεται να συνεπάγεται μια διεύρυνση· ζητεί να υπάρχει συντονισμένη δράση και διαρθρωμένη εργασία μεταξύ της Επιτροπής και του Κοινοβουλίου επί των θεμάτων αυτών πριν από τη δημοσίευση νέας νομοθετικής πρότασης· ζητεί το αργότερο έως το 2030 μια πολιτική συνοχής που να είναι έτοιμη για τη διεύρυνση·</w:t>
      </w:r>
    </w:p>
    <w:p w:rsidR="001B78F3" w:rsidRPr="00C31263" w:rsidRDefault="00C31263" w:rsidP="00C31263">
      <w:pPr>
        <w:pStyle w:val="NormalHanging12a"/>
        <w:ind w:hanging="570"/>
        <w:rPr>
          <w:szCs w:val="24"/>
        </w:rPr>
      </w:pPr>
      <w:r w:rsidRPr="00C31263">
        <w:rPr>
          <w:szCs w:val="24"/>
        </w:rPr>
        <w:t>62.</w:t>
      </w:r>
      <w:r w:rsidRPr="00C31263">
        <w:rPr>
          <w:szCs w:val="24"/>
        </w:rPr>
        <w:tab/>
      </w:r>
      <w:r w:rsidR="001B78F3" w:rsidRPr="00C31263">
        <w:t>υπογραμμίζει ότι ο υφιστάμενος προϋπολογισμός της πολιτικής συνοχής επικεντρώνεται στους στόχους σύγκλισης· υπογραμμίζει ότι, στην περίπτωση της Ουκρανίας, ο προϋπολογισμός της πολιτικής συνοχής δεν μπορεί και δεν πρέπει να ανταποκρίνεται στις αναμενόμενες χρηματοδοτικές απαιτήσεις της ανασυγκρότησης· τονίζει ότι η επίτευξη οποιωνδήποτε στόχων ανοικοδόμησης θα πρέπει να πραγματοποιείται μέσω διακριτών χρηματοδοτικών μηχανισμών, εκτός του πεδίου εφαρμογής του ΠΔΠ, μέσω άμεσων συνεισφορών των κρατών μελών, του ιδιωτικού τομέα και εξωτερικών πόρων στον προϋπολογισμό·</w:t>
      </w:r>
    </w:p>
    <w:p w:rsidR="001B78F3" w:rsidRPr="00C31263" w:rsidRDefault="00C31263" w:rsidP="00C31263">
      <w:pPr>
        <w:pStyle w:val="NormalHanging12a"/>
        <w:ind w:hanging="570"/>
        <w:rPr>
          <w:szCs w:val="24"/>
        </w:rPr>
      </w:pPr>
      <w:r w:rsidRPr="00C31263">
        <w:rPr>
          <w:szCs w:val="24"/>
        </w:rPr>
        <w:t>63.</w:t>
      </w:r>
      <w:r w:rsidRPr="00C31263">
        <w:rPr>
          <w:szCs w:val="24"/>
        </w:rPr>
        <w:tab/>
      </w:r>
      <w:r w:rsidR="001B78F3" w:rsidRPr="00C31263">
        <w:t>καλεί την Επιτροπή να εξετάσει το ενδεχόμενο οι δημόσιες δαπάνες για την πολιτική συνοχής από τα κράτη μέλη και τις περιφερειακές και τοπικές αρχές στο πλαίσιο των ΕΔΕΤ να μην θεωρούνται εθνικές ή ισοδύναμες διαρθρωτικές δαπάνες, όπως ορίζονται στους νέους κανόνες οικονομικής διακυβέρνησης, ιδίως εάν δεν αποκλίνουν από την επίτευξη των στόχων της συμφωνίας του Παρισιού·</w:t>
      </w:r>
    </w:p>
    <w:p w:rsidR="001B78F3" w:rsidRPr="00C31263" w:rsidRDefault="00C31263" w:rsidP="00C31263">
      <w:pPr>
        <w:pStyle w:val="NormalHanging12a"/>
        <w:ind w:hanging="570"/>
        <w:rPr>
          <w:szCs w:val="24"/>
        </w:rPr>
      </w:pPr>
      <w:r w:rsidRPr="00C31263">
        <w:rPr>
          <w:szCs w:val="24"/>
        </w:rPr>
        <w:t>64.</w:t>
      </w:r>
      <w:r w:rsidRPr="00C31263">
        <w:rPr>
          <w:szCs w:val="24"/>
        </w:rPr>
        <w:tab/>
      </w:r>
      <w:r w:rsidR="001B78F3" w:rsidRPr="00C31263">
        <w:t>υπογραμμίζει την ανάγκη να βελτιωθεί η σχέση μεταξύ της πολιτικής συνοχής και της ενωσιακής οικονομικής διακυβέρνησης, και ταυτόχρονα να αποφεύγεται η τιμωρητική προσέγγιση· τονίζει ότι το Ευρωπαϊκό Εξάμηνο θα πρέπει να συμμορφώνεται με τους στόχους της πολιτικής συνοχής, όπως ορίζονται στα άρθρα 174 και 175 ΣΛΕΕ, και με τον ευρωπαϊκό πυλώνα κοινωνικών δικαιωμάτων· ζητεί τη συμμετοχή των περιφερειών στην εκπλήρωση των ειδικών ανά χώρα συστάσεων (ΣΑΧ) και μια ισχυρότερη εδαφική προσέγγιση· ζητεί να επανεξεταστεί η έννοια της μακροοικονομικής αιρεσιμότητας και να διερευνηθεί η δυνατότητα αντικατάστασης της έννοιας αυτής με νέες μορφές αιρεσιμότητας, ώστε να αντικατοπτρίζονται καλύτερα οι νέες προκλήσεις που θα προκύψουν·</w:t>
      </w:r>
    </w:p>
    <w:p w:rsidR="001B78F3" w:rsidRPr="00C31263" w:rsidRDefault="00C31263" w:rsidP="00C31263">
      <w:pPr>
        <w:pStyle w:val="NormalHanging12a"/>
        <w:ind w:hanging="570"/>
        <w:rPr>
          <w:szCs w:val="24"/>
        </w:rPr>
      </w:pPr>
      <w:r w:rsidRPr="00C31263">
        <w:rPr>
          <w:szCs w:val="24"/>
        </w:rPr>
        <w:t>65.</w:t>
      </w:r>
      <w:r w:rsidRPr="00C31263">
        <w:rPr>
          <w:szCs w:val="24"/>
        </w:rPr>
        <w:tab/>
      </w:r>
      <w:r w:rsidR="001B78F3" w:rsidRPr="00C31263">
        <w:t xml:space="preserve">υπενθυμίζει την αρχή της «μη πρόκλησης βλάβης στη συνοχή», η οποία εισήχθη στην 8η έκθεση για τη συνοχή και έχει την έννοια ότι καμία δράση δεν θα πρέπει να παρεμποδίζει τη διαδικασία σύγκλισης ή να συμβάλλει στις περιφερειακές ανισότητες· ζητεί την ισχυρότερη ενσωμάτωση της αρχής αυτής ως οριζόντιας αρχής σε όλες τις πολιτικές της ΕΕ, έτσι ώστε να υποστηρίζονται οι στόχοι της κοινωνικής, οικονομικής και εδαφικής συνοχής, όπως ορίζονται στα άρθρα 3 και 174 ΣΛΕΕ· επιμένει ότι η προώθηση της συνοχής θα πρέπει επίσης να θεωρείται τρόπος προώθησης της αλληλεγγύης και της αμοιβαίας στήριξης μεταξύ των κρατών μελών και των </w:t>
      </w:r>
      <w:r w:rsidR="001B78F3" w:rsidRPr="00C31263">
        <w:lastRenderedPageBreak/>
        <w:t>περιφερειών τους·</w:t>
      </w:r>
    </w:p>
    <w:p w:rsidR="001B78F3" w:rsidRPr="00C31263" w:rsidRDefault="00C31263" w:rsidP="00C31263">
      <w:pPr>
        <w:pStyle w:val="NormalHanging12a"/>
        <w:ind w:hanging="570"/>
        <w:rPr>
          <w:szCs w:val="24"/>
        </w:rPr>
      </w:pPr>
      <w:r w:rsidRPr="00C31263">
        <w:rPr>
          <w:szCs w:val="24"/>
        </w:rPr>
        <w:t>66.</w:t>
      </w:r>
      <w:r w:rsidRPr="00C31263">
        <w:rPr>
          <w:szCs w:val="24"/>
        </w:rPr>
        <w:tab/>
      </w:r>
      <w:r w:rsidR="001B78F3" w:rsidRPr="00C31263">
        <w:t>καλεί την Επιτροπή να ενισχύσει και να αναπτύξει αυτήν την αρχή στο πλαίσιο του Ευρωπαϊκού Εξαμήνου και να εξασφαλίσει τη συμμετοχή των τοπικών και περιφερειακών αρχών σε όλα τα στάδια των διαδικασιών που συνδέονται με το Ευρωπαϊκό Εξάμηνο και τις ειδικές ανά χώρα συστάσεις της (ΣΑΧ)·</w:t>
      </w:r>
    </w:p>
    <w:p w:rsidR="001B78F3" w:rsidRPr="00C31263" w:rsidRDefault="00C31263" w:rsidP="00C31263">
      <w:pPr>
        <w:pStyle w:val="NormalHanging12a"/>
        <w:ind w:hanging="570"/>
        <w:rPr>
          <w:szCs w:val="24"/>
        </w:rPr>
      </w:pPr>
      <w:r w:rsidRPr="00C31263">
        <w:rPr>
          <w:szCs w:val="24"/>
        </w:rPr>
        <w:t>67.</w:t>
      </w:r>
      <w:r w:rsidRPr="00C31263">
        <w:rPr>
          <w:szCs w:val="24"/>
        </w:rPr>
        <w:tab/>
      </w:r>
      <w:r w:rsidR="001B78F3" w:rsidRPr="00C31263">
        <w:t>πιστεύει ακράδαντα στη σημασία των οριζόντιων αρχών της πολυεπίπεδης διακυβέρνησης και της εταιρικής σχέσης, οι οποίες θα πρέπει να παραμείνουν κατευθυντήριες αρχές της πολιτικής συνοχής και μετά το 2027·</w:t>
      </w:r>
    </w:p>
    <w:p w:rsidR="001B78F3" w:rsidRPr="00C31263" w:rsidRDefault="00C31263" w:rsidP="00C31263">
      <w:pPr>
        <w:pStyle w:val="NormalHanging12a"/>
        <w:ind w:hanging="570"/>
        <w:rPr>
          <w:szCs w:val="24"/>
        </w:rPr>
      </w:pPr>
      <w:r w:rsidRPr="00C31263">
        <w:rPr>
          <w:szCs w:val="24"/>
        </w:rPr>
        <w:t>68.</w:t>
      </w:r>
      <w:r w:rsidRPr="00C31263">
        <w:rPr>
          <w:szCs w:val="24"/>
        </w:rPr>
        <w:tab/>
      </w:r>
      <w:r w:rsidR="001B78F3" w:rsidRPr="00C31263">
        <w:t xml:space="preserve">ζητεί από την Επιτροπή, τα κράτη μέλη, τις περιφερειακές και τοπικές αρχές την αυστηρή και αποτελεσματική εφαρμογή της αρχής της πολυεπίπεδης διακυβέρνησης· </w:t>
      </w:r>
    </w:p>
    <w:p w:rsidR="001B78F3" w:rsidRPr="00C31263" w:rsidRDefault="00C31263" w:rsidP="00C31263">
      <w:pPr>
        <w:pStyle w:val="NormalHanging12a"/>
        <w:ind w:hanging="570"/>
        <w:rPr>
          <w:szCs w:val="24"/>
        </w:rPr>
      </w:pPr>
      <w:r w:rsidRPr="00C31263">
        <w:rPr>
          <w:szCs w:val="24"/>
        </w:rPr>
        <w:t>69.</w:t>
      </w:r>
      <w:r w:rsidRPr="00C31263">
        <w:rPr>
          <w:szCs w:val="24"/>
        </w:rPr>
        <w:tab/>
      </w:r>
      <w:r w:rsidR="001B78F3" w:rsidRPr="00C31263">
        <w:t>τονίζει τη σημασία να τηρείται η αρχή της εταιρικής σχέσης στο σύνολο του προγραμματισμού, της εφαρμογής και της παρακολούθησης της πολιτικής συνοχής της ΕΕ και να καθιερωθεί στενή συνεργασία μεταξύ των περιφερειακών και τοπικών αρχών, των μη κυβερνητικών οργανώσεων και άλλων συμφεροντούχων· ζητεί να παραμείνει δεσμευτική η αρχή της εταιρικής σχέσης και ζητεί να συμπεριληφθεί στο Ευρωπαϊκό Εξάμηνο· καλεί την Επιτροπή και το Ευρωπαϊκό Ελεγκτικό Συνέδριο να παρακολουθούν ενδελεχώς, να διενεργούν ελέγχους και να διατυπώνουν διορθωτικές συστάσεις·</w:t>
      </w:r>
    </w:p>
    <w:p w:rsidR="001B78F3" w:rsidRPr="00C31263" w:rsidRDefault="00C31263" w:rsidP="00C31263">
      <w:pPr>
        <w:pStyle w:val="NormalHanging12a"/>
        <w:ind w:hanging="570"/>
        <w:rPr>
          <w:szCs w:val="24"/>
        </w:rPr>
      </w:pPr>
      <w:r w:rsidRPr="00C31263">
        <w:rPr>
          <w:szCs w:val="24"/>
        </w:rPr>
        <w:t>70.</w:t>
      </w:r>
      <w:r w:rsidRPr="00C31263">
        <w:rPr>
          <w:szCs w:val="24"/>
        </w:rPr>
        <w:tab/>
      </w:r>
      <w:r w:rsidR="001B78F3" w:rsidRPr="00C31263">
        <w:t xml:space="preserve">χαιρετίζει την απόφαση της Επιτροπής να παρατείνει την ισχύ του κώδικα δεοντολογίας για την εταιρική σχέση στο πλαίσιο των ευρωπαϊκών διαρθρωτικών και επενδυτικών ταμείων [κατ’ εξουσιοδότηση κανονισμός </w:t>
      </w:r>
      <w:r w:rsidR="00574C86" w:rsidRPr="00BC577F">
        <w:t xml:space="preserve">(ΕΕ) </w:t>
      </w:r>
      <w:bookmarkStart w:id="8" w:name="_GoBack"/>
      <w:bookmarkEnd w:id="8"/>
      <w:r w:rsidR="001B78F3" w:rsidRPr="00C31263">
        <w:t>αριθ. 240/2014]· πιστεύει ότι οι εν λόγω κατευθυντήριες γραμμές συμβάλλουν σημαντικά στην καλύτερη συμμετοχή των τοπικών και περιφερειακών αρχών και άλλων συμφεροντούχων, αλλά θα πρέπει να αναθεωρηθούν ώστε να βελτιωθεί περαιτέρω η αποτελεσματικότητά τους και να διασφαλιστεί μια πιο εμπεριστατωμένη συμμετοχή των εταίρων για την προώθηση τοποκεντρικών δράσεων·</w:t>
      </w:r>
    </w:p>
    <w:p w:rsidR="001B78F3" w:rsidRPr="00C31263" w:rsidRDefault="00C31263" w:rsidP="00C31263">
      <w:pPr>
        <w:pStyle w:val="NormalHanging12a"/>
        <w:ind w:hanging="570"/>
        <w:rPr>
          <w:szCs w:val="24"/>
        </w:rPr>
      </w:pPr>
      <w:r w:rsidRPr="00C31263">
        <w:rPr>
          <w:szCs w:val="24"/>
        </w:rPr>
        <w:t>71.</w:t>
      </w:r>
      <w:r w:rsidRPr="00C31263">
        <w:rPr>
          <w:szCs w:val="24"/>
        </w:rPr>
        <w:tab/>
      </w:r>
      <w:r w:rsidR="001B78F3" w:rsidRPr="00C31263">
        <w:t>υπενθυμίζει ότι, στο πλαίσιο της πολιτικής συνοχής για την περίοδο 2021-2027, η ισότητα των φύλων και η διάσταση του φύλου περιλαμβάνονται και προωθούνται σε όλα τα στάδια της διαδικασίας προετοιμασίας, εφαρμογής, παρακολούθησης και αξιολόγησης των προγραμμάτων συνοχής· επισημαίνει, επιπλέον, τον ειδικό ρόλο των γυναικών, ιδίως στις απομακρυσμένες και αγροτικές περιοχές, καθώς αποτελούν σημαντικούς παράγοντες της κοινωνίας των πολιτών και της βιώσιμης οικονομικής ανάπτυξης· σημειώνει, ωστόσο, ταυτόχρονα ότι συχνά αντιμετωπίζουν δυσκολίες όσον αφορά την πρόσβαση στην αγορά εργασίας, τις δημόσιες υπηρεσίες, την υγειονομική περίθαλψη, την παιδική μέριμνα και την ίση αμοιβή·</w:t>
      </w:r>
    </w:p>
    <w:p w:rsidR="001B78F3" w:rsidRPr="00C31263" w:rsidRDefault="00C31263" w:rsidP="00C31263">
      <w:pPr>
        <w:pStyle w:val="NormalHanging12a"/>
        <w:ind w:hanging="570"/>
        <w:rPr>
          <w:szCs w:val="24"/>
        </w:rPr>
      </w:pPr>
      <w:r w:rsidRPr="00C31263">
        <w:rPr>
          <w:szCs w:val="24"/>
        </w:rPr>
        <w:t>72.</w:t>
      </w:r>
      <w:r w:rsidRPr="00C31263">
        <w:rPr>
          <w:szCs w:val="24"/>
        </w:rPr>
        <w:tab/>
      </w:r>
      <w:r w:rsidR="001B78F3" w:rsidRPr="00C31263">
        <w:t>τονίζει επίσης ότι έχει ιδιαίτερη σημασία η ενσωμάτωση της διάστασης της νεολαίας στην πολιτική συνοχής·</w:t>
      </w:r>
    </w:p>
    <w:p w:rsidR="001B78F3" w:rsidRPr="00C31263" w:rsidRDefault="00C31263" w:rsidP="00C31263">
      <w:pPr>
        <w:pStyle w:val="NormalHanging12a"/>
        <w:ind w:hanging="570"/>
      </w:pPr>
      <w:r w:rsidRPr="00C31263">
        <w:t>73.</w:t>
      </w:r>
      <w:r w:rsidRPr="00C31263">
        <w:tab/>
      </w:r>
      <w:r w:rsidR="001B78F3" w:rsidRPr="00C31263">
        <w:t>καλεί την Επιτροπή και τα κράτη μέλη να καταβάλουν περαιτέρω προσπάθειες για την προώθηση της υλοποίησης των δικαιωμάτων των παιδιών χρησιμοποιώντας το ΕΚΤ+ για τη στήριξη αποτελεσματικών παρεμβάσεων που συμβάλλουν στην επίτευξη αυτού του στόχου·</w:t>
      </w:r>
    </w:p>
    <w:p w:rsidR="001B78F3" w:rsidRPr="00C31263" w:rsidRDefault="00C31263" w:rsidP="00C31263">
      <w:pPr>
        <w:pStyle w:val="NormalHanging12a"/>
        <w:ind w:hanging="570"/>
      </w:pPr>
      <w:r w:rsidRPr="00C31263">
        <w:t>74.</w:t>
      </w:r>
      <w:r w:rsidRPr="00C31263">
        <w:tab/>
      </w:r>
      <w:r w:rsidR="001B78F3" w:rsidRPr="00C31263">
        <w:t xml:space="preserve">ζητεί την περαιτέρω ενίσχυση της επικοινωνίας και της προβολής των προγραμμάτων </w:t>
      </w:r>
      <w:r w:rsidR="001B78F3" w:rsidRPr="00C31263">
        <w:lastRenderedPageBreak/>
        <w:t>και των έργων που χρηματοδοτούνται από την ΕΕ σε όλα τα κράτη μέλη, με τον καθορισμό των στόχων τους, του κοινού στο οποίο απευθύνονται, των διαύλων επικοινωνίας, της προβολής στα μέσα κοινωνικής δικτύωσης, του προβλεπόμενου προϋπολογισμού και των σχετικών δεικτών παρακολούθησης και αξιολόγησης·</w:t>
      </w:r>
    </w:p>
    <w:p w:rsidR="001B78F3" w:rsidRPr="00C31263" w:rsidRDefault="001B78F3" w:rsidP="001B78F3">
      <w:pPr>
        <w:pStyle w:val="NormalHanging12a"/>
        <w:rPr>
          <w:i/>
        </w:rPr>
      </w:pPr>
      <w:r w:rsidRPr="00C31263">
        <w:rPr>
          <w:i/>
        </w:rPr>
        <w:t>Περιφερειακή και τοπική εστίαση</w:t>
      </w:r>
    </w:p>
    <w:p w:rsidR="001B78F3" w:rsidRPr="00C31263" w:rsidRDefault="00C31263" w:rsidP="00C31263">
      <w:pPr>
        <w:pStyle w:val="NormalHanging12a"/>
        <w:ind w:hanging="570"/>
        <w:rPr>
          <w:szCs w:val="24"/>
        </w:rPr>
      </w:pPr>
      <w:r w:rsidRPr="00C31263">
        <w:rPr>
          <w:szCs w:val="24"/>
        </w:rPr>
        <w:t>75.</w:t>
      </w:r>
      <w:r w:rsidRPr="00C31263">
        <w:rPr>
          <w:szCs w:val="24"/>
        </w:rPr>
        <w:tab/>
      </w:r>
      <w:r w:rsidR="001B78F3" w:rsidRPr="00C31263">
        <w:t>ζητεί να διασφαλιστούν επενδύσεις για την προσαρμογή στην κλιματική αλλαγή και την πρόληψη και ετοιμότητα σε περίπτωση καταστροφών μέσω ειδικού στόχου πολιτικής, θεματικής συγκέντρωσης ή μέσω ειδικού αναγκαίου πρόσφορου όρου για τη διασφάλιση βιώσιμων επενδύσεων σε τοπικές και περιφερειακές υποδομές και στη διαχείριση κινδύνων σε λιγότερο ανεπτυγμένες αστικές και αγροτικές περιοχές, συμπεριλαμβανομένων των παραμεθόριων περιοχών, των νησιών και των εξόχως απόκεντρων περιοχών· πιστεύει ότι η στοχευμένη χρηματοδότηση θα πρέπει να επικεντρώνεται στη μείωση του κινδύνου και στην προετοιμασία για ένα ευρύ φάσμα καταστροφών (σχετικών με το κλίμα, γεωλογικών, σχετικών με την υγεία, ανθρωπογενών)· πιστεύει ότι στο πλαίσιο αυτό θα πρέπει να δοθεί μεγάλη έμφαση στον μετριασμό της κλιματικής αλλαγής και την προσαρμογή σε αυτήν, ώστε οι τοπικές και περιφερειακές αρχές να μπορέσουν να διαχειριστούν καλύτερα τους κινδύνους και να προετοιμαστούν για να ανταποκριθούν στις τοπικές επιπτώσεις της κλιματικής αλλαγής, από τα φαινόμενα που εξελίσσονται με αργό ρυθμό έως τα ακραία καιρικά φαινόμενα, συμπεριλαμβανομένης της διάβρωσης των ακτών, της ερημοποίησης, της ανόδου της στάθμης της θάλασσας, των πυρκαγιών, των πλημμυρών, των κατολισθήσεων, των κυμάτων καύσωνα και άλλων φυσικών καταστροφών·</w:t>
      </w:r>
    </w:p>
    <w:p w:rsidR="001B78F3" w:rsidRPr="00C31263" w:rsidRDefault="00C31263" w:rsidP="00C31263">
      <w:pPr>
        <w:pStyle w:val="NormalHanging12a"/>
        <w:ind w:hanging="570"/>
        <w:rPr>
          <w:szCs w:val="24"/>
        </w:rPr>
      </w:pPr>
      <w:r w:rsidRPr="00C31263">
        <w:rPr>
          <w:szCs w:val="24"/>
        </w:rPr>
        <w:t>76.</w:t>
      </w:r>
      <w:r w:rsidRPr="00C31263">
        <w:rPr>
          <w:szCs w:val="24"/>
        </w:rPr>
        <w:tab/>
      </w:r>
      <w:r w:rsidR="001B78F3" w:rsidRPr="00C31263">
        <w:t>πιστεύει ότι τόσο οι αστικές όσο και οι αγροτικές περιοχές θα πρέπει να επωφελούνται με ισορροπημένο τρόπο από τη χρηματοδότηση για τη συνοχή· ζητεί η πολιτική συνοχής να περιλαμβάνει ισχυρότερη αστική και αγροτική διάσταση μέσω καθορισμένων επενδύσεων τόσο σε αστικές όσο και σε αγροτικές περιοχές, καθώς και ισχυρότερων δεσμών μεταξύ των αστικών και αγροτικών έργων και των βιώσιμων επενδύσεων για την αντιμετώπιση των δημογραφικών προκλήσεων, της παγίδας ανάπτυξης και του χάσματος μεταξύ αστικών και αγροτικών περιοχών που πλήττει τις περιφέρειες της ΕΕ·</w:t>
      </w:r>
    </w:p>
    <w:p w:rsidR="001B78F3" w:rsidRPr="00C31263" w:rsidRDefault="00C31263" w:rsidP="00C31263">
      <w:pPr>
        <w:pStyle w:val="NormalHanging12a"/>
        <w:ind w:hanging="570"/>
        <w:rPr>
          <w:szCs w:val="24"/>
        </w:rPr>
      </w:pPr>
      <w:r w:rsidRPr="00C31263">
        <w:rPr>
          <w:szCs w:val="24"/>
        </w:rPr>
        <w:t>77.</w:t>
      </w:r>
      <w:r w:rsidRPr="00C31263">
        <w:rPr>
          <w:szCs w:val="24"/>
        </w:rPr>
        <w:tab/>
      </w:r>
      <w:r w:rsidR="001B78F3" w:rsidRPr="00C31263">
        <w:t>ζητεί να αυξηθεί το ποσοστό των εθνικών κονδυλίων του ΕΤΠΑ υπέρ της αστικής ανάπτυξης· καλεί τα κράτη μέλη να διασφαλίσουν ότι οι μικροί δήμοι μπορούν επίσης να έχουν πρόσβαση στα κονδύλια του ΕΤΠΑ που προορίζονται για τη χρηματοδότηση βιώσιμων και ολοκληρωμένων έργων αστικής ανάπτυξης· ζητεί, ομοίως, να διατεθούν κονδύλια για τις αγροτικές περιοχές και τις περιοχές που πλήττονται από σοβαρά και μόνιμα φυσικά ή δημογραφικά προβλήματα· ζητεί η χρηματοδότηση αυτή να προγραμματίζεται από κοινού με τις τοπικές και περιφερειακές αρχές και να είναι προς όφελος των τοπικών κοινοτήτων και των αντίστοιχων περιφερειών·</w:t>
      </w:r>
    </w:p>
    <w:p w:rsidR="001B78F3" w:rsidRPr="00C31263" w:rsidRDefault="00C31263" w:rsidP="00C31263">
      <w:pPr>
        <w:pStyle w:val="NormalHanging12a"/>
        <w:ind w:hanging="570"/>
        <w:rPr>
          <w:szCs w:val="24"/>
        </w:rPr>
      </w:pPr>
      <w:r w:rsidRPr="00C31263">
        <w:rPr>
          <w:szCs w:val="24"/>
        </w:rPr>
        <w:t>78.</w:t>
      </w:r>
      <w:r w:rsidRPr="00C31263">
        <w:rPr>
          <w:szCs w:val="24"/>
        </w:rPr>
        <w:tab/>
      </w:r>
      <w:r w:rsidR="001B78F3" w:rsidRPr="00C31263">
        <w:t>ζητεί τη θέσπιση μιας πραγματικής διαρθρωτικής πολιτικής για τις αγροτικές περιοχές, με κατάλληλους θεματικούς στόχους που θα ανταποκρίνονται στις ιδιαίτερες προκλήσεις των περιοχών αυτών, όπως η απερήμωση της υπαίθρου, η γήρανση του πληθυσμού, η μείωση του πληθυσμού, η εγκατάλειψη της υπαίθρου, η μείωση των κοινοτήτων εν γένει και οι ανεπαρκείς ευκαιρίες υγειονομικής περίθαλψης και εκπαίδευσης·</w:t>
      </w:r>
    </w:p>
    <w:p w:rsidR="001B78F3" w:rsidRPr="00C31263" w:rsidRDefault="00C31263" w:rsidP="00C31263">
      <w:pPr>
        <w:pStyle w:val="NormalHanging12a"/>
        <w:ind w:hanging="570"/>
        <w:rPr>
          <w:szCs w:val="24"/>
        </w:rPr>
      </w:pPr>
      <w:r w:rsidRPr="00C31263">
        <w:rPr>
          <w:szCs w:val="24"/>
        </w:rPr>
        <w:t>79.</w:t>
      </w:r>
      <w:r w:rsidRPr="00C31263">
        <w:rPr>
          <w:szCs w:val="24"/>
        </w:rPr>
        <w:tab/>
      </w:r>
      <w:r w:rsidR="001B78F3" w:rsidRPr="00C31263">
        <w:t xml:space="preserve">ενθαρρύνει τις συνέργειες μεταξύ κοινών έργων και τις συμφωνίες συνεργασίας μεταξύ </w:t>
      </w:r>
      <w:r w:rsidR="001B78F3" w:rsidRPr="00C31263">
        <w:lastRenderedPageBreak/>
        <w:t>των διαφόρων επιπέδων διακυβέρνησης προκειμένου να αξιοποιηθούν οι κοινές ικανότητες και οι οικονομίες κλίμακας στις επενδύσεις της ΕΕ στις υποδομές, στην καινοτομία, στον μετριασμό της κλιματικής αλλαγής / στην προσαρμογή στην κλιματική αλλαγή και στην διττή οικολογική και ψηφιακή μετάβαση· πιστεύει ότι η διαδικασία αυτή θα πρέπει να οδηγήσει σε μεγαλύτερο αίσθημα οικειοποίησης των έργων και στην εδραίωση των επενδύσεων, αντί του κατακερματισμού και της έλλειψης συνεργειών·</w:t>
      </w:r>
    </w:p>
    <w:p w:rsidR="001B78F3" w:rsidRPr="00C31263" w:rsidRDefault="00C31263" w:rsidP="00C31263">
      <w:pPr>
        <w:pStyle w:val="NormalHanging12a"/>
        <w:ind w:hanging="570"/>
        <w:rPr>
          <w:szCs w:val="24"/>
        </w:rPr>
      </w:pPr>
      <w:r w:rsidRPr="00C31263">
        <w:rPr>
          <w:szCs w:val="24"/>
        </w:rPr>
        <w:t>80.</w:t>
      </w:r>
      <w:r w:rsidRPr="00C31263">
        <w:rPr>
          <w:szCs w:val="24"/>
        </w:rPr>
        <w:tab/>
      </w:r>
      <w:r w:rsidR="001B78F3" w:rsidRPr="00C31263">
        <w:t>επισημαίνει την προστιθέμενη αξία της εδαφικής συνεργασίας εν γένει και της διασυνοριακής συνεργασίας ειδικότερα· ζητεί να αυξηθεί ο προϋπολογισμός για τα προγράμματα ευρωπαϊκής εδαφικής συνεργασίας, καθώς παρέχουν ένα μοναδικό πλαίσιο διαπεριφερειακής, διασυνοριακής και διακρατικής συνεργασίας και συμβάλλουν στην αντιμετώπιση κοινών προκλήσεων, προωθώντας τις εταιρικές σχέσεις και την οικονομική ανάπτυξη, την κοινωνική συνοχή και την περιβαλλοντική βιωσιμότητα· προτείνει το «δισεκατομμύριο για τις παραμεθόριες περιοχές» να ανατεθεί απευθείας στον ευρωπαϊκό όμιλο εδαφικής συνεργασίας, ο οποίος θα είναι επιφορτισμένος με την ανεξάρτητη διαχείριση και κατανομή μεταξύ των έργων·</w:t>
      </w:r>
    </w:p>
    <w:p w:rsidR="001B78F3" w:rsidRPr="00C31263" w:rsidRDefault="00C31263" w:rsidP="00C31263">
      <w:pPr>
        <w:pStyle w:val="NormalHanging12a"/>
        <w:ind w:hanging="570"/>
        <w:rPr>
          <w:szCs w:val="24"/>
        </w:rPr>
      </w:pPr>
      <w:r w:rsidRPr="00C31263">
        <w:rPr>
          <w:szCs w:val="24"/>
        </w:rPr>
        <w:t>81.</w:t>
      </w:r>
      <w:r w:rsidRPr="00C31263">
        <w:rPr>
          <w:szCs w:val="24"/>
        </w:rPr>
        <w:tab/>
      </w:r>
      <w:r w:rsidR="001B78F3" w:rsidRPr="00C31263">
        <w:t>θεωρεί ότι η Εδαφική Ατζέντα 2030 αποτελεί ένα πραγματικό και κατάλληλο μέσο που διασφαλίζει τη συνοχή της ΕΕ μέσω της διαχείρισης κάθε μίας από τις περιφέρειές της και των ιδιαιτεροτήτων τους· καλεί την Επιτροπή να εξετάσει το ενδεχόμενο τροποποίησης του ρόλου της Εδαφικής Ατζέντας 2030 πέραν του ρόλου της ως οδηγού εδαφικής διαχείρισης· καλεί τα κράτη μέλη να αναπτύξουν τα εδαφικά τους θεματολόγια σύμφωνα με την Εδαφική Ατζέντα 2030 ως βάση για τον προγραμματισμό των εδαφικών στρατηγικών τους, λαμβάνοντας υπόψη τις ιδιαιτερότητες κάθε περιφέρειάς τους, και ως κίνητρο, καθώς και για την τόνωση της διαδικασίας λήψης αποφάσεων και του σχεδιασμού των εδαφικών και αστικών πολιτικών·</w:t>
      </w:r>
    </w:p>
    <w:p w:rsidR="001B78F3" w:rsidRPr="00C31263" w:rsidRDefault="00C31263" w:rsidP="00C31263">
      <w:pPr>
        <w:pStyle w:val="NormalHanging12a"/>
        <w:ind w:hanging="570"/>
        <w:rPr>
          <w:szCs w:val="24"/>
        </w:rPr>
      </w:pPr>
      <w:r w:rsidRPr="00C31263">
        <w:rPr>
          <w:szCs w:val="24"/>
        </w:rPr>
        <w:t>82.</w:t>
      </w:r>
      <w:r w:rsidRPr="00C31263">
        <w:rPr>
          <w:szCs w:val="24"/>
        </w:rPr>
        <w:tab/>
      </w:r>
      <w:r w:rsidR="001B78F3" w:rsidRPr="00C31263">
        <w:t>αναγνωρίζει ότι τα εργαλεία ολοκληρωμένης εδαφικής ανάπτυξης διαδραματίζουν θεμελιώδη ρόλο στην ποιοτική εκτέλεση και απορρόφηση των πόρων· ζητεί να διατεθεί ένα μέρος των κονδυλίων της πολιτικής συνοχής για την ανάπτυξη εδαφικών προσεγγίσεων στις αγροτικές περιοχές ή εδαφικών προσεγγίσεων μεταξύ αστικών και αγροτικών περιοχών μέσω ολοκληρωμένων εδαφικών επενδύσεων, τοπικής ανάπτυξης με πρωτοβουλία τοπικών κοινοτήτων ή άλλων μηχανισμών για τη μη γεωργική αγροτική ανάπτυξη, ώστε να συμπληρωθούν οι δράσεις που υποστηρίζονται από την προσέγγιση Leader στο πλαίσιο της κοινής γεωργικής πολιτικής, καθώς αυτό θα αποτελέσει επίσης θεμελιώδη τρόπο αντιμετώπισης της «γεωγραφίας της δυσαρέσκειας»·</w:t>
      </w:r>
    </w:p>
    <w:p w:rsidR="001B78F3" w:rsidRPr="00C31263" w:rsidRDefault="00C31263" w:rsidP="00C31263">
      <w:pPr>
        <w:pStyle w:val="NormalHanging12a"/>
        <w:ind w:hanging="570"/>
      </w:pPr>
      <w:r w:rsidRPr="00C31263">
        <w:t>83.</w:t>
      </w:r>
      <w:r w:rsidRPr="00C31263">
        <w:tab/>
      </w:r>
      <w:r w:rsidR="001B78F3" w:rsidRPr="00C31263">
        <w:t>είναι της γνώμης ότι η χρήση αποδεσμεύσεων στον τομέα της συνοχής για περιθώρια αποθεμάτων στο πλαίσιο της πολιτικής συνοχής θα συνέβαλε, μεταξύ άλλων, στην απορρόφηση μελλοντικών αυξήσεων του πληθωρισμού ή κλυδωνισμών της αλυσίδας εφοδιασμού· πιστεύει ότι η χρήση αυτή θα πρέπει να λειτουργεί σε κυλιόμενη βάση, ανάλογα με την αναγκαιότητα και σύμφωνα με τους κύκλους πολυετούς και ετήσιας αποδέσμευσης·</w:t>
      </w:r>
    </w:p>
    <w:p w:rsidR="001B78F3" w:rsidRPr="00C31263" w:rsidRDefault="00C31263" w:rsidP="00C31263">
      <w:pPr>
        <w:pStyle w:val="NormalHanging12a"/>
        <w:ind w:hanging="570"/>
        <w:rPr>
          <w:szCs w:val="24"/>
        </w:rPr>
      </w:pPr>
      <w:r w:rsidRPr="00C31263">
        <w:rPr>
          <w:szCs w:val="24"/>
        </w:rPr>
        <w:t>84.</w:t>
      </w:r>
      <w:r w:rsidRPr="00C31263">
        <w:rPr>
          <w:szCs w:val="24"/>
        </w:rPr>
        <w:tab/>
      </w:r>
      <w:r w:rsidR="001B78F3" w:rsidRPr="00C31263">
        <w:t xml:space="preserve">πιστεύει ότι το μείγμα του αναγκαίου τοποκεντρικού προσανατολισμού και της στήριξης των θεματικών προτεραιοτήτων της Ένωσης θα μπορούσε να αντιμετωπιστεί με μεγαλύτερη ευελιξία και επιλεγμένο κατάλογο θεματικών στόχων και προκλήσεων, προσβάσιμο στις περιφέρειες και τους δήμους ανάλογα με τα επίπεδα και τις ανάγκες ανάπτυξής τους, με παράλληλο σεβασμό της θεματικής συγκέντρωσης σε εθνικό </w:t>
      </w:r>
      <w:r w:rsidR="001B78F3" w:rsidRPr="00C31263">
        <w:lastRenderedPageBreak/>
        <w:t>επίπεδο· υπογραμμίζει ότι με το εν λόγω μοντέλο μειώνεται η πολυπλοκότητα της διαδικασίας προγραμματισμού και λαμβάνονται υπόψη τα περιφερειακά χαρακτηριστικά· τονίζει ότι θα πρέπει να συνεχιστεί η παρακολούθηση του τοπικού τοπίου αναγκών με σκοπό την αποτελεσματική τους αντιμετώπιση στο πλαίσιο της μείωσης των περιφερειακών ανισοτήτων σε ολόκληρη την ΕΕ·</w:t>
      </w:r>
    </w:p>
    <w:p w:rsidR="001B78F3" w:rsidRPr="00C31263" w:rsidRDefault="00C31263" w:rsidP="00C31263">
      <w:pPr>
        <w:pStyle w:val="NormalHanging12a"/>
        <w:ind w:hanging="570"/>
        <w:rPr>
          <w:szCs w:val="24"/>
        </w:rPr>
      </w:pPr>
      <w:r w:rsidRPr="00C31263">
        <w:rPr>
          <w:szCs w:val="24"/>
        </w:rPr>
        <w:t>85.</w:t>
      </w:r>
      <w:r w:rsidRPr="00C31263">
        <w:rPr>
          <w:szCs w:val="24"/>
        </w:rPr>
        <w:tab/>
      </w:r>
      <w:r w:rsidR="001B78F3" w:rsidRPr="00C31263">
        <w:t>υπογραμμίζει ότι η θεματική συγκέντρωση παραμένει ακρογωνιαίος λίθος για την επίτευξη της μετάβασης προς μια πιο ανταγωνιστική, πιο έξυπνη, πιο κοινωνική και πιο ανθεκτική Ένωση, καθώς και προς μια οικονομία μηδενικών εκπομπών διοξειδίου του άνθρακα· υπογραμμίζει, ωστόσο, ότι πρέπει να προσαρμοστεί στις πραγματικές ανάγκες των περιφερειών και των πόλεων, καθώς και στον τρόπο με τον οποίο λειτουργούν στην πράξη, από τον προγραμματισμό και τον επαναπρογραμματισμό έως την υλοποίηση και την ολοκλήρωση· είναι βέβαιο ότι η βασική αρχή θα πρέπει να είναι μια εξατομικευμένη επενδυτική προσέγγιση προσαρμοσμένη στις συγκεκριμένες επιτόπιες ανάγκες·</w:t>
      </w:r>
    </w:p>
    <w:p w:rsidR="001B78F3" w:rsidRPr="00C31263" w:rsidRDefault="00C31263" w:rsidP="00C31263">
      <w:pPr>
        <w:pStyle w:val="NormalHanging12a"/>
        <w:ind w:hanging="570"/>
        <w:rPr>
          <w:szCs w:val="24"/>
        </w:rPr>
      </w:pPr>
      <w:r w:rsidRPr="00C31263">
        <w:rPr>
          <w:szCs w:val="24"/>
        </w:rPr>
        <w:t>86.</w:t>
      </w:r>
      <w:r w:rsidRPr="00C31263">
        <w:rPr>
          <w:szCs w:val="24"/>
        </w:rPr>
        <w:tab/>
      </w:r>
      <w:r w:rsidR="001B78F3" w:rsidRPr="00C31263">
        <w:t>ζητεί από την Επιτροπή, κατά τον καθορισμό του επιπέδου στήριξης για κάθε περιφέρεια, να λαμβάνει υπόψη πρόσθετα χαρακτηριστικά, όπως οι περιοχές εντός της περιφέρειας με αναπτυξιακό δυναμικό, η ένταση των ιδιαίτερων προκλήσεων που αντιμετωπίζουν, ο βαθμός έκθεσής τους στις επιπτώσεις των συνεχιζόμενων μεταβάσεων, όπως η οικολογική, η ψηφιακή και η βιομηχανική μετάβαση, ή το επίπεδο της κοινωνικής τους προόδου, ώστε να καθοριστεί καλύτερα η πορεία κάθε περιφέρειας προς τη σύγκλιση· τονίζει ότι το ΑΕγχΠ, ως μοναδικός δείκτης ανάπτυξης, δεν λαμβάνει υπόψη όλες αυτές τις πτυχές και ζητεί να συμπληρωθεί με άλλους δείκτες, όπως ο δείκτης κοινωνικής προόδου της ΕΕ και ο δείκτης ευπάθειας στην κλιματική αλλαγή· υπογραμμίζει ότι είναι σημαντικό να δοθεί ιδιαίτερη προσοχή στη στήριξη των περιφερειών που αντιμετωπίζουν αναπτυξιακή παγίδα, όπως επισημαίνεται στην 8η έκθεση για τη συνοχή·</w:t>
      </w:r>
    </w:p>
    <w:p w:rsidR="001B78F3" w:rsidRPr="00C31263" w:rsidRDefault="00C31263" w:rsidP="00C31263">
      <w:pPr>
        <w:pStyle w:val="NormalHanging12a"/>
        <w:ind w:hanging="570"/>
        <w:rPr>
          <w:szCs w:val="24"/>
        </w:rPr>
      </w:pPr>
      <w:r w:rsidRPr="00C31263">
        <w:rPr>
          <w:szCs w:val="24"/>
        </w:rPr>
        <w:t>87.</w:t>
      </w:r>
      <w:r w:rsidRPr="00C31263">
        <w:rPr>
          <w:szCs w:val="24"/>
        </w:rPr>
        <w:tab/>
      </w:r>
      <w:r w:rsidR="001B78F3" w:rsidRPr="00C31263">
        <w:t>ζητεί να αντιμετωπιστούν οι ενδοπεριφερειακές ανισότητες με μεγαλύτερη προσοχή στην πολυμορφία των περιοχών· καλεί την Επιτροπή να εξετάσει τη δυνατότητα αξιολόγησης των αρχικών κονδυλίων και των ποσοστών συγχρηματοδότησης βάσει του επιπέδου NUTS 3, προκειμένου η χρηματοδότηση να διοχετευθεί εκεί όπου είναι περισσότερο αναγκαία και να αποτραπεί η εμφάνιση θυλάκων φτώχειας και υπανάπτυξης· υπογραμμίζει ότι μια τέτοια αλλαγή θα πρέπει να λαμβάνει υπόψη τις πιθανές αρνητικές επιπτώσεις στη χρηματοδότηση της ΕΕ για μεγαλύτερες αστικές περιοχές, ·όπως οι μητροπολιτικές περιοχές·</w:t>
      </w:r>
    </w:p>
    <w:p w:rsidR="001B78F3" w:rsidRPr="00C31263" w:rsidRDefault="00C31263" w:rsidP="00C31263">
      <w:pPr>
        <w:pStyle w:val="NormalHanging12a"/>
        <w:ind w:hanging="570"/>
        <w:rPr>
          <w:szCs w:val="24"/>
        </w:rPr>
      </w:pPr>
      <w:r w:rsidRPr="00C31263">
        <w:rPr>
          <w:szCs w:val="24"/>
        </w:rPr>
        <w:t>88.</w:t>
      </w:r>
      <w:r w:rsidRPr="00C31263">
        <w:rPr>
          <w:szCs w:val="24"/>
        </w:rPr>
        <w:tab/>
      </w:r>
      <w:r w:rsidR="001B78F3" w:rsidRPr="00C31263">
        <w:t>θεωρεί ότι, κατά τη διάθεση κονδυλίων για τοπικά έργα σε αστικές και αγροτικές περιοχές, θα πρέπει να δίνεται έμφαση σε κοινά έργα κοινού ενδιαφέροντος, με παράλληλη προώθηση της συμμετοχής των ΜΜΕ· ζητεί να συνδυαστούν μικρότερα περιφερειακά χρηματοδοτικά μέσα με ευρύτερες περιφερειακές πρωτοβουλίες για να ενισχυθεί η αποτελεσματικότητα και ο αντίκτυπος της πολιτικής· καλεί την Επιτροπή να παράσχει καθοδήγηση και στήριξη σχεδιασμού, ιδίως για ολοκληρωμένα εδαφικά και μικρά έργα, ώστε να αποφευχθούν οι αποδεσμεύσεις και η αναπροσαρμογή της χρήσης· τονίζει τη σημασία της ενίσχυσης της προσέγγισης από τη βάση προς την κορυφή όσον αφορά την εδαφική ανάπτυξη, η οποία αποτελεί μέσο κοινωνικής καινοτομίας και ανάπτυξης ικανοτήτων·</w:t>
      </w:r>
    </w:p>
    <w:p w:rsidR="001B78F3" w:rsidRPr="00C31263" w:rsidRDefault="00C31263" w:rsidP="00C31263">
      <w:pPr>
        <w:pStyle w:val="NormalHanging12a"/>
        <w:ind w:hanging="570"/>
        <w:rPr>
          <w:szCs w:val="24"/>
        </w:rPr>
      </w:pPr>
      <w:r w:rsidRPr="00C31263">
        <w:rPr>
          <w:szCs w:val="24"/>
        </w:rPr>
        <w:t>89.</w:t>
      </w:r>
      <w:r w:rsidRPr="00C31263">
        <w:rPr>
          <w:szCs w:val="24"/>
        </w:rPr>
        <w:tab/>
      </w:r>
      <w:r w:rsidR="001B78F3" w:rsidRPr="00C31263">
        <w:t xml:space="preserve">υπογραμμίζει τη σημασία της χρηστής διακυβέρνησης σε όλα τα επίπεδα όσον αφορά τη διαχείριση της πολιτικής συνοχής· επισημαίνει ότι η ποιότητα των δομών </w:t>
      </w:r>
      <w:r w:rsidR="001B78F3" w:rsidRPr="00C31263">
        <w:lastRenderedPageBreak/>
        <w:t>διακυβέρνησης μπορεί να καθορίσει το βέλτιστο μείγμα επενδυτικών προτεραιοτήτων, προκειμένου να επιτευχθεί ο απαραίτητος πολυεπίπεδος κάθετος και οριζόντιος συντονισμός για τον σχεδιασμό και την υλοποίηση ολοκληρωμένων αναπτυξιακών στρατηγικών·</w:t>
      </w:r>
    </w:p>
    <w:p w:rsidR="001B78F3" w:rsidRPr="00C31263" w:rsidRDefault="00C31263" w:rsidP="00C31263">
      <w:pPr>
        <w:pStyle w:val="NormalHanging12a"/>
        <w:ind w:hanging="570"/>
        <w:rPr>
          <w:szCs w:val="24"/>
        </w:rPr>
      </w:pPr>
      <w:r w:rsidRPr="00C31263">
        <w:rPr>
          <w:szCs w:val="24"/>
        </w:rPr>
        <w:t>90.</w:t>
      </w:r>
      <w:r w:rsidRPr="00C31263">
        <w:rPr>
          <w:szCs w:val="24"/>
        </w:rPr>
        <w:tab/>
      </w:r>
      <w:r w:rsidR="001B78F3" w:rsidRPr="00C31263">
        <w:t>ζητεί να ενισχυθεί η εκπροσώπηση των αστικών και αγροτικών αρχών στις επιτροπές παρακολούθησης, οι οποίες θα μπορούσαν να αξιολογήσουν από κοινού την αποτελεσματικότητα της διαχείρισης των κονδυλίων· επαναλαμβάνει ότι οι εκπρόσωποι αυτοί θα πρέπει, μεταξύ άλλων, να μοιράζονται την ευθύνη για τον προγραμματισμό και τον αναπρογραμματισμό, προκειμένου να τηρείται η πολυεπίπεδη διακυβέρνηση·</w:t>
      </w:r>
    </w:p>
    <w:p w:rsidR="001B78F3" w:rsidRPr="00C31263" w:rsidRDefault="00C31263" w:rsidP="00C31263">
      <w:pPr>
        <w:pStyle w:val="NormalHanging12a"/>
        <w:ind w:hanging="570"/>
        <w:rPr>
          <w:szCs w:val="24"/>
        </w:rPr>
      </w:pPr>
      <w:r w:rsidRPr="00C31263">
        <w:rPr>
          <w:szCs w:val="24"/>
        </w:rPr>
        <w:t>91.</w:t>
      </w:r>
      <w:r w:rsidRPr="00C31263">
        <w:rPr>
          <w:szCs w:val="24"/>
        </w:rPr>
        <w:tab/>
      </w:r>
      <w:r w:rsidR="001B78F3" w:rsidRPr="00C31263">
        <w:t>καλεί την Επιτροπή να λάβει τα αναγκαία μέτρα για την αντιμετώπιση των ελλείψεων που εντοπίζονται στη διαχείριση των ταμείων της πολιτικής συνοχής από τις διαχειριστικές αρχές, απλουστεύοντας παράλληλα την πρόσβαση στην τεχνική βοήθεια για τη βελτίωση των διοικητικών και διαχειριστικών ικανοτήτων των αρμόδιων φορέων·</w:t>
      </w:r>
    </w:p>
    <w:p w:rsidR="001B78F3" w:rsidRPr="00C31263" w:rsidRDefault="00C31263" w:rsidP="00C31263">
      <w:pPr>
        <w:pStyle w:val="NormalHanging12a"/>
        <w:ind w:hanging="570"/>
      </w:pPr>
      <w:r w:rsidRPr="00C31263">
        <w:t>92.</w:t>
      </w:r>
      <w:r w:rsidRPr="00C31263">
        <w:tab/>
      </w:r>
      <w:r w:rsidR="001B78F3" w:rsidRPr="00C31263">
        <w:t>ζητεί την περαιτέρω συμμετοχή πρωτοβουλιών της Επιτροπής, όπως το Σύμφωνο των Δημάρχων της ΕΕ για το κλίμα και την ενέργεια, στη διαδικασία σχεδιασμού και εφαρμογής της επόμενης γενιάς κανόνων για την πολιτική συνοχής· πιστεύει ότι τα δίκτυα πόλεων διαδραματίζουν θεμελιώδη ρόλο στη γεφύρωση του χάσματος μεταξύ της χάραξης πολιτικής και της εφαρμογής στην πράξη· αναγνωρίζει ότι, στο πλαίσιο εφαρμογής της πολιτικής, παράγονται αισθητά καλύτερα αποτελέσματα όταν κατευθύνεται προς τους δημάρχους και τις τοπικές αρχές η στήριξη της πολιτικής και της εφαρμογής της·</w:t>
      </w:r>
    </w:p>
    <w:p w:rsidR="001B78F3" w:rsidRPr="00C31263" w:rsidRDefault="00C31263" w:rsidP="00C31263">
      <w:pPr>
        <w:pStyle w:val="NormalHanging12a"/>
        <w:ind w:hanging="570"/>
        <w:rPr>
          <w:szCs w:val="24"/>
        </w:rPr>
      </w:pPr>
      <w:r w:rsidRPr="00C31263">
        <w:rPr>
          <w:szCs w:val="24"/>
        </w:rPr>
        <w:t>93.</w:t>
      </w:r>
      <w:r w:rsidRPr="00C31263">
        <w:rPr>
          <w:szCs w:val="24"/>
        </w:rPr>
        <w:tab/>
      </w:r>
      <w:r w:rsidR="001B78F3" w:rsidRPr="00C31263">
        <w:t>τονίζει ότι υπάρχουν διαφορές μεταξύ των κρατών μελών όσον αφορά τις αρμοδιότητες των τοπικών και περιφερειακών αρχών· ζητεί μια ενισχυμένη τοποκεντρική προσέγγιση, ώστε η διαχείριση της πολιτικής συνοχής να έρθει πιο κοντά στο περιφερειακό και τοπικό επίπεδο· τονίζει ότι οι προπαρασκευαστικές εργασίες, η επαρκής διοικητική ικανότητα και η θεσμική υποστήριξη είναι απαραίτητες για να διασφαλιστεί η αποτελεσματικότητα της πολιτικής, να μειωθεί ο αριθμός των παρατυπιών και των περιπτώσεων απάτης και να αποφευχθούν πρόσθετες διοικητικές επιβαρύνσεις για τις διαχειριστικές αρχές, τους αναδόχους και τους τελικούς δικαιούχους·</w:t>
      </w:r>
    </w:p>
    <w:p w:rsidR="001B78F3" w:rsidRPr="00C31263" w:rsidRDefault="00C31263" w:rsidP="00C31263">
      <w:pPr>
        <w:pStyle w:val="NormalHanging12a"/>
        <w:ind w:hanging="570"/>
        <w:rPr>
          <w:szCs w:val="24"/>
        </w:rPr>
      </w:pPr>
      <w:r w:rsidRPr="00C31263">
        <w:rPr>
          <w:szCs w:val="24"/>
        </w:rPr>
        <w:t>94.</w:t>
      </w:r>
      <w:r w:rsidRPr="00C31263">
        <w:rPr>
          <w:szCs w:val="24"/>
        </w:rPr>
        <w:tab/>
      </w:r>
      <w:r w:rsidR="001B78F3" w:rsidRPr="00C31263">
        <w:t>είναι πεπεισμένο ότι η προώθηση μιας αυξημένης αίσθησης τοπικής και περιφερειακής ιδιοκτησίας μακροπρόθεσμα, καθώς και η ανθεκτικότητα των έργων της ΕΕ και η υψηλότερη μόχλευση της συγχρηματοδότησης μπορούν να επιτευχθούν μέσω της αύξησης της φορολογικής ικανότητας των περιφερειών και των δήμων· αναγνωρίζει ότι μια τέτοια πορεία θα βελτίωνε τη δανειοληπτική ικανότητα των περιφερειών και των δήμων η οποία συνδέεται με τα χρηματοδοτικά μέσα που παρέχονται από τον προϋπολογισμό της ΕΕ· υπογραμμίζει ότι οι περιφερειακοί και τοπικοί προϋπολογισμοί θα πρέπει να είναι σε θέση να αντισταθμίζουν τον αντίκτυπο των πληθωριστικών κλυδωνισμών και πιθανών κρίσεων στα συγχρηματοδοτούμενα από την ΕΕ έργα·</w:t>
      </w:r>
    </w:p>
    <w:p w:rsidR="001B78F3" w:rsidRPr="00C31263" w:rsidRDefault="00C31263" w:rsidP="00C31263">
      <w:pPr>
        <w:pStyle w:val="NormalHanging12a"/>
        <w:ind w:hanging="570"/>
        <w:rPr>
          <w:szCs w:val="24"/>
        </w:rPr>
      </w:pPr>
      <w:r w:rsidRPr="00C31263">
        <w:rPr>
          <w:szCs w:val="24"/>
        </w:rPr>
        <w:t>95.</w:t>
      </w:r>
      <w:r w:rsidRPr="00C31263">
        <w:rPr>
          <w:szCs w:val="24"/>
        </w:rPr>
        <w:tab/>
      </w:r>
      <w:r w:rsidR="001B78F3" w:rsidRPr="00C31263">
        <w:t xml:space="preserve">ζητεί την περαιτέρω συμμετοχή του Ομίλου της Ευρωπαϊκής Τράπεζας Επενδύσεων (ΕΤΕπ) στις επενδύσεις της πολιτικής συνοχής, ιδίως σε λιγότερο ανεπτυγμένες περιφέρειες, μέσω της στήριξης των βιώσιμων πόλεων, της βιώσιμης ενέργειας, της κυκλικής οικονομίας, των πράσινων θέσεων εργασίας και των τοπικών και περιφερειακών έργων καινοτομίας, μεταξύ άλλων μέσω της αυξημένης χρήσης </w:t>
      </w:r>
      <w:r w:rsidR="001B78F3" w:rsidRPr="00C31263">
        <w:lastRenderedPageBreak/>
        <w:t>χρηματοδοτικών μέσων και της στήριξης των επενδύσεων του ιδιωτικού τομέα· ζητεί την επέκταση της τοπικής και περιφερειακής βοήθειας για έργα και των χρηματοδοτικών μέσων που συμπληρώνουν και μοχλεύουν τις επιχορηγήσεις της ΕΕ· αναγνωρίζει ότι σε πολλά κράτη μέλη η χρηματοδότηση της ΕΤΕπ, όπως τα δάνεια διαρθρωτικών προγραμμάτων, συμβάλλει σημαντικά στις εθνικές υποχρεώσεις συγχρηματοδότησης στο πλαίσιο της πολιτικής συνοχής, γεγονός που με τη σειρά του διευκολύνει και επιταχύνει την υλοποίηση των προγραμμάτων·</w:t>
      </w:r>
    </w:p>
    <w:p w:rsidR="001B78F3" w:rsidRPr="00C31263" w:rsidRDefault="00C31263" w:rsidP="00C31263">
      <w:pPr>
        <w:pStyle w:val="NormalHanging12a"/>
        <w:ind w:hanging="570"/>
        <w:rPr>
          <w:szCs w:val="24"/>
        </w:rPr>
      </w:pPr>
      <w:r w:rsidRPr="00C31263">
        <w:rPr>
          <w:szCs w:val="24"/>
        </w:rPr>
        <w:t>96.</w:t>
      </w:r>
      <w:r w:rsidRPr="00C31263">
        <w:rPr>
          <w:szCs w:val="24"/>
        </w:rPr>
        <w:tab/>
      </w:r>
      <w:r w:rsidR="001B78F3" w:rsidRPr="00C31263">
        <w:t>υπογραμμίζει ότι η τεχνική, οικονομική και διοικητική ικανότητα είναι απαραίτητη για να διασφαλιστεί ότι οι φορείς διαχείρισης και οι τοπικές και περιφερειακές αρχές αποκτούν τεχνικές γνώσεις, ιδίως όσον αφορά την κλιματική αλλαγή, τις οποίες μπορούν να χρησιμοποιούν για τον πολεοδομικό και αγροτικό σχεδιασμό και τη διαχείριση· είναι πεπεισμένο ότι αυτό θα οδηγήσει σε καλύτερο σχεδιασμό και καλύτερη αξιολόγηση των προτάσεων έργων, σε αποτελεσματικότερη κατανομή των πόρων και σε ικανοποιητική εκτέλεση του προϋπολογισμού χωρίς σημαντικό κίνδυνο αποδεσμεύσεων·</w:t>
      </w:r>
    </w:p>
    <w:p w:rsidR="001B78F3" w:rsidRPr="00C31263" w:rsidRDefault="00C31263" w:rsidP="00C31263">
      <w:pPr>
        <w:pStyle w:val="NormalHanging12a"/>
        <w:ind w:hanging="570"/>
        <w:rPr>
          <w:szCs w:val="24"/>
        </w:rPr>
      </w:pPr>
      <w:r w:rsidRPr="00C31263">
        <w:rPr>
          <w:szCs w:val="24"/>
        </w:rPr>
        <w:t>97.</w:t>
      </w:r>
      <w:r w:rsidRPr="00C31263">
        <w:rPr>
          <w:szCs w:val="24"/>
        </w:rPr>
        <w:tab/>
      </w:r>
      <w:r w:rsidR="001B78F3" w:rsidRPr="00C31263">
        <w:t>ζητεί τα υφιστάμενα προγράμματα τεχνικής βοήθειας και παροχής συμβουλών να στοχεύουν ειδικά τους μικρότερους δήμους και τις διασυνοριακές, απομακρυσμένες και αγροτικές περιοχές, καθώς και τις εξόχως απόκεντρες και νησιωτικές περιοχές, ώστε να μπορέσουν να αντιμετωπίσουν νέες προκλήσεις, όπως η πράσινη μετάβαση και η κλιματική αλλαγή· υπογραμμίζει, στο πλαίσιο αυτό, τη σημασία της ανάπτυξης μέσων τεχνικής βοήθειας σε συνεργασία μεταξύ της ΕΤΕπ και της Επιτροπής, μεταξύ άλλων όσον αφορά την ενεργειακή απόδοση· ζητεί στοχευμένη στήριξη που να έχει τη μορφή χρηματοδότησης της ΕΕ κατά 100 % για τη δημιουργία τεχνικής, χρηματοδοτικής και διοικητικής ικανότητας, για τις ικανότητες σχεδιασμού έργων, προετοιμασίας, προσδιορισμού και δημιουργίας σειράς έργων, καθώς και στρατηγικού σχεδιασμού, συμπεριλαμβανομένων των μέσων σχεδιασμού· πιστεύει ότι η πλατφόρμα URBIS, ως ενιαίο σημείο επαφής για τους δήμους, θα πρέπει να αναπτυχθεί περαιτέρω·</w:t>
      </w:r>
    </w:p>
    <w:p w:rsidR="001B78F3" w:rsidRPr="00C31263" w:rsidRDefault="00C31263" w:rsidP="00C31263">
      <w:pPr>
        <w:pStyle w:val="NormalHanging12a"/>
        <w:ind w:hanging="570"/>
        <w:rPr>
          <w:szCs w:val="24"/>
        </w:rPr>
      </w:pPr>
      <w:r w:rsidRPr="00C31263">
        <w:rPr>
          <w:szCs w:val="24"/>
        </w:rPr>
        <w:t>98.</w:t>
      </w:r>
      <w:r w:rsidRPr="00C31263">
        <w:rPr>
          <w:szCs w:val="24"/>
        </w:rPr>
        <w:tab/>
      </w:r>
      <w:r w:rsidR="001B78F3" w:rsidRPr="00C31263">
        <w:t>επιμένει στην κριτική επανεξέταση των ad hoc πρωτοβουλιών της Επιτροπής και στον ενδελεχή έλεγχο των νέων πρωτοβουλιών όσον αφορά την ποιότητα και την ποσότητά τους· ζητεί η διαδικασία αυτή να διεξαχθεί από κοινού και σε συνεργασία, εξασφαλίζοντας την εκπροσώπηση του τοπικού επιπέδου, συμπεριλαμβανομένων των πόλεων και των αγροτικών περιοχών, καθώς και των περιφερειών και των οργανώσεων της κοινωνίας των πολιτών· προειδοποιεί ότι ο πολλαπλασιασμός των ad hoc πρωτοβουλιών της Επιτροπής που χρηματοδοτούνται από τα κονδύλια της πολιτικής συνοχής, χωρίς προστιθέμενη αξία για το τοπικό και περιφερειακό επίπεδο, κινδυνεύει να υπονομεύσει την αποτελεσματικότητα των συνολικών πιστώσεων συνοχής που έχουν προγραμματιστεί εκ των προτέρων· επιμένει ότι κάθε νέα πρωτοβουλία της Επιτροπής πρέπει να συνοδεύεται από συμπληρωματική δημοσιονομική ενίσχυση·</w:t>
      </w:r>
    </w:p>
    <w:p w:rsidR="001B78F3" w:rsidRPr="00C31263" w:rsidRDefault="001B78F3" w:rsidP="001B78F3">
      <w:pPr>
        <w:pStyle w:val="NormalHanging12a"/>
        <w:jc w:val="center"/>
      </w:pPr>
      <w:r w:rsidRPr="00C31263">
        <w:t>°</w:t>
      </w:r>
    </w:p>
    <w:p w:rsidR="001B78F3" w:rsidRPr="00C31263" w:rsidRDefault="001B78F3" w:rsidP="001B78F3">
      <w:pPr>
        <w:pStyle w:val="NormalHanging12a"/>
        <w:jc w:val="center"/>
      </w:pPr>
      <w:r w:rsidRPr="00C31263">
        <w:t>°</w:t>
      </w:r>
      <w:r w:rsidRPr="00C31263">
        <w:tab/>
        <w:t>°</w:t>
      </w:r>
    </w:p>
    <w:p w:rsidR="00E365E1" w:rsidRPr="00C31263" w:rsidRDefault="00C31263" w:rsidP="00C31263">
      <w:pPr>
        <w:pStyle w:val="NormalHanging12a"/>
        <w:ind w:hanging="570"/>
      </w:pPr>
      <w:r w:rsidRPr="00C31263">
        <w:t>99.</w:t>
      </w:r>
      <w:r w:rsidRPr="00C31263">
        <w:tab/>
      </w:r>
      <w:r w:rsidR="001B78F3" w:rsidRPr="00C31263">
        <w:t>αναθέτει στην Πρόεδρό του να διαβιβάσει το παρόν ψήφισμα στο Συμβούλιο, στην Επιτροπή, στην Ευρωπαϊκή Οικονομική και Κοινωνική Επιτροπή, στην Ευρωπαϊκή Επιτροπή των Περιφερειών, και στα εθνικά και περιφερειακά κοινοβούλια των κρατών μελών.</w:t>
      </w:r>
      <w:bookmarkStart w:id="9" w:name="TextBodyEnd"/>
      <w:bookmarkEnd w:id="9"/>
    </w:p>
    <w:sectPr w:rsidR="00E365E1" w:rsidRPr="00C31263" w:rsidSect="00BC57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D93" w:rsidRPr="00BC577F" w:rsidRDefault="00C13D93">
      <w:r w:rsidRPr="00BC577F">
        <w:separator/>
      </w:r>
    </w:p>
  </w:endnote>
  <w:endnote w:type="continuationSeparator" w:id="0">
    <w:p w:rsidR="00C13D93" w:rsidRPr="00BC577F" w:rsidRDefault="00C13D93">
      <w:r w:rsidRPr="00BC57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57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57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57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D93" w:rsidRPr="00BC577F" w:rsidRDefault="00C13D93">
      <w:r w:rsidRPr="00BC577F">
        <w:separator/>
      </w:r>
    </w:p>
  </w:footnote>
  <w:footnote w:type="continuationSeparator" w:id="0">
    <w:p w:rsidR="00C13D93" w:rsidRPr="00BC577F" w:rsidRDefault="00C13D93">
      <w:r w:rsidRPr="00BC577F">
        <w:continuationSeparator/>
      </w:r>
    </w:p>
  </w:footnote>
  <w:footnote w:id="1">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L 347 της 20.12.2013, σ. 320.</w:t>
      </w:r>
    </w:p>
  </w:footnote>
  <w:footnote w:id="2">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L 347 της 20.12.2013, σ. 289.</w:t>
      </w:r>
    </w:p>
  </w:footnote>
  <w:footnote w:id="3">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L 347 της 20.12.2013, σ. 281.</w:t>
      </w:r>
    </w:p>
  </w:footnote>
  <w:footnote w:id="4">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L 347 της 20.12.2013, σ. 259.</w:t>
      </w:r>
    </w:p>
  </w:footnote>
  <w:footnote w:id="5">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L 347 της 20.12.2013, σ. 470.</w:t>
      </w:r>
    </w:p>
  </w:footnote>
  <w:footnote w:id="6">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L 99 της 31.3.2020, σ. 5.</w:t>
      </w:r>
    </w:p>
  </w:footnote>
  <w:footnote w:id="7">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L 130 της 24.4.2020, σ. 1.</w:t>
      </w:r>
    </w:p>
  </w:footnote>
  <w:footnote w:id="8">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L 109 της 8.4.2022, σ. 1.</w:t>
      </w:r>
    </w:p>
  </w:footnote>
  <w:footnote w:id="9">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L 275 της 25.10.2022, σ. 23.</w:t>
      </w:r>
    </w:p>
  </w:footnote>
  <w:footnote w:id="10">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Κείμενα που εγκρίθηκαν, P9_TA(2023)0439.</w:t>
      </w:r>
    </w:p>
  </w:footnote>
  <w:footnote w:id="11">
    <w:p w:rsidR="001B78F3" w:rsidRPr="00C31263" w:rsidRDefault="001B78F3" w:rsidP="00BC577F">
      <w:pPr>
        <w:pStyle w:val="FootnoteText"/>
        <w:ind w:left="567" w:hanging="567"/>
        <w:rPr>
          <w:sz w:val="24"/>
          <w:lang w:val="fi-FI"/>
        </w:rPr>
      </w:pPr>
      <w:r w:rsidRPr="00BC577F">
        <w:rPr>
          <w:rStyle w:val="FootnoteReference"/>
          <w:sz w:val="24"/>
          <w:lang w:val="el-GR"/>
        </w:rPr>
        <w:footnoteRef/>
      </w:r>
      <w:r w:rsidR="00BC577F" w:rsidRPr="00C31263">
        <w:rPr>
          <w:sz w:val="24"/>
          <w:lang w:val="fi-FI"/>
        </w:rPr>
        <w:t xml:space="preserve"> </w:t>
      </w:r>
      <w:r w:rsidR="00BC577F" w:rsidRPr="00C31263">
        <w:rPr>
          <w:sz w:val="24"/>
          <w:lang w:val="fi-FI"/>
        </w:rPr>
        <w:tab/>
      </w:r>
      <w:r w:rsidRPr="00BC577F">
        <w:rPr>
          <w:sz w:val="24"/>
          <w:lang w:val="el-GR"/>
        </w:rPr>
        <w:t>ΕΕ</w:t>
      </w:r>
      <w:r w:rsidRPr="00C31263">
        <w:rPr>
          <w:sz w:val="24"/>
          <w:lang w:val="fi-FI"/>
        </w:rPr>
        <w:t xml:space="preserve"> C, C/2023/1061</w:t>
      </w:r>
      <w:r w:rsidR="00484684" w:rsidRPr="00C31263">
        <w:rPr>
          <w:sz w:val="24"/>
          <w:lang w:val="fi-FI"/>
        </w:rPr>
        <w:t>,</w:t>
      </w:r>
      <w:r w:rsidRPr="00C31263">
        <w:rPr>
          <w:sz w:val="24"/>
          <w:lang w:val="fi-FI"/>
        </w:rPr>
        <w:t xml:space="preserve"> 15.12.2023, ELI: </w:t>
      </w:r>
      <w:hyperlink r:id="rId1" w:history="1">
        <w:r w:rsidR="008D561D" w:rsidRPr="00C31263">
          <w:rPr>
            <w:rStyle w:val="Hyperlink"/>
            <w:sz w:val="24"/>
            <w:lang w:val="fi-FI"/>
          </w:rPr>
          <w:t>http://data.europa.eu/eli/C/2023/1061/oj</w:t>
        </w:r>
      </w:hyperlink>
      <w:r w:rsidRPr="00C31263">
        <w:rPr>
          <w:sz w:val="24"/>
          <w:lang w:val="fi-FI"/>
        </w:rPr>
        <w:t>.</w:t>
      </w:r>
      <w:r w:rsidR="008D561D" w:rsidRPr="00C31263">
        <w:rPr>
          <w:sz w:val="24"/>
          <w:lang w:val="fi-FI"/>
        </w:rPr>
        <w:t xml:space="preserve"> </w:t>
      </w:r>
    </w:p>
  </w:footnote>
  <w:footnote w:id="12">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C 125 της 5.4.2023, σ. 100.</w:t>
      </w:r>
    </w:p>
  </w:footnote>
  <w:footnote w:id="13">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C 125 της 5.4.2023, σ. 114.</w:t>
      </w:r>
    </w:p>
  </w:footnote>
  <w:footnote w:id="14">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C 342 της 6.9.2022, σ. 2.</w:t>
      </w:r>
    </w:p>
  </w:footnote>
  <w:footnote w:id="15">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C 117 της 11.3.2022, σ. 18.</w:t>
      </w:r>
    </w:p>
  </w:footnote>
  <w:footnote w:id="16">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C 15 της 12.1.2022, σ. 125.</w:t>
      </w:r>
    </w:p>
  </w:footnote>
  <w:footnote w:id="17">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C 494 της 8.12.2021, σ. 26.</w:t>
      </w:r>
    </w:p>
  </w:footnote>
  <w:footnote w:id="18">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C 28 της 27.1.2020, σ. 40.</w:t>
      </w:r>
    </w:p>
  </w:footnote>
  <w:footnote w:id="19">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ΕΕ C 162 της 10.5.2019, σ. 24.</w:t>
      </w:r>
    </w:p>
  </w:footnote>
  <w:footnote w:id="20">
    <w:p w:rsidR="001B78F3" w:rsidRPr="00C31263" w:rsidRDefault="001B78F3" w:rsidP="00BC577F">
      <w:pPr>
        <w:pStyle w:val="FootnoteText"/>
        <w:ind w:left="567" w:hanging="567"/>
        <w:rPr>
          <w:sz w:val="24"/>
          <w:lang w:val="fi-FI"/>
        </w:rPr>
      </w:pPr>
      <w:r w:rsidRPr="00BC577F">
        <w:rPr>
          <w:rStyle w:val="FootnoteReference"/>
          <w:sz w:val="24"/>
          <w:lang w:val="el-GR"/>
        </w:rPr>
        <w:footnoteRef/>
      </w:r>
      <w:r w:rsidR="00BC577F" w:rsidRPr="00C31263">
        <w:rPr>
          <w:sz w:val="24"/>
          <w:lang w:val="fi-FI"/>
        </w:rPr>
        <w:t xml:space="preserve"> </w:t>
      </w:r>
      <w:r w:rsidR="00BC577F" w:rsidRPr="00C31263">
        <w:rPr>
          <w:sz w:val="24"/>
          <w:lang w:val="fi-FI"/>
        </w:rPr>
        <w:tab/>
      </w:r>
      <w:r w:rsidRPr="00BC577F">
        <w:rPr>
          <w:sz w:val="24"/>
          <w:lang w:val="el-GR"/>
        </w:rPr>
        <w:t>ΕΕ</w:t>
      </w:r>
      <w:r w:rsidRPr="00C31263">
        <w:rPr>
          <w:sz w:val="24"/>
          <w:lang w:val="fi-FI"/>
        </w:rPr>
        <w:t xml:space="preserve"> C, C/2024/1041</w:t>
      </w:r>
      <w:r w:rsidR="00484684" w:rsidRPr="00C31263">
        <w:rPr>
          <w:sz w:val="24"/>
          <w:lang w:val="fi-FI"/>
        </w:rPr>
        <w:t>,</w:t>
      </w:r>
      <w:r w:rsidRPr="00C31263">
        <w:rPr>
          <w:sz w:val="24"/>
          <w:lang w:val="fi-FI"/>
        </w:rPr>
        <w:t xml:space="preserve"> 9.2.2024, ELI: </w:t>
      </w:r>
      <w:hyperlink r:id="rId2" w:history="1">
        <w:r w:rsidR="008D561D" w:rsidRPr="0062764D">
          <w:rPr>
            <w:rStyle w:val="Hyperlink"/>
            <w:sz w:val="24"/>
            <w:lang w:val="fi-FI"/>
          </w:rPr>
          <w:t>http</w:t>
        </w:r>
        <w:r w:rsidR="008D561D" w:rsidRPr="00C31263">
          <w:rPr>
            <w:rStyle w:val="Hyperlink"/>
            <w:sz w:val="24"/>
            <w:lang w:val="fi-FI"/>
          </w:rPr>
          <w:t>://</w:t>
        </w:r>
        <w:r w:rsidR="008D561D" w:rsidRPr="0062764D">
          <w:rPr>
            <w:rStyle w:val="Hyperlink"/>
            <w:sz w:val="24"/>
            <w:lang w:val="fi-FI"/>
          </w:rPr>
          <w:t>data</w:t>
        </w:r>
        <w:r w:rsidR="008D561D" w:rsidRPr="00C31263">
          <w:rPr>
            <w:rStyle w:val="Hyperlink"/>
            <w:sz w:val="24"/>
            <w:lang w:val="fi-FI"/>
          </w:rPr>
          <w:t>.</w:t>
        </w:r>
        <w:r w:rsidR="008D561D" w:rsidRPr="0062764D">
          <w:rPr>
            <w:rStyle w:val="Hyperlink"/>
            <w:sz w:val="24"/>
            <w:lang w:val="fi-FI"/>
          </w:rPr>
          <w:t>europa</w:t>
        </w:r>
        <w:r w:rsidR="008D561D" w:rsidRPr="00C31263">
          <w:rPr>
            <w:rStyle w:val="Hyperlink"/>
            <w:sz w:val="24"/>
            <w:lang w:val="fi-FI"/>
          </w:rPr>
          <w:t>.</w:t>
        </w:r>
        <w:r w:rsidR="008D561D" w:rsidRPr="0062764D">
          <w:rPr>
            <w:rStyle w:val="Hyperlink"/>
            <w:sz w:val="24"/>
            <w:lang w:val="fi-FI"/>
          </w:rPr>
          <w:t>eu</w:t>
        </w:r>
        <w:r w:rsidR="008D561D" w:rsidRPr="00C31263">
          <w:rPr>
            <w:rStyle w:val="Hyperlink"/>
            <w:sz w:val="24"/>
            <w:lang w:val="fi-FI"/>
          </w:rPr>
          <w:t>/</w:t>
        </w:r>
        <w:r w:rsidR="008D561D" w:rsidRPr="0062764D">
          <w:rPr>
            <w:rStyle w:val="Hyperlink"/>
            <w:sz w:val="24"/>
            <w:lang w:val="fi-FI"/>
          </w:rPr>
          <w:t>eli</w:t>
        </w:r>
        <w:r w:rsidR="008D561D" w:rsidRPr="00C31263">
          <w:rPr>
            <w:rStyle w:val="Hyperlink"/>
            <w:sz w:val="24"/>
            <w:lang w:val="fi-FI"/>
          </w:rPr>
          <w:t>/</w:t>
        </w:r>
        <w:r w:rsidR="008D561D" w:rsidRPr="0062764D">
          <w:rPr>
            <w:rStyle w:val="Hyperlink"/>
            <w:sz w:val="24"/>
            <w:lang w:val="fi-FI"/>
          </w:rPr>
          <w:t>C</w:t>
        </w:r>
        <w:r w:rsidR="008D561D" w:rsidRPr="00C31263">
          <w:rPr>
            <w:rStyle w:val="Hyperlink"/>
            <w:sz w:val="24"/>
            <w:lang w:val="fi-FI"/>
          </w:rPr>
          <w:t>/2024/1041/</w:t>
        </w:r>
        <w:r w:rsidR="008D561D" w:rsidRPr="0062764D">
          <w:rPr>
            <w:rStyle w:val="Hyperlink"/>
            <w:sz w:val="24"/>
            <w:lang w:val="fi-FI"/>
          </w:rPr>
          <w:t>oj</w:t>
        </w:r>
      </w:hyperlink>
      <w:r w:rsidRPr="00C31263">
        <w:rPr>
          <w:sz w:val="24"/>
          <w:lang w:val="fi-FI"/>
        </w:rPr>
        <w:t>.</w:t>
      </w:r>
      <w:r w:rsidR="008D561D" w:rsidRPr="00C31263">
        <w:rPr>
          <w:sz w:val="24"/>
          <w:lang w:val="fi-FI"/>
        </w:rPr>
        <w:t xml:space="preserve"> </w:t>
      </w:r>
    </w:p>
  </w:footnote>
  <w:footnote w:id="21">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Μελέτη — Έρευνα για την Επιτροπή Περιφερειακής Ανάπτυξης, «EU lagging regions: state of play and future challenges» (Υστερούσες περιφέρειες της ΕΕ: τρέχουσα κατάσταση και μελλοντικές προκλήσεις), Ευρωπαϊκό Κοινοβούλιο, Γενική Διεύθυνση Εσωτερικών Πολιτικών, Θεματικό Τμήμα Διαρθρωτικής Πολιτικής και Πολιτικής Συνοχής, 26 Οκτωβρίου 2020.</w:t>
      </w:r>
    </w:p>
  </w:footnote>
  <w:footnote w:id="22">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Ευρωπαϊκό Ελεγκτικό Συνέδριο, Ειδική έκθεση 02/2023, «</w:t>
      </w:r>
      <w:hyperlink r:id="rId3" w:history="1">
        <w:r w:rsidRPr="00BC577F">
          <w:rPr>
            <w:rStyle w:val="Hyperlink"/>
            <w:sz w:val="24"/>
            <w:lang w:val="el-GR"/>
          </w:rPr>
          <w:t>Προσαρμογή των κανόνων της πολιτικής συνοχής για την αντιμετώπιση της πανδημίας COVID-19</w:t>
        </w:r>
      </w:hyperlink>
      <w:r w:rsidRPr="00BC577F">
        <w:rPr>
          <w:sz w:val="24"/>
          <w:lang w:val="el-GR"/>
        </w:rPr>
        <w:t>», 2 Φεβρουαρίου 2023.</w:t>
      </w:r>
    </w:p>
  </w:footnote>
  <w:footnote w:id="23">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 xml:space="preserve">Ευρωπαϊκό Ελεγκτικό Συνέδριο, </w:t>
      </w:r>
      <w:hyperlink r:id="rId4" w:history="1">
        <w:r w:rsidRPr="00BC577F">
          <w:rPr>
            <w:rStyle w:val="Hyperlink"/>
            <w:sz w:val="24"/>
            <w:lang w:val="el-GR"/>
          </w:rPr>
          <w:t>Ετήσια έκθεση σχετικά με την εκτέλεση του προϋπολογισμού της ΕΕ για το οικονομικό έτος 2022</w:t>
        </w:r>
      </w:hyperlink>
      <w:r w:rsidRPr="00BC577F">
        <w:rPr>
          <w:sz w:val="24"/>
          <w:lang w:val="el-GR"/>
        </w:rPr>
        <w:t>, 5 Οκτωβρίου 2023.</w:t>
      </w:r>
    </w:p>
  </w:footnote>
  <w:footnote w:id="24">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Κατ’ εξουσιοδότηση κανονισμός (ΕΕ) αριθ. 240/2014 της Επιτροπής, της 7ης Ιανουαρίου 2014, σχετικά με τον ευρωπαϊκό κώδικα δεοντολογίας για την εταιρική σχέση στο πλαίσιο των ευρωπαϊκών διαρθρωτικών και επενδυτικών ταμείων (ΕΕ L 74 της 14.3.2014, σ. 1).</w:t>
      </w:r>
    </w:p>
  </w:footnote>
  <w:footnote w:id="25">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 xml:space="preserve">Έγγραφο εργασίας των υπηρεσιών της Επιτροπής, της 30ής Ιανουαρίου 2023, σχετικά με τη σύνθεση των πορισμάτων των αξιολογήσεων των προγραμμάτων των Ευρωπαϊκών Διαρθρωτικών και Επενδυτικών Ταμείων 2014-2020 που συνοδεύει την ετήσια συνοπτική έκθεση για το 2022 </w:t>
      </w:r>
      <w:r w:rsidR="008D561D">
        <w:rPr>
          <w:sz w:val="24"/>
          <w:lang w:val="el-GR"/>
        </w:rPr>
        <w:t>(</w:t>
      </w:r>
      <w:r w:rsidRPr="00BC577F">
        <w:rPr>
          <w:sz w:val="24"/>
          <w:lang w:val="el-GR"/>
        </w:rPr>
        <w:t>SWD(2023)0022</w:t>
      </w:r>
      <w:r w:rsidR="008D561D">
        <w:rPr>
          <w:sz w:val="24"/>
          <w:lang w:val="el-GR"/>
        </w:rPr>
        <w:t>)</w:t>
      </w:r>
      <w:r w:rsidRPr="00BC577F">
        <w:rPr>
          <w:sz w:val="24"/>
          <w:lang w:val="el-GR"/>
        </w:rPr>
        <w:t>.</w:t>
      </w:r>
    </w:p>
  </w:footnote>
  <w:footnote w:id="26">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 xml:space="preserve">Έγγραφο εργασίας των υπηρεσιών της Επιτροπής, της 15ης Ιανουαρίου 2024, σχετικά με τη σύνθεση των πορισμάτων των αξιολογήσεων των προγραμμάτων των Ευρωπαϊκών Διαρθρωτικών και Επενδυτικών Ταμείων 2014-2020 που συνοδεύει την ετήσια συνοπτική έκθεση για το 2023 </w:t>
      </w:r>
      <w:r w:rsidR="008D561D">
        <w:rPr>
          <w:sz w:val="24"/>
          <w:lang w:val="el-GR"/>
        </w:rPr>
        <w:t>(</w:t>
      </w:r>
      <w:r w:rsidRPr="00BC577F">
        <w:rPr>
          <w:sz w:val="24"/>
          <w:lang w:val="el-GR"/>
        </w:rPr>
        <w:t>SWD(2024)0002</w:t>
      </w:r>
      <w:r w:rsidR="008D561D">
        <w:rPr>
          <w:sz w:val="24"/>
          <w:lang w:val="el-GR"/>
        </w:rPr>
        <w:t>)</w:t>
      </w:r>
      <w:r w:rsidRPr="00BC577F">
        <w:rPr>
          <w:sz w:val="24"/>
          <w:lang w:val="el-GR"/>
        </w:rPr>
        <w:t>.</w:t>
      </w:r>
    </w:p>
  </w:footnote>
  <w:footnote w:id="27">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C31263">
        <w:rPr>
          <w:rStyle w:val="FootnoteReference"/>
          <w:sz w:val="24"/>
          <w:vertAlign w:val="baseline"/>
          <w:lang w:val="el-GR"/>
        </w:rPr>
        <w:t xml:space="preserve">Έκθεση της Επιτροπής, της 15ης Ιανουαρίου 2024, με τίτλο </w:t>
      </w:r>
      <w:r w:rsidRPr="008D561D">
        <w:rPr>
          <w:sz w:val="24"/>
          <w:lang w:val="el-GR"/>
        </w:rPr>
        <w:t>«</w:t>
      </w:r>
      <w:r w:rsidRPr="00BC577F">
        <w:rPr>
          <w:sz w:val="24"/>
          <w:lang w:val="el-GR"/>
        </w:rPr>
        <w:t>Ευρωπαϊκά Διαρθρωτικά και Επενδυτικά Ταμεία – Συνοπτική έκθεση του 2023 σχετικά με τις ετήσιες εκθέσεις υλοποίησης των προγραμμάτων που καλύπτουν την περίοδο υλοποίησης 2014-2020» (COM(2024)0006).</w:t>
      </w:r>
    </w:p>
  </w:footnote>
  <w:footnote w:id="28">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rStyle w:val="FootnoteReference"/>
          <w:sz w:val="24"/>
          <w:vertAlign w:val="baseline"/>
          <w:lang w:val="el-GR"/>
        </w:rPr>
        <w:t>Ευρωπαϊκή</w:t>
      </w:r>
      <w:r w:rsidRPr="00C31263">
        <w:rPr>
          <w:rStyle w:val="FootnoteReference"/>
          <w:sz w:val="24"/>
          <w:vertAlign w:val="baseline"/>
          <w:lang w:val="en-GB"/>
        </w:rPr>
        <w:t xml:space="preserve"> </w:t>
      </w:r>
      <w:r w:rsidRPr="00C31263">
        <w:rPr>
          <w:rStyle w:val="FootnoteReference"/>
          <w:sz w:val="24"/>
          <w:vertAlign w:val="baseline"/>
          <w:lang w:val="el-GR"/>
        </w:rPr>
        <w:t>Επιτροπή</w:t>
      </w:r>
      <w:r w:rsidRPr="00C31263">
        <w:rPr>
          <w:rStyle w:val="FootnoteReference"/>
          <w:sz w:val="24"/>
          <w:vertAlign w:val="baseline"/>
          <w:lang w:val="en-GB"/>
        </w:rPr>
        <w:t xml:space="preserve">, </w:t>
      </w:r>
      <w:r w:rsidRPr="00C31263">
        <w:rPr>
          <w:sz w:val="24"/>
          <w:lang w:val="en-GB"/>
        </w:rPr>
        <w:t>«</w:t>
      </w:r>
      <w:hyperlink r:id="rId5" w:history="1">
        <w:r w:rsidRPr="00C31263">
          <w:rPr>
            <w:rStyle w:val="Hyperlink"/>
            <w:sz w:val="24"/>
            <w:lang w:val="en-GB"/>
          </w:rPr>
          <w:t>Key achievements of Regional Policy 2014-2020</w:t>
        </w:r>
      </w:hyperlink>
      <w:r w:rsidRPr="00C31263">
        <w:rPr>
          <w:sz w:val="24"/>
          <w:lang w:val="en-GB"/>
        </w:rPr>
        <w:t xml:space="preserve">», </w:t>
      </w:r>
      <w:r w:rsidRPr="00BC577F">
        <w:rPr>
          <w:sz w:val="24"/>
          <w:lang w:val="el-GR"/>
        </w:rPr>
        <w:t>στοιχεία</w:t>
      </w:r>
      <w:r w:rsidRPr="00C31263">
        <w:rPr>
          <w:sz w:val="24"/>
          <w:lang w:val="en-GB"/>
        </w:rPr>
        <w:t xml:space="preserve"> 20</w:t>
      </w:r>
      <w:r w:rsidRPr="00BC577F">
        <w:rPr>
          <w:sz w:val="24"/>
          <w:lang w:val="el-GR"/>
        </w:rPr>
        <w:t>ής</w:t>
      </w:r>
      <w:r w:rsidRPr="00C31263">
        <w:rPr>
          <w:sz w:val="24"/>
          <w:lang w:val="en-GB"/>
        </w:rPr>
        <w:t> </w:t>
      </w:r>
      <w:r w:rsidRPr="00BC577F">
        <w:rPr>
          <w:sz w:val="24"/>
          <w:lang w:val="el-GR"/>
        </w:rPr>
        <w:t>Φεβρουαρίου</w:t>
      </w:r>
      <w:r w:rsidRPr="00C31263">
        <w:rPr>
          <w:sz w:val="24"/>
          <w:lang w:val="en-GB"/>
        </w:rPr>
        <w:t> 2024.</w:t>
      </w:r>
    </w:p>
  </w:footnote>
  <w:footnote w:id="29">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Ομοίως.</w:t>
      </w:r>
    </w:p>
  </w:footnote>
  <w:footnote w:id="30">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Ομοίως.</w:t>
      </w:r>
    </w:p>
  </w:footnote>
  <w:footnote w:id="31">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SWD(2023)0022.</w:t>
      </w:r>
    </w:p>
  </w:footnote>
  <w:footnote w:id="32">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Ομοίως.</w:t>
      </w:r>
    </w:p>
  </w:footnote>
  <w:footnote w:id="33">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C31263">
        <w:rPr>
          <w:rStyle w:val="FootnoteReference"/>
          <w:sz w:val="24"/>
          <w:vertAlign w:val="baseline"/>
          <w:lang w:val="el-GR"/>
        </w:rPr>
        <w:t>Μελέτη</w:t>
      </w:r>
      <w:r w:rsidRPr="00BC577F">
        <w:rPr>
          <w:rStyle w:val="FootnoteReference"/>
          <w:sz w:val="24"/>
          <w:lang w:val="el-GR"/>
        </w:rPr>
        <w:t xml:space="preserve"> – </w:t>
      </w:r>
      <w:r w:rsidRPr="00BC577F">
        <w:rPr>
          <w:sz w:val="24"/>
          <w:lang w:val="el-GR"/>
        </w:rPr>
        <w:t>Έρευνα για την Επιτροπή Περιφερειακής Ανάπτυξης,</w:t>
      </w:r>
      <w:r w:rsidRPr="00BC577F">
        <w:rPr>
          <w:rStyle w:val="FootnoteReference"/>
          <w:sz w:val="24"/>
          <w:lang w:val="el-GR"/>
        </w:rPr>
        <w:t xml:space="preserve"> «</w:t>
      </w:r>
      <w:hyperlink r:id="rId6" w:history="1">
        <w:r w:rsidRPr="00BC577F">
          <w:rPr>
            <w:rStyle w:val="Hyperlink"/>
            <w:sz w:val="24"/>
            <w:lang w:val="el-GR"/>
          </w:rPr>
          <w:t>Cohesion policy in EU coal regions» (Πολιτική συνοχής στις περιφέρειες εξόρυξης άνθρακα της ΕΕ)</w:t>
        </w:r>
      </w:hyperlink>
      <w:r w:rsidRPr="00BC577F">
        <w:rPr>
          <w:sz w:val="24"/>
          <w:lang w:val="el-GR"/>
        </w:rPr>
        <w:t>», Ευρωπαϊκό Κοινοβούλιο, Γενική Διεύθυνση Εσωτερικών Πολιτικών, Θεματικό Τμήμα Διαρθρωτικής Πολιτικής και Πολιτικής Συνοχής, 14 Φεβρουαρίου 2023.</w:t>
      </w:r>
    </w:p>
  </w:footnote>
  <w:footnote w:id="34">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rStyle w:val="FootnoteReference"/>
          <w:sz w:val="24"/>
          <w:vertAlign w:val="baseline"/>
          <w:lang w:val="el-GR"/>
        </w:rPr>
        <w:t>Ευρωπαϊκή</w:t>
      </w:r>
      <w:r w:rsidRPr="00C31263">
        <w:rPr>
          <w:rStyle w:val="FootnoteReference"/>
          <w:sz w:val="24"/>
          <w:vertAlign w:val="baseline"/>
          <w:lang w:val="en-GB"/>
        </w:rPr>
        <w:t xml:space="preserve"> </w:t>
      </w:r>
      <w:r w:rsidRPr="00C31263">
        <w:rPr>
          <w:rStyle w:val="FootnoteReference"/>
          <w:sz w:val="24"/>
          <w:vertAlign w:val="baseline"/>
          <w:lang w:val="el-GR"/>
        </w:rPr>
        <w:t>Επιτροπή</w:t>
      </w:r>
      <w:r w:rsidRPr="00C31263">
        <w:rPr>
          <w:rStyle w:val="FootnoteReference"/>
          <w:sz w:val="24"/>
          <w:vertAlign w:val="baseline"/>
          <w:lang w:val="en-GB"/>
        </w:rPr>
        <w:t xml:space="preserve">, </w:t>
      </w:r>
      <w:r w:rsidRPr="00C31263">
        <w:rPr>
          <w:sz w:val="24"/>
          <w:lang w:val="en-GB"/>
        </w:rPr>
        <w:t>«</w:t>
      </w:r>
      <w:hyperlink r:id="rId7" w:history="1">
        <w:r w:rsidRPr="00C31263">
          <w:rPr>
            <w:rStyle w:val="Hyperlink"/>
            <w:sz w:val="24"/>
            <w:lang w:val="en-GB"/>
          </w:rPr>
          <w:t>Key achievements of Regional Policy 2014-2020</w:t>
        </w:r>
      </w:hyperlink>
      <w:r w:rsidRPr="00C31263">
        <w:rPr>
          <w:sz w:val="24"/>
          <w:lang w:val="en-GB"/>
        </w:rPr>
        <w:t xml:space="preserve">», </w:t>
      </w:r>
      <w:r w:rsidRPr="00BC577F">
        <w:rPr>
          <w:sz w:val="24"/>
          <w:lang w:val="el-GR"/>
        </w:rPr>
        <w:t>στοιχεία</w:t>
      </w:r>
      <w:r w:rsidRPr="00C31263">
        <w:rPr>
          <w:sz w:val="24"/>
          <w:lang w:val="en-GB"/>
        </w:rPr>
        <w:t xml:space="preserve"> 20</w:t>
      </w:r>
      <w:r w:rsidRPr="00BC577F">
        <w:rPr>
          <w:sz w:val="24"/>
          <w:lang w:val="el-GR"/>
        </w:rPr>
        <w:t>ής</w:t>
      </w:r>
      <w:r w:rsidRPr="00C31263">
        <w:rPr>
          <w:sz w:val="24"/>
          <w:lang w:val="en-GB"/>
        </w:rPr>
        <w:t> </w:t>
      </w:r>
      <w:r w:rsidRPr="00BC577F">
        <w:rPr>
          <w:sz w:val="24"/>
          <w:lang w:val="el-GR"/>
        </w:rPr>
        <w:t>Φεβρουαρίου</w:t>
      </w:r>
      <w:r w:rsidRPr="00C31263">
        <w:rPr>
          <w:sz w:val="24"/>
          <w:lang w:val="en-GB"/>
        </w:rPr>
        <w:t> 2024.</w:t>
      </w:r>
    </w:p>
  </w:footnote>
  <w:footnote w:id="35">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SWD(2023)0022.</w:t>
      </w:r>
    </w:p>
  </w:footnote>
  <w:footnote w:id="36">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 xml:space="preserve">SWD(2023)0022, </w:t>
      </w:r>
      <w:r w:rsidRPr="00BC577F">
        <w:rPr>
          <w:sz w:val="24"/>
          <w:lang w:val="el-GR"/>
        </w:rPr>
        <w:t>σ</w:t>
      </w:r>
      <w:r w:rsidRPr="00C31263">
        <w:rPr>
          <w:sz w:val="24"/>
          <w:lang w:val="en-GB"/>
        </w:rPr>
        <w:t>. 13.</w:t>
      </w:r>
    </w:p>
  </w:footnote>
  <w:footnote w:id="37">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rStyle w:val="FootnoteReference"/>
          <w:sz w:val="24"/>
          <w:vertAlign w:val="baseline"/>
          <w:lang w:val="el-GR"/>
        </w:rPr>
        <w:t>Ε</w:t>
      </w:r>
      <w:r w:rsidRPr="00BC577F">
        <w:rPr>
          <w:sz w:val="24"/>
          <w:lang w:val="el-GR"/>
        </w:rPr>
        <w:t>υρωπαϊκή</w:t>
      </w:r>
      <w:r w:rsidRPr="00C31263">
        <w:rPr>
          <w:sz w:val="24"/>
          <w:lang w:val="en-GB"/>
        </w:rPr>
        <w:t xml:space="preserve"> </w:t>
      </w:r>
      <w:r w:rsidRPr="00BC577F">
        <w:rPr>
          <w:sz w:val="24"/>
          <w:lang w:val="el-GR"/>
        </w:rPr>
        <w:t>Επιτροπή</w:t>
      </w:r>
      <w:r w:rsidRPr="00C31263">
        <w:rPr>
          <w:sz w:val="24"/>
          <w:lang w:val="en-GB"/>
        </w:rPr>
        <w:t>, «</w:t>
      </w:r>
      <w:hyperlink r:id="rId8" w:history="1">
        <w:r w:rsidRPr="00C31263">
          <w:rPr>
            <w:rStyle w:val="Hyperlink"/>
            <w:sz w:val="24"/>
            <w:lang w:val="en-GB"/>
          </w:rPr>
          <w:t>Cohesion Open Data Platform – Theme: Climate Change Adaptation &amp; Risk Prevention – Funding Period: 2014-2020</w:t>
        </w:r>
      </w:hyperlink>
      <w:r w:rsidRPr="00C31263">
        <w:rPr>
          <w:sz w:val="24"/>
          <w:lang w:val="en-GB"/>
        </w:rPr>
        <w:t>» (</w:t>
      </w:r>
      <w:r w:rsidRPr="00BC577F">
        <w:rPr>
          <w:sz w:val="24"/>
          <w:lang w:val="el-GR"/>
        </w:rPr>
        <w:t>Πλατφόρμα</w:t>
      </w:r>
      <w:r w:rsidRPr="00C31263">
        <w:rPr>
          <w:sz w:val="24"/>
          <w:lang w:val="en-GB"/>
        </w:rPr>
        <w:t xml:space="preserve"> </w:t>
      </w:r>
      <w:r w:rsidRPr="00BC577F">
        <w:rPr>
          <w:sz w:val="24"/>
          <w:lang w:val="el-GR"/>
        </w:rPr>
        <w:t>ανοικτών</w:t>
      </w:r>
      <w:r w:rsidRPr="00C31263">
        <w:rPr>
          <w:sz w:val="24"/>
          <w:lang w:val="en-GB"/>
        </w:rPr>
        <w:t xml:space="preserve"> </w:t>
      </w:r>
      <w:r w:rsidRPr="00BC577F">
        <w:rPr>
          <w:sz w:val="24"/>
          <w:lang w:val="el-GR"/>
        </w:rPr>
        <w:t>δεδομένων</w:t>
      </w:r>
      <w:r w:rsidRPr="00C31263">
        <w:rPr>
          <w:sz w:val="24"/>
          <w:lang w:val="en-GB"/>
        </w:rPr>
        <w:t xml:space="preserve"> </w:t>
      </w:r>
      <w:r w:rsidRPr="00BC577F">
        <w:rPr>
          <w:sz w:val="24"/>
          <w:lang w:val="el-GR"/>
        </w:rPr>
        <w:t>για</w:t>
      </w:r>
      <w:r w:rsidRPr="00C31263">
        <w:rPr>
          <w:sz w:val="24"/>
          <w:lang w:val="en-GB"/>
        </w:rPr>
        <w:t xml:space="preserve"> </w:t>
      </w:r>
      <w:r w:rsidRPr="00BC577F">
        <w:rPr>
          <w:sz w:val="24"/>
          <w:lang w:val="el-GR"/>
        </w:rPr>
        <w:t>τη</w:t>
      </w:r>
      <w:r w:rsidRPr="00C31263">
        <w:rPr>
          <w:sz w:val="24"/>
          <w:lang w:val="en-GB"/>
        </w:rPr>
        <w:t xml:space="preserve"> </w:t>
      </w:r>
      <w:r w:rsidRPr="00BC577F">
        <w:rPr>
          <w:sz w:val="24"/>
          <w:lang w:val="el-GR"/>
        </w:rPr>
        <w:t>συνοχή</w:t>
      </w:r>
      <w:r w:rsidRPr="00C31263">
        <w:rPr>
          <w:sz w:val="24"/>
          <w:lang w:val="en-GB"/>
        </w:rPr>
        <w:t> – </w:t>
      </w:r>
      <w:r w:rsidRPr="00BC577F">
        <w:rPr>
          <w:sz w:val="24"/>
          <w:lang w:val="el-GR"/>
        </w:rPr>
        <w:t>Θέμα</w:t>
      </w:r>
      <w:r w:rsidRPr="00C31263">
        <w:rPr>
          <w:sz w:val="24"/>
          <w:lang w:val="en-GB"/>
        </w:rPr>
        <w:t xml:space="preserve">: </w:t>
      </w:r>
      <w:r w:rsidRPr="00BC577F">
        <w:rPr>
          <w:sz w:val="24"/>
          <w:lang w:val="el-GR"/>
        </w:rPr>
        <w:t>Προστασία</w:t>
      </w:r>
      <w:r w:rsidRPr="00C31263">
        <w:rPr>
          <w:sz w:val="24"/>
          <w:lang w:val="en-GB"/>
        </w:rPr>
        <w:t xml:space="preserve"> </w:t>
      </w:r>
      <w:r w:rsidRPr="00BC577F">
        <w:rPr>
          <w:sz w:val="24"/>
          <w:lang w:val="el-GR"/>
        </w:rPr>
        <w:t>του</w:t>
      </w:r>
      <w:r w:rsidRPr="00C31263">
        <w:rPr>
          <w:sz w:val="24"/>
          <w:lang w:val="en-GB"/>
        </w:rPr>
        <w:t xml:space="preserve"> </w:t>
      </w:r>
      <w:r w:rsidRPr="00BC577F">
        <w:rPr>
          <w:sz w:val="24"/>
          <w:lang w:val="el-GR"/>
        </w:rPr>
        <w:t>περιβάλλοντος</w:t>
      </w:r>
      <w:r w:rsidRPr="00C31263">
        <w:rPr>
          <w:sz w:val="24"/>
          <w:lang w:val="en-GB"/>
        </w:rPr>
        <w:t xml:space="preserve"> </w:t>
      </w:r>
      <w:r w:rsidRPr="00BC577F">
        <w:rPr>
          <w:sz w:val="24"/>
          <w:lang w:val="el-GR"/>
        </w:rPr>
        <w:t>και</w:t>
      </w:r>
      <w:r w:rsidRPr="00C31263">
        <w:rPr>
          <w:sz w:val="24"/>
          <w:lang w:val="en-GB"/>
        </w:rPr>
        <w:t xml:space="preserve"> </w:t>
      </w:r>
      <w:r w:rsidRPr="00BC577F">
        <w:rPr>
          <w:sz w:val="24"/>
          <w:lang w:val="el-GR"/>
        </w:rPr>
        <w:t>αποδοτική</w:t>
      </w:r>
      <w:r w:rsidRPr="00C31263">
        <w:rPr>
          <w:sz w:val="24"/>
          <w:lang w:val="en-GB"/>
        </w:rPr>
        <w:t xml:space="preserve"> </w:t>
      </w:r>
      <w:r w:rsidRPr="00BC577F">
        <w:rPr>
          <w:sz w:val="24"/>
          <w:lang w:val="el-GR"/>
        </w:rPr>
        <w:t>χρήση</w:t>
      </w:r>
      <w:r w:rsidRPr="00C31263">
        <w:rPr>
          <w:sz w:val="24"/>
          <w:lang w:val="en-GB"/>
        </w:rPr>
        <w:t xml:space="preserve"> </w:t>
      </w:r>
      <w:r w:rsidRPr="00BC577F">
        <w:rPr>
          <w:sz w:val="24"/>
          <w:lang w:val="el-GR"/>
        </w:rPr>
        <w:t>των</w:t>
      </w:r>
      <w:r w:rsidRPr="00C31263">
        <w:rPr>
          <w:sz w:val="24"/>
          <w:lang w:val="en-GB"/>
        </w:rPr>
        <w:t xml:space="preserve"> </w:t>
      </w:r>
      <w:r w:rsidRPr="00BC577F">
        <w:rPr>
          <w:sz w:val="24"/>
          <w:lang w:val="el-GR"/>
        </w:rPr>
        <w:t>πόρων</w:t>
      </w:r>
      <w:r w:rsidRPr="00C31263">
        <w:rPr>
          <w:sz w:val="24"/>
          <w:lang w:val="en-GB"/>
        </w:rPr>
        <w:t xml:space="preserve"> - </w:t>
      </w:r>
      <w:r w:rsidRPr="00BC577F">
        <w:rPr>
          <w:sz w:val="24"/>
          <w:lang w:val="el-GR"/>
        </w:rPr>
        <w:t>Περίοδος</w:t>
      </w:r>
      <w:r w:rsidRPr="00C31263">
        <w:rPr>
          <w:sz w:val="24"/>
          <w:lang w:val="en-GB"/>
        </w:rPr>
        <w:t xml:space="preserve"> </w:t>
      </w:r>
      <w:r w:rsidRPr="00BC577F">
        <w:rPr>
          <w:sz w:val="24"/>
          <w:lang w:val="el-GR"/>
        </w:rPr>
        <w:t>χρηματοδότησης</w:t>
      </w:r>
      <w:r w:rsidRPr="00C31263">
        <w:rPr>
          <w:sz w:val="24"/>
          <w:lang w:val="en-GB"/>
        </w:rPr>
        <w:t xml:space="preserve">: 2014-2020), </w:t>
      </w:r>
      <w:r w:rsidRPr="00BC577F">
        <w:rPr>
          <w:sz w:val="24"/>
          <w:lang w:val="el-GR"/>
        </w:rPr>
        <w:t>στοιχεία</w:t>
      </w:r>
      <w:r w:rsidRPr="00C31263">
        <w:rPr>
          <w:sz w:val="24"/>
          <w:lang w:val="en-GB"/>
        </w:rPr>
        <w:t xml:space="preserve"> 20</w:t>
      </w:r>
      <w:r w:rsidRPr="00BC577F">
        <w:rPr>
          <w:sz w:val="24"/>
          <w:lang w:val="el-GR"/>
        </w:rPr>
        <w:t>ής</w:t>
      </w:r>
      <w:r w:rsidRPr="00C31263">
        <w:rPr>
          <w:sz w:val="24"/>
          <w:lang w:val="en-GB"/>
        </w:rPr>
        <w:t xml:space="preserve"> </w:t>
      </w:r>
      <w:r w:rsidRPr="00BC577F">
        <w:rPr>
          <w:sz w:val="24"/>
          <w:lang w:val="el-GR"/>
        </w:rPr>
        <w:t>Φεβρουαρίου</w:t>
      </w:r>
      <w:r w:rsidRPr="00C31263">
        <w:rPr>
          <w:sz w:val="24"/>
          <w:lang w:val="en-GB"/>
        </w:rPr>
        <w:t> 2024.</w:t>
      </w:r>
    </w:p>
  </w:footnote>
  <w:footnote w:id="38">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BC577F">
        <w:rPr>
          <w:sz w:val="24"/>
          <w:lang w:val="el-GR"/>
        </w:rPr>
        <w:t>Ευρωπαϊκή</w:t>
      </w:r>
      <w:r w:rsidRPr="00C31263">
        <w:rPr>
          <w:sz w:val="24"/>
          <w:lang w:val="en-GB"/>
        </w:rPr>
        <w:t xml:space="preserve"> </w:t>
      </w:r>
      <w:r w:rsidRPr="00BC577F">
        <w:rPr>
          <w:sz w:val="24"/>
          <w:lang w:val="el-GR"/>
        </w:rPr>
        <w:t>Επιτροπή</w:t>
      </w:r>
      <w:r w:rsidRPr="00C31263">
        <w:rPr>
          <w:sz w:val="24"/>
          <w:lang w:val="en-GB"/>
        </w:rPr>
        <w:t>, «</w:t>
      </w:r>
      <w:hyperlink r:id="rId9" w:history="1">
        <w:r w:rsidRPr="00C31263">
          <w:rPr>
            <w:rStyle w:val="Hyperlink"/>
            <w:sz w:val="24"/>
            <w:lang w:val="en-GB"/>
          </w:rPr>
          <w:t>Cohesion Open Data Platform – Theme: Environment Protection &amp; Resource Efficiency – Funding Period: 2014-2020</w:t>
        </w:r>
      </w:hyperlink>
      <w:r w:rsidRPr="00C31263">
        <w:rPr>
          <w:sz w:val="24"/>
          <w:lang w:val="en-GB"/>
        </w:rPr>
        <w:t>», (</w:t>
      </w:r>
      <w:r w:rsidRPr="00BC577F">
        <w:rPr>
          <w:sz w:val="24"/>
          <w:lang w:val="el-GR"/>
        </w:rPr>
        <w:t>Πλατφόρμα</w:t>
      </w:r>
      <w:r w:rsidRPr="00C31263">
        <w:rPr>
          <w:sz w:val="24"/>
          <w:lang w:val="en-GB"/>
        </w:rPr>
        <w:t xml:space="preserve"> </w:t>
      </w:r>
      <w:r w:rsidRPr="00BC577F">
        <w:rPr>
          <w:sz w:val="24"/>
          <w:lang w:val="el-GR"/>
        </w:rPr>
        <w:t>ανοικτών</w:t>
      </w:r>
      <w:r w:rsidRPr="00C31263">
        <w:rPr>
          <w:sz w:val="24"/>
          <w:lang w:val="en-GB"/>
        </w:rPr>
        <w:t xml:space="preserve"> </w:t>
      </w:r>
      <w:r w:rsidRPr="00BC577F">
        <w:rPr>
          <w:sz w:val="24"/>
          <w:lang w:val="el-GR"/>
        </w:rPr>
        <w:t>δεδομένων</w:t>
      </w:r>
      <w:r w:rsidRPr="00C31263">
        <w:rPr>
          <w:sz w:val="24"/>
          <w:lang w:val="en-GB"/>
        </w:rPr>
        <w:t xml:space="preserve"> </w:t>
      </w:r>
      <w:r w:rsidRPr="00BC577F">
        <w:rPr>
          <w:sz w:val="24"/>
          <w:lang w:val="el-GR"/>
        </w:rPr>
        <w:t>για</w:t>
      </w:r>
      <w:r w:rsidRPr="00C31263">
        <w:rPr>
          <w:sz w:val="24"/>
          <w:lang w:val="en-GB"/>
        </w:rPr>
        <w:t xml:space="preserve"> </w:t>
      </w:r>
      <w:r w:rsidRPr="00BC577F">
        <w:rPr>
          <w:sz w:val="24"/>
          <w:lang w:val="el-GR"/>
        </w:rPr>
        <w:t>τη</w:t>
      </w:r>
      <w:r w:rsidRPr="00C31263">
        <w:rPr>
          <w:sz w:val="24"/>
          <w:lang w:val="en-GB"/>
        </w:rPr>
        <w:t xml:space="preserve"> </w:t>
      </w:r>
      <w:r w:rsidRPr="00BC577F">
        <w:rPr>
          <w:sz w:val="24"/>
          <w:lang w:val="el-GR"/>
        </w:rPr>
        <w:t>συνοχή</w:t>
      </w:r>
      <w:r w:rsidRPr="00C31263">
        <w:rPr>
          <w:sz w:val="24"/>
          <w:lang w:val="en-GB"/>
        </w:rPr>
        <w:t> – </w:t>
      </w:r>
      <w:r w:rsidRPr="00BC577F">
        <w:rPr>
          <w:sz w:val="24"/>
          <w:lang w:val="el-GR"/>
        </w:rPr>
        <w:t>Θέμα</w:t>
      </w:r>
      <w:r w:rsidRPr="00C31263">
        <w:rPr>
          <w:sz w:val="24"/>
          <w:lang w:val="en-GB"/>
        </w:rPr>
        <w:t xml:space="preserve">: </w:t>
      </w:r>
      <w:r w:rsidRPr="00BC577F">
        <w:rPr>
          <w:sz w:val="24"/>
          <w:lang w:val="el-GR"/>
        </w:rPr>
        <w:t>Προστασία</w:t>
      </w:r>
      <w:r w:rsidRPr="00C31263">
        <w:rPr>
          <w:sz w:val="24"/>
          <w:lang w:val="en-GB"/>
        </w:rPr>
        <w:t xml:space="preserve"> </w:t>
      </w:r>
      <w:r w:rsidRPr="00BC577F">
        <w:rPr>
          <w:sz w:val="24"/>
          <w:lang w:val="el-GR"/>
        </w:rPr>
        <w:t>του</w:t>
      </w:r>
      <w:r w:rsidRPr="00C31263">
        <w:rPr>
          <w:sz w:val="24"/>
          <w:lang w:val="en-GB"/>
        </w:rPr>
        <w:t xml:space="preserve"> </w:t>
      </w:r>
      <w:r w:rsidRPr="00BC577F">
        <w:rPr>
          <w:sz w:val="24"/>
          <w:lang w:val="el-GR"/>
        </w:rPr>
        <w:t>περιβάλλοντος</w:t>
      </w:r>
      <w:r w:rsidRPr="00C31263">
        <w:rPr>
          <w:sz w:val="24"/>
          <w:lang w:val="en-GB"/>
        </w:rPr>
        <w:t xml:space="preserve"> </w:t>
      </w:r>
      <w:r w:rsidRPr="00BC577F">
        <w:rPr>
          <w:sz w:val="24"/>
          <w:lang w:val="el-GR"/>
        </w:rPr>
        <w:t>και</w:t>
      </w:r>
      <w:r w:rsidRPr="00C31263">
        <w:rPr>
          <w:sz w:val="24"/>
          <w:lang w:val="en-GB"/>
        </w:rPr>
        <w:t xml:space="preserve"> </w:t>
      </w:r>
      <w:r w:rsidRPr="00BC577F">
        <w:rPr>
          <w:sz w:val="24"/>
          <w:lang w:val="el-GR"/>
        </w:rPr>
        <w:t>αποδοτική</w:t>
      </w:r>
      <w:r w:rsidRPr="00C31263">
        <w:rPr>
          <w:sz w:val="24"/>
          <w:lang w:val="en-GB"/>
        </w:rPr>
        <w:t xml:space="preserve"> </w:t>
      </w:r>
      <w:r w:rsidRPr="00BC577F">
        <w:rPr>
          <w:sz w:val="24"/>
          <w:lang w:val="el-GR"/>
        </w:rPr>
        <w:t>χρήση</w:t>
      </w:r>
      <w:r w:rsidRPr="00C31263">
        <w:rPr>
          <w:sz w:val="24"/>
          <w:lang w:val="en-GB"/>
        </w:rPr>
        <w:t xml:space="preserve"> </w:t>
      </w:r>
      <w:r w:rsidRPr="00BC577F">
        <w:rPr>
          <w:sz w:val="24"/>
          <w:lang w:val="el-GR"/>
        </w:rPr>
        <w:t>των</w:t>
      </w:r>
      <w:r w:rsidRPr="00C31263">
        <w:rPr>
          <w:sz w:val="24"/>
          <w:lang w:val="en-GB"/>
        </w:rPr>
        <w:t xml:space="preserve"> </w:t>
      </w:r>
      <w:r w:rsidRPr="00BC577F">
        <w:rPr>
          <w:sz w:val="24"/>
          <w:lang w:val="el-GR"/>
        </w:rPr>
        <w:t>πόρων</w:t>
      </w:r>
      <w:r w:rsidRPr="00C31263">
        <w:rPr>
          <w:sz w:val="24"/>
          <w:lang w:val="en-GB"/>
        </w:rPr>
        <w:t xml:space="preserve"> - </w:t>
      </w:r>
      <w:r w:rsidRPr="00BC577F">
        <w:rPr>
          <w:sz w:val="24"/>
          <w:lang w:val="el-GR"/>
        </w:rPr>
        <w:t>Περίοδος</w:t>
      </w:r>
      <w:r w:rsidRPr="00C31263">
        <w:rPr>
          <w:sz w:val="24"/>
          <w:lang w:val="en-GB"/>
        </w:rPr>
        <w:t xml:space="preserve"> </w:t>
      </w:r>
      <w:r w:rsidRPr="00BC577F">
        <w:rPr>
          <w:sz w:val="24"/>
          <w:lang w:val="el-GR"/>
        </w:rPr>
        <w:t>χρηματοδότησης</w:t>
      </w:r>
      <w:r w:rsidRPr="00C31263">
        <w:rPr>
          <w:sz w:val="24"/>
          <w:lang w:val="en-GB"/>
        </w:rPr>
        <w:t xml:space="preserve">: 2014-2020), </w:t>
      </w:r>
      <w:r w:rsidRPr="00BC577F">
        <w:rPr>
          <w:sz w:val="24"/>
          <w:lang w:val="el-GR"/>
        </w:rPr>
        <w:t>στοιχεία</w:t>
      </w:r>
      <w:r w:rsidRPr="00C31263">
        <w:rPr>
          <w:sz w:val="24"/>
          <w:lang w:val="en-GB"/>
        </w:rPr>
        <w:t xml:space="preserve"> 20</w:t>
      </w:r>
      <w:r w:rsidRPr="00BC577F">
        <w:rPr>
          <w:sz w:val="24"/>
          <w:lang w:val="el-GR"/>
        </w:rPr>
        <w:t>ής</w:t>
      </w:r>
      <w:r w:rsidRPr="00C31263">
        <w:rPr>
          <w:sz w:val="24"/>
          <w:lang w:val="en-GB"/>
        </w:rPr>
        <w:t xml:space="preserve"> </w:t>
      </w:r>
      <w:r w:rsidRPr="00BC577F">
        <w:rPr>
          <w:sz w:val="24"/>
          <w:lang w:val="el-GR"/>
        </w:rPr>
        <w:t>Φεβρουαρίου</w:t>
      </w:r>
      <w:r w:rsidRPr="00C31263">
        <w:rPr>
          <w:sz w:val="24"/>
          <w:lang w:val="en-GB"/>
        </w:rPr>
        <w:t> 2024.</w:t>
      </w:r>
    </w:p>
  </w:footnote>
  <w:footnote w:id="39">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 xml:space="preserve">SWD(2023)0022, </w:t>
      </w:r>
      <w:r w:rsidRPr="00BC577F">
        <w:rPr>
          <w:sz w:val="24"/>
          <w:lang w:val="el-GR"/>
        </w:rPr>
        <w:t>σ</w:t>
      </w:r>
      <w:r w:rsidRPr="00C31263">
        <w:rPr>
          <w:sz w:val="24"/>
          <w:lang w:val="en-GB"/>
        </w:rPr>
        <w:t>. 14.</w:t>
      </w:r>
    </w:p>
  </w:footnote>
  <w:footnote w:id="40">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BC577F">
        <w:rPr>
          <w:sz w:val="24"/>
          <w:lang w:val="el-GR"/>
        </w:rPr>
        <w:t>Ομοίως</w:t>
      </w:r>
      <w:r w:rsidRPr="00C31263">
        <w:rPr>
          <w:sz w:val="24"/>
          <w:lang w:val="en-GB"/>
        </w:rPr>
        <w:t>.</w:t>
      </w:r>
    </w:p>
  </w:footnote>
  <w:footnote w:id="41">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 xml:space="preserve">SWD(2024)0002, </w:t>
      </w:r>
      <w:r w:rsidRPr="00BC577F">
        <w:rPr>
          <w:sz w:val="24"/>
          <w:lang w:val="el-GR"/>
        </w:rPr>
        <w:t>σ</w:t>
      </w:r>
      <w:r w:rsidRPr="00C31263">
        <w:rPr>
          <w:sz w:val="24"/>
          <w:lang w:val="en-GB"/>
        </w:rPr>
        <w:t>. 9.</w:t>
      </w:r>
    </w:p>
  </w:footnote>
  <w:footnote w:id="42">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SWD(2023)0022, σ. 14.</w:t>
      </w:r>
    </w:p>
  </w:footnote>
  <w:footnote w:id="43">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C31263">
        <w:rPr>
          <w:rStyle w:val="FootnoteReference"/>
          <w:sz w:val="24"/>
          <w:vertAlign w:val="baseline"/>
          <w:lang w:val="el-GR"/>
        </w:rPr>
        <w:t>Ευρωπαϊκή Επιτροπή, «</w:t>
      </w:r>
      <w:hyperlink r:id="rId10" w:history="1">
        <w:r w:rsidRPr="00BC577F">
          <w:rPr>
            <w:rStyle w:val="Hyperlink"/>
            <w:sz w:val="24"/>
            <w:lang w:val="el-GR"/>
          </w:rPr>
          <w:t>Ετήσια έκθεση δραστηριοτήτων 2022 — Γενική Διεύθυνση Περιφερειακής Πολιτικής και Αστικής Ανάπτυξης</w:t>
        </w:r>
      </w:hyperlink>
      <w:r w:rsidRPr="00BC577F">
        <w:rPr>
          <w:sz w:val="24"/>
          <w:lang w:val="el-GR"/>
        </w:rPr>
        <w:t>» , 20 Ιουνίου 2023.</w:t>
      </w:r>
    </w:p>
  </w:footnote>
  <w:footnote w:id="44">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COM(2024)0006, σ. 14.</w:t>
      </w:r>
    </w:p>
  </w:footnote>
  <w:footnote w:id="45">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SWD(2023)0022, σ. 15.</w:t>
      </w:r>
    </w:p>
  </w:footnote>
  <w:footnote w:id="46">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Equinox Consulting, «</w:t>
      </w:r>
      <w:hyperlink r:id="rId11" w:history="1">
        <w:r w:rsidRPr="00BC577F">
          <w:rPr>
            <w:rStyle w:val="Hyperlink"/>
            <w:sz w:val="24"/>
            <w:lang w:val="el-GR"/>
          </w:rPr>
          <w:t>Az ifjúsági foglalkoztatási kezdeményezés - eredményeinek értékelése</w:t>
        </w:r>
      </w:hyperlink>
      <w:r w:rsidRPr="00BC577F">
        <w:rPr>
          <w:sz w:val="24"/>
          <w:lang w:val="el-GR"/>
        </w:rPr>
        <w:t xml:space="preserve"> (Αξιολόγηση της Πρωτοβουλίας για την απασχόληση των νέων 2014-2020)», 2018.</w:t>
      </w:r>
    </w:p>
  </w:footnote>
  <w:footnote w:id="47">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C31263">
        <w:rPr>
          <w:rStyle w:val="FootnoteReference"/>
          <w:sz w:val="24"/>
          <w:vertAlign w:val="baseline"/>
          <w:lang w:val="el-GR"/>
        </w:rPr>
        <w:t>Kopint-Tárki,</w:t>
      </w:r>
      <w:r w:rsidRPr="008D561D">
        <w:rPr>
          <w:sz w:val="24"/>
          <w:lang w:val="el-GR"/>
        </w:rPr>
        <w:t xml:space="preserve"> Έ</w:t>
      </w:r>
      <w:r w:rsidRPr="00BC577F">
        <w:rPr>
          <w:sz w:val="24"/>
          <w:lang w:val="el-GR"/>
        </w:rPr>
        <w:t xml:space="preserve">κθεση που εκπονήθηκε για το Υπουργείο Καινοτομίας και Τεχνολογίας της Ουγγαρίας με τίτλο </w:t>
      </w:r>
      <w:r w:rsidRPr="00BC577F">
        <w:rPr>
          <w:rStyle w:val="FootnoteReference"/>
          <w:sz w:val="24"/>
          <w:lang w:val="el-GR"/>
        </w:rPr>
        <w:t>«</w:t>
      </w:r>
      <w:hyperlink r:id="rId12" w:history="1">
        <w:r w:rsidRPr="00BC577F">
          <w:rPr>
            <w:rStyle w:val="Hyperlink"/>
            <w:sz w:val="24"/>
            <w:lang w:val="el-GR"/>
          </w:rPr>
          <w:t>Assessment of labour market integration support schemes - Framework contract for the performance of assessments of development programmes co-financed by the Funds under the EU’s Cohesion Policy, in 9 parts – Part III:</w:t>
        </w:r>
      </w:hyperlink>
      <w:hyperlink r:id="rId13" w:history="1">
        <w:r w:rsidRPr="00BC577F">
          <w:rPr>
            <w:rStyle w:val="Hyperlink"/>
            <w:sz w:val="24"/>
            <w:lang w:val="el-GR"/>
          </w:rPr>
          <w:t xml:space="preserve"> Assessment of impact on labour market and social outcomes</w:t>
        </w:r>
      </w:hyperlink>
      <w:r w:rsidRPr="00BC577F">
        <w:rPr>
          <w:sz w:val="24"/>
          <w:lang w:val="el-GR"/>
        </w:rPr>
        <w:t>», 15 Ιανουαρίου 2021.</w:t>
      </w:r>
    </w:p>
  </w:footnote>
  <w:footnote w:id="48">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 xml:space="preserve">Wolf-Watz, O. </w:t>
      </w:r>
      <w:r w:rsidRPr="00BC577F">
        <w:rPr>
          <w:sz w:val="24"/>
          <w:lang w:val="el-GR"/>
        </w:rPr>
        <w:t>και</w:t>
      </w:r>
      <w:r w:rsidRPr="00C31263">
        <w:rPr>
          <w:sz w:val="24"/>
          <w:lang w:val="en-GB"/>
        </w:rPr>
        <w:t xml:space="preserve"> Öhlin, J., «</w:t>
      </w:r>
      <w:hyperlink r:id="rId14" w:history="1">
        <w:r w:rsidRPr="00C31263">
          <w:rPr>
            <w:rStyle w:val="Hyperlink"/>
            <w:sz w:val="24"/>
            <w:lang w:val="en-GB"/>
          </w:rPr>
          <w:t>Evaluation of the YEI, 2018</w:t>
        </w:r>
      </w:hyperlink>
      <w:r w:rsidRPr="00C31263">
        <w:rPr>
          <w:sz w:val="24"/>
          <w:lang w:val="en-GB"/>
        </w:rPr>
        <w:t xml:space="preserve">», </w:t>
      </w:r>
      <w:r w:rsidRPr="00BC577F">
        <w:rPr>
          <w:sz w:val="24"/>
          <w:lang w:val="el-GR"/>
        </w:rPr>
        <w:t>Δεκέμβριος</w:t>
      </w:r>
      <w:r w:rsidRPr="00C31263">
        <w:rPr>
          <w:sz w:val="24"/>
          <w:lang w:val="en-GB"/>
        </w:rPr>
        <w:t xml:space="preserve"> 2018.</w:t>
      </w:r>
    </w:p>
  </w:footnote>
  <w:footnote w:id="49">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 xml:space="preserve">SWD(2023)0022, </w:t>
      </w:r>
      <w:r w:rsidRPr="00BC577F">
        <w:rPr>
          <w:sz w:val="24"/>
          <w:lang w:val="el-GR"/>
        </w:rPr>
        <w:t>σ</w:t>
      </w:r>
      <w:r w:rsidRPr="00C31263">
        <w:rPr>
          <w:sz w:val="24"/>
          <w:lang w:val="en-GB"/>
        </w:rPr>
        <w:t>. 16.</w:t>
      </w:r>
    </w:p>
  </w:footnote>
  <w:footnote w:id="50">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rStyle w:val="FootnoteReference"/>
          <w:sz w:val="24"/>
          <w:vertAlign w:val="baseline"/>
          <w:lang w:val="en-GB"/>
        </w:rPr>
        <w:t>SÖSTRA – Institut für sozialökonomische Strukturanalysen</w:t>
      </w:r>
      <w:r w:rsidRPr="00C31263">
        <w:rPr>
          <w:sz w:val="24"/>
          <w:lang w:val="en-GB"/>
        </w:rPr>
        <w:t>, «</w:t>
      </w:r>
      <w:hyperlink r:id="rId15" w:history="1">
        <w:r w:rsidRPr="00C31263">
          <w:rPr>
            <w:rStyle w:val="Hyperlink"/>
            <w:sz w:val="24"/>
            <w:lang w:val="en-GB"/>
          </w:rPr>
          <w:t>Übergreifende Programmevaluierung der Förderung durch den Europäischen Sozialfonds (ESF) im Freistaat Thüringen in der Förderperiode 2014 bis 2020 - Abschlussbericht</w:t>
        </w:r>
      </w:hyperlink>
      <w:r w:rsidRPr="00C31263">
        <w:rPr>
          <w:sz w:val="24"/>
          <w:lang w:val="en-GB"/>
        </w:rPr>
        <w:t xml:space="preserve"> (</w:t>
      </w:r>
      <w:r w:rsidRPr="00BC577F">
        <w:rPr>
          <w:sz w:val="24"/>
          <w:lang w:val="el-GR"/>
        </w:rPr>
        <w:t>Διατομεακό</w:t>
      </w:r>
      <w:r w:rsidRPr="00C31263">
        <w:rPr>
          <w:sz w:val="24"/>
          <w:lang w:val="en-GB"/>
        </w:rPr>
        <w:t xml:space="preserve"> </w:t>
      </w:r>
      <w:r w:rsidRPr="00BC577F">
        <w:rPr>
          <w:sz w:val="24"/>
          <w:lang w:val="el-GR"/>
        </w:rPr>
        <w:t>πρόγραμμα</w:t>
      </w:r>
      <w:r w:rsidRPr="00C31263">
        <w:rPr>
          <w:sz w:val="24"/>
          <w:lang w:val="en-GB"/>
        </w:rPr>
        <w:t xml:space="preserve"> </w:t>
      </w:r>
      <w:r w:rsidRPr="00BC577F">
        <w:rPr>
          <w:sz w:val="24"/>
          <w:lang w:val="el-GR"/>
        </w:rPr>
        <w:t>αξιολόγησης</w:t>
      </w:r>
      <w:r w:rsidRPr="00C31263">
        <w:rPr>
          <w:sz w:val="24"/>
          <w:lang w:val="en-GB"/>
        </w:rPr>
        <w:t xml:space="preserve"> </w:t>
      </w:r>
      <w:r w:rsidRPr="00BC577F">
        <w:rPr>
          <w:sz w:val="24"/>
          <w:lang w:val="el-GR"/>
        </w:rPr>
        <w:t>της</w:t>
      </w:r>
      <w:r w:rsidRPr="00C31263">
        <w:rPr>
          <w:sz w:val="24"/>
          <w:lang w:val="en-GB"/>
        </w:rPr>
        <w:t xml:space="preserve"> </w:t>
      </w:r>
      <w:r w:rsidRPr="00BC577F">
        <w:rPr>
          <w:sz w:val="24"/>
          <w:lang w:val="el-GR"/>
        </w:rPr>
        <w:t>χρηματοδότησης</w:t>
      </w:r>
      <w:r w:rsidRPr="00C31263">
        <w:rPr>
          <w:sz w:val="24"/>
          <w:lang w:val="en-GB"/>
        </w:rPr>
        <w:t xml:space="preserve"> </w:t>
      </w:r>
      <w:r w:rsidRPr="00BC577F">
        <w:rPr>
          <w:sz w:val="24"/>
          <w:lang w:val="el-GR"/>
        </w:rPr>
        <w:t>από</w:t>
      </w:r>
      <w:r w:rsidRPr="00C31263">
        <w:rPr>
          <w:sz w:val="24"/>
          <w:lang w:val="en-GB"/>
        </w:rPr>
        <w:t xml:space="preserve"> </w:t>
      </w:r>
      <w:r w:rsidRPr="00BC577F">
        <w:rPr>
          <w:sz w:val="24"/>
          <w:lang w:val="el-GR"/>
        </w:rPr>
        <w:t>το</w:t>
      </w:r>
      <w:r w:rsidRPr="00C31263">
        <w:rPr>
          <w:sz w:val="24"/>
          <w:lang w:val="en-GB"/>
        </w:rPr>
        <w:t xml:space="preserve"> </w:t>
      </w:r>
      <w:r w:rsidRPr="00BC577F">
        <w:rPr>
          <w:sz w:val="24"/>
          <w:lang w:val="el-GR"/>
        </w:rPr>
        <w:t>Ευρωπαϊκό</w:t>
      </w:r>
      <w:r w:rsidRPr="00C31263">
        <w:rPr>
          <w:sz w:val="24"/>
          <w:lang w:val="en-GB"/>
        </w:rPr>
        <w:t xml:space="preserve"> </w:t>
      </w:r>
      <w:r w:rsidRPr="00BC577F">
        <w:rPr>
          <w:sz w:val="24"/>
          <w:lang w:val="el-GR"/>
        </w:rPr>
        <w:t>Κοινωνικό</w:t>
      </w:r>
      <w:r w:rsidRPr="00C31263">
        <w:rPr>
          <w:sz w:val="24"/>
          <w:lang w:val="en-GB"/>
        </w:rPr>
        <w:t xml:space="preserve"> </w:t>
      </w:r>
      <w:r w:rsidRPr="00BC577F">
        <w:rPr>
          <w:sz w:val="24"/>
          <w:lang w:val="el-GR"/>
        </w:rPr>
        <w:t>Ταμείο</w:t>
      </w:r>
      <w:r w:rsidRPr="00C31263">
        <w:rPr>
          <w:sz w:val="24"/>
          <w:lang w:val="en-GB"/>
        </w:rPr>
        <w:t xml:space="preserve"> (</w:t>
      </w:r>
      <w:r w:rsidRPr="00BC577F">
        <w:rPr>
          <w:sz w:val="24"/>
          <w:lang w:val="el-GR"/>
        </w:rPr>
        <w:t>ΕΚΤ</w:t>
      </w:r>
      <w:r w:rsidRPr="00C31263">
        <w:rPr>
          <w:sz w:val="24"/>
          <w:lang w:val="en-GB"/>
        </w:rPr>
        <w:t xml:space="preserve">) </w:t>
      </w:r>
      <w:r w:rsidRPr="00BC577F">
        <w:rPr>
          <w:sz w:val="24"/>
          <w:lang w:val="el-GR"/>
        </w:rPr>
        <w:t>στο</w:t>
      </w:r>
      <w:r w:rsidRPr="00C31263">
        <w:rPr>
          <w:sz w:val="24"/>
          <w:lang w:val="en-GB"/>
        </w:rPr>
        <w:t xml:space="preserve"> </w:t>
      </w:r>
      <w:r w:rsidRPr="00BC577F">
        <w:rPr>
          <w:sz w:val="24"/>
          <w:lang w:val="el-GR"/>
        </w:rPr>
        <w:t>ομόσπονδο</w:t>
      </w:r>
      <w:r w:rsidRPr="00C31263">
        <w:rPr>
          <w:sz w:val="24"/>
          <w:lang w:val="en-GB"/>
        </w:rPr>
        <w:t xml:space="preserve"> </w:t>
      </w:r>
      <w:r w:rsidRPr="00BC577F">
        <w:rPr>
          <w:sz w:val="24"/>
          <w:lang w:val="el-GR"/>
        </w:rPr>
        <w:t>κρατίδιο</w:t>
      </w:r>
      <w:r w:rsidRPr="00C31263">
        <w:rPr>
          <w:sz w:val="24"/>
          <w:lang w:val="en-GB"/>
        </w:rPr>
        <w:t xml:space="preserve"> </w:t>
      </w:r>
      <w:r w:rsidRPr="00BC577F">
        <w:rPr>
          <w:sz w:val="24"/>
          <w:lang w:val="el-GR"/>
        </w:rPr>
        <w:t>της</w:t>
      </w:r>
      <w:r w:rsidRPr="00C31263">
        <w:rPr>
          <w:sz w:val="24"/>
          <w:lang w:val="en-GB"/>
        </w:rPr>
        <w:t xml:space="preserve"> </w:t>
      </w:r>
      <w:r w:rsidRPr="00BC577F">
        <w:rPr>
          <w:sz w:val="24"/>
          <w:lang w:val="el-GR"/>
        </w:rPr>
        <w:t>Θουριγγίας</w:t>
      </w:r>
      <w:r w:rsidRPr="00C31263">
        <w:rPr>
          <w:sz w:val="24"/>
          <w:lang w:val="en-GB"/>
        </w:rPr>
        <w:t xml:space="preserve"> </w:t>
      </w:r>
      <w:r w:rsidRPr="00BC577F">
        <w:rPr>
          <w:sz w:val="24"/>
          <w:lang w:val="el-GR"/>
        </w:rPr>
        <w:t>κατά</w:t>
      </w:r>
      <w:r w:rsidRPr="00C31263">
        <w:rPr>
          <w:sz w:val="24"/>
          <w:lang w:val="en-GB"/>
        </w:rPr>
        <w:t xml:space="preserve"> </w:t>
      </w:r>
      <w:r w:rsidRPr="00BC577F">
        <w:rPr>
          <w:sz w:val="24"/>
          <w:lang w:val="el-GR"/>
        </w:rPr>
        <w:t>την</w:t>
      </w:r>
      <w:r w:rsidRPr="00C31263">
        <w:rPr>
          <w:sz w:val="24"/>
          <w:lang w:val="en-GB"/>
        </w:rPr>
        <w:t xml:space="preserve"> </w:t>
      </w:r>
      <w:r w:rsidRPr="00BC577F">
        <w:rPr>
          <w:sz w:val="24"/>
          <w:lang w:val="el-GR"/>
        </w:rPr>
        <w:t>περίοδο</w:t>
      </w:r>
      <w:r w:rsidRPr="00C31263">
        <w:rPr>
          <w:sz w:val="24"/>
          <w:lang w:val="en-GB"/>
        </w:rPr>
        <w:t xml:space="preserve"> </w:t>
      </w:r>
      <w:r w:rsidRPr="00BC577F">
        <w:rPr>
          <w:sz w:val="24"/>
          <w:lang w:val="el-GR"/>
        </w:rPr>
        <w:t>χρηματοδότησης</w:t>
      </w:r>
      <w:r w:rsidRPr="00C31263">
        <w:rPr>
          <w:sz w:val="24"/>
          <w:lang w:val="en-GB"/>
        </w:rPr>
        <w:t xml:space="preserve"> 2014-2020 — </w:t>
      </w:r>
      <w:r w:rsidRPr="00BC577F">
        <w:rPr>
          <w:sz w:val="24"/>
          <w:lang w:val="el-GR"/>
        </w:rPr>
        <w:t>τελική</w:t>
      </w:r>
      <w:r w:rsidRPr="00C31263">
        <w:rPr>
          <w:sz w:val="24"/>
          <w:lang w:val="en-GB"/>
        </w:rPr>
        <w:t xml:space="preserve"> </w:t>
      </w:r>
      <w:r w:rsidRPr="00BC577F">
        <w:rPr>
          <w:sz w:val="24"/>
          <w:lang w:val="el-GR"/>
        </w:rPr>
        <w:t>έκθεση</w:t>
      </w:r>
      <w:r w:rsidRPr="00C31263">
        <w:rPr>
          <w:sz w:val="24"/>
          <w:lang w:val="en-GB"/>
        </w:rPr>
        <w:t>)», 2020.</w:t>
      </w:r>
    </w:p>
  </w:footnote>
  <w:footnote w:id="51">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C31263">
        <w:rPr>
          <w:rStyle w:val="FootnoteReference"/>
          <w:sz w:val="24"/>
          <w:vertAlign w:val="baseline"/>
          <w:lang w:val="el-GR"/>
        </w:rPr>
        <w:t>T</w:t>
      </w:r>
      <w:r w:rsidRPr="00BC577F">
        <w:rPr>
          <w:sz w:val="24"/>
          <w:lang w:val="el-GR"/>
        </w:rPr>
        <w:t xml:space="preserve">ouchpoints ASBL, </w:t>
      </w:r>
      <w:hyperlink r:id="rId16" w:history="1">
        <w:r w:rsidRPr="00BC577F">
          <w:rPr>
            <w:rStyle w:val="Hyperlink"/>
            <w:sz w:val="24"/>
            <w:lang w:val="el-GR"/>
          </w:rPr>
          <w:t>Ετήσια έκθεση 2020</w:t>
        </w:r>
      </w:hyperlink>
      <w:r w:rsidRPr="00BC577F">
        <w:rPr>
          <w:sz w:val="24"/>
          <w:lang w:val="el-GR"/>
        </w:rPr>
        <w:t>, 1η Ιουνίου 2021.</w:t>
      </w:r>
    </w:p>
  </w:footnote>
  <w:footnote w:id="52">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Ευρωπαϊκή Επιτροπή, «</w:t>
      </w:r>
      <w:hyperlink r:id="rId17" w:history="1">
        <w:r w:rsidRPr="00BC577F">
          <w:rPr>
            <w:rStyle w:val="Hyperlink"/>
            <w:sz w:val="24"/>
            <w:lang w:val="el-GR"/>
          </w:rPr>
          <w:t>Cohesion Open Data Platform – Theme: Social Inclusion – Funding Period: 2014-2020</w:t>
        </w:r>
      </w:hyperlink>
      <w:r w:rsidRPr="00BC577F">
        <w:rPr>
          <w:sz w:val="24"/>
          <w:lang w:val="el-GR"/>
        </w:rPr>
        <w:t xml:space="preserve">» (Πλατφόρμα ανοικτών δεδομένων για τη συνοχή – Θέμα: Κοινωνική ένταξη - Περίοδος χρηματοδότησης: 2014-2020), στοιχεία 20ής Φεβρουαρίου 2024. </w:t>
      </w:r>
    </w:p>
  </w:footnote>
  <w:footnote w:id="53">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SWD(2023)0022, σ. 17.</w:t>
      </w:r>
    </w:p>
  </w:footnote>
  <w:footnote w:id="54">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Ευρωπαϊκή Επιτροπή, «</w:t>
      </w:r>
      <w:hyperlink r:id="rId18" w:anchor="achievements" w:history="1">
        <w:r w:rsidRPr="00BC577F">
          <w:rPr>
            <w:rStyle w:val="Hyperlink"/>
            <w:sz w:val="24"/>
            <w:lang w:val="el-GR"/>
          </w:rPr>
          <w:t>Cohesion Open Data Platform – Fund: ERDF – Funding Period: 2014-2020</w:t>
        </w:r>
      </w:hyperlink>
      <w:r w:rsidRPr="00BC577F">
        <w:rPr>
          <w:sz w:val="24"/>
          <w:lang w:val="el-GR"/>
        </w:rPr>
        <w:t>» (Πλατφόρμα ανοικτών δεδομένων για τη συνοχή – Ταμείο: ΕΤΠΑ - Περίοδος χρηματοδότησης: 2014-2020), στοιχεία 20ής Φεβρουαρίου 2024.</w:t>
      </w:r>
    </w:p>
  </w:footnote>
  <w:footnote w:id="55">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 xml:space="preserve">SWD(2024)0002, σ. 15. </w:t>
      </w:r>
    </w:p>
  </w:footnote>
  <w:footnote w:id="56">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 xml:space="preserve">SWD(2024)0002, σ. 15. </w:t>
      </w:r>
    </w:p>
  </w:footnote>
  <w:footnote w:id="57">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Civitta International και Ινστιτούτο Διεθνών Οικονομικών Μελετών της Βιέννης, «</w:t>
      </w:r>
      <w:hyperlink r:id="rId19" w:history="1">
        <w:r w:rsidRPr="00BC577F">
          <w:rPr>
            <w:rStyle w:val="Hyperlink"/>
            <w:sz w:val="24"/>
            <w:lang w:val="el-GR"/>
          </w:rPr>
          <w:t>Impact Evaluation Report for the Impact Evaluation of the Interreg CENTRAL EUROPE Programme – Phase 1</w:t>
        </w:r>
      </w:hyperlink>
      <w:r w:rsidRPr="00BC577F">
        <w:rPr>
          <w:sz w:val="24"/>
          <w:lang w:val="el-GR"/>
        </w:rPr>
        <w:t xml:space="preserve">» (Έκθεση αξιολόγησης αντικτύπου για την αξιολόγηση αντικτύπου του προγράμματος Interreg για την Κεντρική Ευρώπη - Φάση 1), Φεβρουάριος 2022. </w:t>
      </w:r>
    </w:p>
  </w:footnote>
  <w:footnote w:id="58">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 xml:space="preserve">SWD(2023)0022, </w:t>
      </w:r>
      <w:r w:rsidRPr="00BC577F">
        <w:rPr>
          <w:sz w:val="24"/>
          <w:lang w:val="el-GR"/>
        </w:rPr>
        <w:t>σ</w:t>
      </w:r>
      <w:r w:rsidRPr="00C31263">
        <w:rPr>
          <w:sz w:val="24"/>
          <w:lang w:val="en-GB"/>
        </w:rPr>
        <w:t xml:space="preserve">. 20. </w:t>
      </w:r>
    </w:p>
  </w:footnote>
  <w:footnote w:id="59">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 xml:space="preserve">SWD(2024)0002, </w:t>
      </w:r>
      <w:r w:rsidRPr="00BC577F">
        <w:rPr>
          <w:sz w:val="24"/>
          <w:lang w:val="el-GR"/>
        </w:rPr>
        <w:t>σ</w:t>
      </w:r>
      <w:r w:rsidRPr="00C31263">
        <w:rPr>
          <w:sz w:val="24"/>
          <w:lang w:val="en-GB"/>
        </w:rPr>
        <w:t xml:space="preserve">. 15. </w:t>
      </w:r>
    </w:p>
  </w:footnote>
  <w:footnote w:id="60">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 xml:space="preserve">SWD(2023)0022, </w:t>
      </w:r>
      <w:r w:rsidRPr="00BC577F">
        <w:rPr>
          <w:sz w:val="24"/>
          <w:lang w:val="el-GR"/>
        </w:rPr>
        <w:t>σ</w:t>
      </w:r>
      <w:r w:rsidRPr="00C31263">
        <w:rPr>
          <w:sz w:val="24"/>
          <w:lang w:val="en-GB"/>
        </w:rPr>
        <w:t>. 20.</w:t>
      </w:r>
    </w:p>
  </w:footnote>
  <w:footnote w:id="61">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rStyle w:val="FootnoteReference"/>
          <w:sz w:val="24"/>
          <w:vertAlign w:val="baseline"/>
          <w:lang w:val="el-GR"/>
        </w:rPr>
        <w:t>Ευρωπαϊκή</w:t>
      </w:r>
      <w:r w:rsidRPr="00C31263">
        <w:rPr>
          <w:rStyle w:val="FootnoteReference"/>
          <w:sz w:val="24"/>
          <w:vertAlign w:val="baseline"/>
          <w:lang w:val="en-GB"/>
        </w:rPr>
        <w:t xml:space="preserve"> </w:t>
      </w:r>
      <w:r w:rsidRPr="00BC577F">
        <w:rPr>
          <w:sz w:val="24"/>
          <w:lang w:val="el-GR"/>
        </w:rPr>
        <w:t>Επιτροπή</w:t>
      </w:r>
      <w:r w:rsidRPr="00C31263">
        <w:rPr>
          <w:sz w:val="24"/>
          <w:lang w:val="en-GB"/>
        </w:rPr>
        <w:t>, «</w:t>
      </w:r>
      <w:hyperlink r:id="rId20" w:history="1">
        <w:r w:rsidRPr="00C31263">
          <w:rPr>
            <w:rStyle w:val="Hyperlink"/>
            <w:sz w:val="24"/>
            <w:lang w:val="en-GB"/>
          </w:rPr>
          <w:t>Coronavirus Dashboard: EU cohesion policy response to the crisis</w:t>
        </w:r>
      </w:hyperlink>
      <w:r w:rsidRPr="00C31263">
        <w:rPr>
          <w:sz w:val="24"/>
          <w:lang w:val="en-GB"/>
        </w:rPr>
        <w:t>» (</w:t>
      </w:r>
      <w:r w:rsidRPr="00BC577F">
        <w:rPr>
          <w:sz w:val="24"/>
          <w:lang w:val="el-GR"/>
        </w:rPr>
        <w:t>Πίνακας</w:t>
      </w:r>
      <w:r w:rsidRPr="00C31263">
        <w:rPr>
          <w:sz w:val="24"/>
          <w:lang w:val="en-GB"/>
        </w:rPr>
        <w:t xml:space="preserve"> </w:t>
      </w:r>
      <w:r w:rsidRPr="00BC577F">
        <w:rPr>
          <w:sz w:val="24"/>
          <w:lang w:val="el-GR"/>
        </w:rPr>
        <w:t>εργαλείων</w:t>
      </w:r>
      <w:r w:rsidRPr="00C31263">
        <w:rPr>
          <w:sz w:val="24"/>
          <w:lang w:val="en-GB"/>
        </w:rPr>
        <w:t xml:space="preserve"> </w:t>
      </w:r>
      <w:r w:rsidRPr="00BC577F">
        <w:rPr>
          <w:sz w:val="24"/>
          <w:lang w:val="el-GR"/>
        </w:rPr>
        <w:t>για</w:t>
      </w:r>
      <w:r w:rsidRPr="00C31263">
        <w:rPr>
          <w:sz w:val="24"/>
          <w:lang w:val="en-GB"/>
        </w:rPr>
        <w:t xml:space="preserve"> </w:t>
      </w:r>
      <w:r w:rsidRPr="00BC577F">
        <w:rPr>
          <w:sz w:val="24"/>
          <w:lang w:val="el-GR"/>
        </w:rPr>
        <w:t>τον</w:t>
      </w:r>
      <w:r w:rsidRPr="00C31263">
        <w:rPr>
          <w:sz w:val="24"/>
          <w:lang w:val="en-GB"/>
        </w:rPr>
        <w:t xml:space="preserve"> </w:t>
      </w:r>
      <w:r w:rsidRPr="00BC577F">
        <w:rPr>
          <w:sz w:val="24"/>
          <w:lang w:val="el-GR"/>
        </w:rPr>
        <w:t>κορονοϊό</w:t>
      </w:r>
      <w:r w:rsidRPr="00C31263">
        <w:rPr>
          <w:sz w:val="24"/>
          <w:lang w:val="en-GB"/>
        </w:rPr>
        <w:t xml:space="preserve">: </w:t>
      </w:r>
      <w:r w:rsidRPr="00BC577F">
        <w:rPr>
          <w:sz w:val="24"/>
          <w:lang w:val="el-GR"/>
        </w:rPr>
        <w:t>Ανταπόκριση</w:t>
      </w:r>
      <w:r w:rsidRPr="00C31263">
        <w:rPr>
          <w:sz w:val="24"/>
          <w:lang w:val="en-GB"/>
        </w:rPr>
        <w:t xml:space="preserve"> </w:t>
      </w:r>
      <w:r w:rsidRPr="00BC577F">
        <w:rPr>
          <w:sz w:val="24"/>
          <w:lang w:val="el-GR"/>
        </w:rPr>
        <w:t>της</w:t>
      </w:r>
      <w:r w:rsidRPr="00C31263">
        <w:rPr>
          <w:sz w:val="24"/>
          <w:lang w:val="en-GB"/>
        </w:rPr>
        <w:t xml:space="preserve"> </w:t>
      </w:r>
      <w:r w:rsidRPr="00BC577F">
        <w:rPr>
          <w:sz w:val="24"/>
          <w:lang w:val="el-GR"/>
        </w:rPr>
        <w:t>πολιτικής</w:t>
      </w:r>
      <w:r w:rsidRPr="00C31263">
        <w:rPr>
          <w:sz w:val="24"/>
          <w:lang w:val="en-GB"/>
        </w:rPr>
        <w:t xml:space="preserve"> </w:t>
      </w:r>
      <w:r w:rsidRPr="00BC577F">
        <w:rPr>
          <w:sz w:val="24"/>
          <w:lang w:val="el-GR"/>
        </w:rPr>
        <w:t>συνοχής</w:t>
      </w:r>
      <w:r w:rsidRPr="00C31263">
        <w:rPr>
          <w:sz w:val="24"/>
          <w:lang w:val="en-GB"/>
        </w:rPr>
        <w:t xml:space="preserve"> </w:t>
      </w:r>
      <w:r w:rsidRPr="00BC577F">
        <w:rPr>
          <w:sz w:val="24"/>
          <w:lang w:val="el-GR"/>
        </w:rPr>
        <w:t>της</w:t>
      </w:r>
      <w:r w:rsidRPr="00C31263">
        <w:rPr>
          <w:sz w:val="24"/>
          <w:lang w:val="en-GB"/>
        </w:rPr>
        <w:t xml:space="preserve"> </w:t>
      </w:r>
      <w:r w:rsidRPr="00BC577F">
        <w:rPr>
          <w:sz w:val="24"/>
          <w:lang w:val="el-GR"/>
        </w:rPr>
        <w:t>ΕΕ</w:t>
      </w:r>
      <w:r w:rsidRPr="00C31263">
        <w:rPr>
          <w:sz w:val="24"/>
          <w:lang w:val="en-GB"/>
        </w:rPr>
        <w:t xml:space="preserve"> </w:t>
      </w:r>
      <w:r w:rsidRPr="00BC577F">
        <w:rPr>
          <w:sz w:val="24"/>
          <w:lang w:val="el-GR"/>
        </w:rPr>
        <w:t>στην</w:t>
      </w:r>
      <w:r w:rsidRPr="00C31263">
        <w:rPr>
          <w:sz w:val="24"/>
          <w:lang w:val="en-GB"/>
        </w:rPr>
        <w:t xml:space="preserve"> </w:t>
      </w:r>
      <w:r w:rsidRPr="00BC577F">
        <w:rPr>
          <w:sz w:val="24"/>
          <w:lang w:val="el-GR"/>
        </w:rPr>
        <w:t>κρίση</w:t>
      </w:r>
      <w:r w:rsidRPr="00C31263">
        <w:rPr>
          <w:sz w:val="24"/>
          <w:lang w:val="en-GB"/>
        </w:rPr>
        <w:t>), 18 </w:t>
      </w:r>
      <w:r w:rsidRPr="00BC577F">
        <w:rPr>
          <w:sz w:val="24"/>
          <w:lang w:val="el-GR"/>
        </w:rPr>
        <w:t>Οκτωβρίου</w:t>
      </w:r>
      <w:r w:rsidRPr="00C31263">
        <w:rPr>
          <w:sz w:val="24"/>
          <w:lang w:val="en-GB"/>
        </w:rPr>
        <w:t> 2023.</w:t>
      </w:r>
    </w:p>
  </w:footnote>
  <w:footnote w:id="62">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BC577F">
        <w:rPr>
          <w:sz w:val="24"/>
          <w:lang w:val="el-GR"/>
        </w:rPr>
        <w:t>Ομοίως</w:t>
      </w:r>
      <w:r w:rsidRPr="00C31263">
        <w:rPr>
          <w:sz w:val="24"/>
          <w:lang w:val="en-GB"/>
        </w:rPr>
        <w:t xml:space="preserve">. </w:t>
      </w:r>
    </w:p>
  </w:footnote>
  <w:footnote w:id="63">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 xml:space="preserve">SWD(2024)0002, </w:t>
      </w:r>
      <w:r w:rsidRPr="00BC577F">
        <w:rPr>
          <w:sz w:val="24"/>
          <w:lang w:val="el-GR"/>
        </w:rPr>
        <w:t>σ</w:t>
      </w:r>
      <w:r w:rsidRPr="00C31263">
        <w:rPr>
          <w:sz w:val="24"/>
          <w:lang w:val="en-GB"/>
        </w:rPr>
        <w:t xml:space="preserve">. 16. </w:t>
      </w:r>
    </w:p>
  </w:footnote>
  <w:footnote w:id="64">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C31263">
        <w:rPr>
          <w:sz w:val="24"/>
          <w:lang w:val="en-GB"/>
        </w:rPr>
        <w:t xml:space="preserve">SWD(2023)0022, </w:t>
      </w:r>
      <w:r w:rsidRPr="00BC577F">
        <w:rPr>
          <w:sz w:val="24"/>
          <w:lang w:val="el-GR"/>
        </w:rPr>
        <w:t>σ</w:t>
      </w:r>
      <w:r w:rsidRPr="00C31263">
        <w:rPr>
          <w:sz w:val="24"/>
          <w:lang w:val="en-GB"/>
        </w:rPr>
        <w:t xml:space="preserve">. 18. </w:t>
      </w:r>
    </w:p>
  </w:footnote>
  <w:footnote w:id="65">
    <w:p w:rsidR="001B78F3" w:rsidRPr="00C31263" w:rsidRDefault="001B78F3" w:rsidP="00BC577F">
      <w:pPr>
        <w:pStyle w:val="FootnoteText"/>
        <w:ind w:left="567" w:hanging="567"/>
        <w:rPr>
          <w:sz w:val="24"/>
          <w:lang w:val="en-GB"/>
        </w:rPr>
      </w:pPr>
      <w:r w:rsidRPr="00BC577F">
        <w:rPr>
          <w:rStyle w:val="FootnoteReference"/>
          <w:sz w:val="24"/>
          <w:lang w:val="el-GR"/>
        </w:rPr>
        <w:footnoteRef/>
      </w:r>
      <w:r w:rsidR="00BC577F" w:rsidRPr="00C31263">
        <w:rPr>
          <w:sz w:val="24"/>
          <w:lang w:val="en-GB"/>
        </w:rPr>
        <w:t xml:space="preserve"> </w:t>
      </w:r>
      <w:r w:rsidR="00BC577F" w:rsidRPr="00C31263">
        <w:rPr>
          <w:sz w:val="24"/>
          <w:lang w:val="en-GB"/>
        </w:rPr>
        <w:tab/>
      </w:r>
      <w:r w:rsidRPr="00BC577F">
        <w:rPr>
          <w:sz w:val="24"/>
          <w:lang w:val="el-GR"/>
        </w:rPr>
        <w:t>Έγγραφο</w:t>
      </w:r>
      <w:r w:rsidRPr="00C31263">
        <w:rPr>
          <w:sz w:val="24"/>
          <w:lang w:val="en-GB"/>
        </w:rPr>
        <w:t xml:space="preserve"> </w:t>
      </w:r>
      <w:r w:rsidRPr="00BC577F">
        <w:rPr>
          <w:sz w:val="24"/>
          <w:lang w:val="el-GR"/>
        </w:rPr>
        <w:t>εργασίας</w:t>
      </w:r>
      <w:r w:rsidRPr="00C31263">
        <w:rPr>
          <w:sz w:val="24"/>
          <w:lang w:val="en-GB"/>
        </w:rPr>
        <w:t xml:space="preserve"> </w:t>
      </w:r>
      <w:r w:rsidRPr="00BC577F">
        <w:rPr>
          <w:sz w:val="24"/>
          <w:lang w:val="el-GR"/>
        </w:rPr>
        <w:t>των</w:t>
      </w:r>
      <w:r w:rsidRPr="00C31263">
        <w:rPr>
          <w:sz w:val="24"/>
          <w:lang w:val="en-GB"/>
        </w:rPr>
        <w:t xml:space="preserve"> </w:t>
      </w:r>
      <w:r w:rsidRPr="00BC577F">
        <w:rPr>
          <w:sz w:val="24"/>
          <w:lang w:val="el-GR"/>
        </w:rPr>
        <w:t>υπηρεσιών</w:t>
      </w:r>
      <w:r w:rsidRPr="00C31263">
        <w:rPr>
          <w:sz w:val="24"/>
          <w:lang w:val="en-GB"/>
        </w:rPr>
        <w:t xml:space="preserve"> </w:t>
      </w:r>
      <w:r w:rsidRPr="00BC577F">
        <w:rPr>
          <w:sz w:val="24"/>
          <w:lang w:val="el-GR"/>
        </w:rPr>
        <w:t>της</w:t>
      </w:r>
      <w:r w:rsidRPr="00C31263">
        <w:rPr>
          <w:sz w:val="24"/>
          <w:lang w:val="en-GB"/>
        </w:rPr>
        <w:t xml:space="preserve"> </w:t>
      </w:r>
      <w:r w:rsidRPr="00BC577F">
        <w:rPr>
          <w:sz w:val="24"/>
          <w:lang w:val="el-GR"/>
        </w:rPr>
        <w:t>Επιτροπής</w:t>
      </w:r>
      <w:r w:rsidRPr="00C31263">
        <w:rPr>
          <w:sz w:val="24"/>
          <w:lang w:val="en-GB"/>
        </w:rPr>
        <w:t xml:space="preserve">, </w:t>
      </w:r>
      <w:r w:rsidRPr="00BC577F">
        <w:rPr>
          <w:sz w:val="24"/>
          <w:lang w:val="el-GR"/>
        </w:rPr>
        <w:t>της</w:t>
      </w:r>
      <w:r w:rsidRPr="00C31263">
        <w:rPr>
          <w:sz w:val="24"/>
          <w:lang w:val="en-GB"/>
        </w:rPr>
        <w:t xml:space="preserve"> 14</w:t>
      </w:r>
      <w:r w:rsidRPr="00BC577F">
        <w:rPr>
          <w:sz w:val="24"/>
          <w:lang w:val="el-GR"/>
        </w:rPr>
        <w:t>ης</w:t>
      </w:r>
      <w:r w:rsidRPr="00C31263">
        <w:rPr>
          <w:sz w:val="24"/>
          <w:lang w:val="en-GB"/>
        </w:rPr>
        <w:t xml:space="preserve"> </w:t>
      </w:r>
      <w:r w:rsidRPr="00BC577F">
        <w:rPr>
          <w:sz w:val="24"/>
          <w:lang w:val="el-GR"/>
        </w:rPr>
        <w:t>Ιουλίου</w:t>
      </w:r>
      <w:r w:rsidRPr="00C31263">
        <w:rPr>
          <w:sz w:val="24"/>
          <w:lang w:val="en-GB"/>
        </w:rPr>
        <w:t xml:space="preserve"> 2023, </w:t>
      </w:r>
      <w:r w:rsidRPr="00BC577F">
        <w:rPr>
          <w:sz w:val="24"/>
          <w:lang w:val="el-GR"/>
        </w:rPr>
        <w:t>με</w:t>
      </w:r>
      <w:r w:rsidRPr="00C31263">
        <w:rPr>
          <w:sz w:val="24"/>
          <w:lang w:val="en-GB"/>
        </w:rPr>
        <w:t xml:space="preserve"> </w:t>
      </w:r>
      <w:r w:rsidRPr="00BC577F">
        <w:rPr>
          <w:sz w:val="24"/>
          <w:lang w:val="el-GR"/>
        </w:rPr>
        <w:t>τίτλο</w:t>
      </w:r>
      <w:r w:rsidRPr="00C31263">
        <w:rPr>
          <w:sz w:val="24"/>
          <w:lang w:val="en-GB"/>
        </w:rPr>
        <w:t xml:space="preserve"> «Preliminary evaluation of the support provided by ESF and FEAD under the Coronavirus Response Investment Initiatives (CRII and CRII+)» [</w:t>
      </w:r>
      <w:r w:rsidRPr="00BC577F">
        <w:rPr>
          <w:sz w:val="24"/>
          <w:lang w:val="el-GR"/>
        </w:rPr>
        <w:t>Προκαταρκτική</w:t>
      </w:r>
      <w:r w:rsidRPr="00C31263">
        <w:rPr>
          <w:sz w:val="24"/>
          <w:lang w:val="en-GB"/>
        </w:rPr>
        <w:t xml:space="preserve"> </w:t>
      </w:r>
      <w:r w:rsidRPr="00BC577F">
        <w:rPr>
          <w:sz w:val="24"/>
          <w:lang w:val="el-GR"/>
        </w:rPr>
        <w:t>αξιολόγηση</w:t>
      </w:r>
      <w:r w:rsidRPr="00C31263">
        <w:rPr>
          <w:sz w:val="24"/>
          <w:lang w:val="en-GB"/>
        </w:rPr>
        <w:t xml:space="preserve"> </w:t>
      </w:r>
      <w:r w:rsidRPr="00BC577F">
        <w:rPr>
          <w:sz w:val="24"/>
          <w:lang w:val="el-GR"/>
        </w:rPr>
        <w:t>της</w:t>
      </w:r>
      <w:r w:rsidRPr="00C31263">
        <w:rPr>
          <w:sz w:val="24"/>
          <w:lang w:val="en-GB"/>
        </w:rPr>
        <w:t xml:space="preserve"> </w:t>
      </w:r>
      <w:r w:rsidRPr="00BC577F">
        <w:rPr>
          <w:sz w:val="24"/>
          <w:lang w:val="el-GR"/>
        </w:rPr>
        <w:t>στήριξης</w:t>
      </w:r>
      <w:r w:rsidRPr="00C31263">
        <w:rPr>
          <w:sz w:val="24"/>
          <w:lang w:val="en-GB"/>
        </w:rPr>
        <w:t xml:space="preserve"> </w:t>
      </w:r>
      <w:r w:rsidRPr="00BC577F">
        <w:rPr>
          <w:sz w:val="24"/>
          <w:lang w:val="el-GR"/>
        </w:rPr>
        <w:t>που</w:t>
      </w:r>
      <w:r w:rsidRPr="00C31263">
        <w:rPr>
          <w:sz w:val="24"/>
          <w:lang w:val="en-GB"/>
        </w:rPr>
        <w:t xml:space="preserve"> </w:t>
      </w:r>
      <w:r w:rsidRPr="00BC577F">
        <w:rPr>
          <w:sz w:val="24"/>
          <w:lang w:val="el-GR"/>
        </w:rPr>
        <w:t>παρέχεται</w:t>
      </w:r>
      <w:r w:rsidRPr="00C31263">
        <w:rPr>
          <w:sz w:val="24"/>
          <w:lang w:val="en-GB"/>
        </w:rPr>
        <w:t xml:space="preserve"> </w:t>
      </w:r>
      <w:r w:rsidRPr="00BC577F">
        <w:rPr>
          <w:sz w:val="24"/>
          <w:lang w:val="el-GR"/>
        </w:rPr>
        <w:t>από</w:t>
      </w:r>
      <w:r w:rsidRPr="00C31263">
        <w:rPr>
          <w:sz w:val="24"/>
          <w:lang w:val="en-GB"/>
        </w:rPr>
        <w:t xml:space="preserve"> </w:t>
      </w:r>
      <w:r w:rsidRPr="00BC577F">
        <w:rPr>
          <w:sz w:val="24"/>
          <w:lang w:val="el-GR"/>
        </w:rPr>
        <w:t>το</w:t>
      </w:r>
      <w:r w:rsidRPr="00C31263">
        <w:rPr>
          <w:sz w:val="24"/>
          <w:lang w:val="en-GB"/>
        </w:rPr>
        <w:t xml:space="preserve"> </w:t>
      </w:r>
      <w:r w:rsidRPr="00BC577F">
        <w:rPr>
          <w:sz w:val="24"/>
          <w:lang w:val="el-GR"/>
        </w:rPr>
        <w:t>ΕΚΤ</w:t>
      </w:r>
      <w:r w:rsidRPr="00C31263">
        <w:rPr>
          <w:sz w:val="24"/>
          <w:lang w:val="en-GB"/>
        </w:rPr>
        <w:t xml:space="preserve"> </w:t>
      </w:r>
      <w:r w:rsidRPr="00BC577F">
        <w:rPr>
          <w:sz w:val="24"/>
          <w:lang w:val="el-GR"/>
        </w:rPr>
        <w:t>και</w:t>
      </w:r>
      <w:r w:rsidRPr="00C31263">
        <w:rPr>
          <w:sz w:val="24"/>
          <w:lang w:val="en-GB"/>
        </w:rPr>
        <w:t xml:space="preserve"> </w:t>
      </w:r>
      <w:r w:rsidRPr="00BC577F">
        <w:rPr>
          <w:sz w:val="24"/>
          <w:lang w:val="el-GR"/>
        </w:rPr>
        <w:t>το</w:t>
      </w:r>
      <w:r w:rsidRPr="00C31263">
        <w:rPr>
          <w:sz w:val="24"/>
          <w:lang w:val="en-GB"/>
        </w:rPr>
        <w:t xml:space="preserve"> </w:t>
      </w:r>
      <w:r w:rsidRPr="00BC577F">
        <w:rPr>
          <w:sz w:val="24"/>
          <w:lang w:val="el-GR"/>
        </w:rPr>
        <w:t>ΤΕΒΑ</w:t>
      </w:r>
      <w:r w:rsidRPr="00C31263">
        <w:rPr>
          <w:sz w:val="24"/>
          <w:lang w:val="en-GB"/>
        </w:rPr>
        <w:t xml:space="preserve"> </w:t>
      </w:r>
      <w:r w:rsidRPr="00BC577F">
        <w:rPr>
          <w:sz w:val="24"/>
          <w:lang w:val="el-GR"/>
        </w:rPr>
        <w:t>στο</w:t>
      </w:r>
      <w:r w:rsidRPr="00C31263">
        <w:rPr>
          <w:sz w:val="24"/>
          <w:lang w:val="en-GB"/>
        </w:rPr>
        <w:t xml:space="preserve"> </w:t>
      </w:r>
      <w:r w:rsidRPr="00BC577F">
        <w:rPr>
          <w:sz w:val="24"/>
          <w:lang w:val="el-GR"/>
        </w:rPr>
        <w:t>πλαίσιο</w:t>
      </w:r>
      <w:r w:rsidRPr="00C31263">
        <w:rPr>
          <w:sz w:val="24"/>
          <w:lang w:val="en-GB"/>
        </w:rPr>
        <w:t xml:space="preserve"> </w:t>
      </w:r>
      <w:r w:rsidRPr="00BC577F">
        <w:rPr>
          <w:sz w:val="24"/>
          <w:lang w:val="el-GR"/>
        </w:rPr>
        <w:t>των</w:t>
      </w:r>
      <w:r w:rsidRPr="00C31263">
        <w:rPr>
          <w:sz w:val="24"/>
          <w:lang w:val="en-GB"/>
        </w:rPr>
        <w:t xml:space="preserve"> </w:t>
      </w:r>
      <w:r w:rsidRPr="00BC577F">
        <w:rPr>
          <w:sz w:val="24"/>
          <w:lang w:val="el-GR"/>
        </w:rPr>
        <w:t>πρωτοβουλιών</w:t>
      </w:r>
      <w:r w:rsidRPr="00C31263">
        <w:rPr>
          <w:sz w:val="24"/>
          <w:lang w:val="en-GB"/>
        </w:rPr>
        <w:t xml:space="preserve"> </w:t>
      </w:r>
      <w:r w:rsidRPr="00BC577F">
        <w:rPr>
          <w:sz w:val="24"/>
          <w:lang w:val="el-GR"/>
        </w:rPr>
        <w:t>επενδύσεων</w:t>
      </w:r>
      <w:r w:rsidRPr="00C31263">
        <w:rPr>
          <w:sz w:val="24"/>
          <w:lang w:val="en-GB"/>
        </w:rPr>
        <w:t xml:space="preserve"> </w:t>
      </w:r>
      <w:r w:rsidRPr="00BC577F">
        <w:rPr>
          <w:sz w:val="24"/>
          <w:lang w:val="el-GR"/>
        </w:rPr>
        <w:t>για</w:t>
      </w:r>
      <w:r w:rsidRPr="00C31263">
        <w:rPr>
          <w:sz w:val="24"/>
          <w:lang w:val="en-GB"/>
        </w:rPr>
        <w:t xml:space="preserve"> </w:t>
      </w:r>
      <w:r w:rsidRPr="00BC577F">
        <w:rPr>
          <w:sz w:val="24"/>
          <w:lang w:val="el-GR"/>
        </w:rPr>
        <w:t>την</w:t>
      </w:r>
      <w:r w:rsidRPr="00C31263">
        <w:rPr>
          <w:sz w:val="24"/>
          <w:lang w:val="en-GB"/>
        </w:rPr>
        <w:t xml:space="preserve"> </w:t>
      </w:r>
      <w:r w:rsidRPr="00BC577F">
        <w:rPr>
          <w:sz w:val="24"/>
          <w:lang w:val="el-GR"/>
        </w:rPr>
        <w:t>αντιμετώπιση</w:t>
      </w:r>
      <w:r w:rsidRPr="00C31263">
        <w:rPr>
          <w:sz w:val="24"/>
          <w:lang w:val="en-GB"/>
        </w:rPr>
        <w:t xml:space="preserve"> </w:t>
      </w:r>
      <w:r w:rsidRPr="00BC577F">
        <w:rPr>
          <w:sz w:val="24"/>
          <w:lang w:val="el-GR"/>
        </w:rPr>
        <w:t>του</w:t>
      </w:r>
      <w:r w:rsidRPr="00C31263">
        <w:rPr>
          <w:sz w:val="24"/>
          <w:lang w:val="en-GB"/>
        </w:rPr>
        <w:t xml:space="preserve"> </w:t>
      </w:r>
      <w:r w:rsidRPr="00BC577F">
        <w:rPr>
          <w:sz w:val="24"/>
          <w:lang w:val="el-GR"/>
        </w:rPr>
        <w:t>κορονοϊού</w:t>
      </w:r>
      <w:r w:rsidRPr="00C31263">
        <w:rPr>
          <w:sz w:val="24"/>
          <w:lang w:val="en-GB"/>
        </w:rPr>
        <w:t xml:space="preserve"> (CRII </w:t>
      </w:r>
      <w:r w:rsidRPr="00BC577F">
        <w:rPr>
          <w:sz w:val="24"/>
          <w:lang w:val="el-GR"/>
        </w:rPr>
        <w:t>και</w:t>
      </w:r>
      <w:r w:rsidRPr="00C31263">
        <w:rPr>
          <w:sz w:val="24"/>
          <w:lang w:val="en-GB"/>
        </w:rPr>
        <w:t xml:space="preserve"> CRII +)], </w:t>
      </w:r>
      <w:r w:rsidR="008D561D" w:rsidRPr="00C31263">
        <w:rPr>
          <w:sz w:val="24"/>
          <w:lang w:val="en-GB"/>
        </w:rPr>
        <w:t>(</w:t>
      </w:r>
      <w:r w:rsidRPr="00C31263">
        <w:rPr>
          <w:sz w:val="24"/>
          <w:lang w:val="en-GB"/>
        </w:rPr>
        <w:t>SWD(2023)0249</w:t>
      </w:r>
      <w:r w:rsidR="008D561D" w:rsidRPr="00C31263">
        <w:rPr>
          <w:sz w:val="24"/>
          <w:lang w:val="en-GB"/>
        </w:rPr>
        <w:t>)</w:t>
      </w:r>
      <w:r w:rsidRPr="00C31263">
        <w:rPr>
          <w:sz w:val="24"/>
          <w:lang w:val="en-GB"/>
        </w:rPr>
        <w:t>.</w:t>
      </w:r>
    </w:p>
  </w:footnote>
  <w:footnote w:id="66">
    <w:p w:rsidR="001B78F3" w:rsidRPr="00BC577F" w:rsidRDefault="001B78F3" w:rsidP="00BC577F">
      <w:pPr>
        <w:pStyle w:val="FootnoteText"/>
        <w:ind w:left="567" w:hanging="567"/>
        <w:rPr>
          <w:sz w:val="24"/>
          <w:lang w:val="el-GR"/>
        </w:rPr>
      </w:pPr>
      <w:r w:rsidRPr="00BC577F">
        <w:rPr>
          <w:rStyle w:val="FootnoteReference"/>
          <w:sz w:val="24"/>
          <w:lang w:val="el-GR"/>
        </w:rPr>
        <w:footnoteRef/>
      </w:r>
      <w:r w:rsidR="00BC577F" w:rsidRPr="00BC577F">
        <w:rPr>
          <w:sz w:val="24"/>
          <w:lang w:val="el-GR"/>
        </w:rPr>
        <w:t xml:space="preserve"> </w:t>
      </w:r>
      <w:r w:rsidR="00BC577F" w:rsidRPr="00BC577F">
        <w:rPr>
          <w:sz w:val="24"/>
          <w:lang w:val="el-GR"/>
        </w:rPr>
        <w:tab/>
      </w:r>
      <w:r w:rsidRPr="00BC577F">
        <w:rPr>
          <w:sz w:val="24"/>
          <w:lang w:val="el-GR"/>
        </w:rPr>
        <w:t>Κατ’ εξουσιοδότηση κανονισμός (ΕΕ) 2015/1970 της Επιτροπής, της 8ης Ιουλίου 2015, για τη συμπλήρωση του κανονισμού (ΕΕ) αριθ. 1303/2013 του Ευρωπαϊκού Κοινοβουλίου και του Συμβουλίου με ειδικές διατάξεις για την αναφορά παρατυπιών όσον αφορά το Ευρωπαϊκό Ταμείο Περιφερειακής Ανάπτυξης, το Ευρωπαϊκό Κοινωνικό Ταμείο, το Ταμείο Συνοχής και το Ευρωπαϊκό Ταμείο Θάλασσας και Αλιείας (ΕΕ L 293 της 10.11.2015,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57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57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57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B5B5E"/>
    <w:multiLevelType w:val="hybridMultilevel"/>
    <w:tmpl w:val="E396B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47F2842"/>
    <w:multiLevelType w:val="hybridMultilevel"/>
    <w:tmpl w:val="525AB286"/>
    <w:lvl w:ilvl="0" w:tplc="E92CE52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0"/>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EL"/>
    <w:docVar w:name="dvnumam" w:val="0"/>
    <w:docVar w:name="dvpe" w:val="756.089"/>
    <w:docVar w:name="dvrapporteur" w:val="Εισηγητής: "/>
    <w:docVar w:name="dvtitre" w:val="Ψήφισμα του Ευρωπαϊκού Κοινοβουλίου σχετικά με την πολιτική συνοχής 2014-2020 – υλοποίηση και αποτελέσματα στα κράτη μέλη(2023/2121(INI))"/>
  </w:docVars>
  <w:rsids>
    <w:rsidRoot w:val="00C13D93"/>
    <w:rsid w:val="00002272"/>
    <w:rsid w:val="00064002"/>
    <w:rsid w:val="000677B9"/>
    <w:rsid w:val="000831BA"/>
    <w:rsid w:val="000A42CC"/>
    <w:rsid w:val="000E7DD9"/>
    <w:rsid w:val="0010095E"/>
    <w:rsid w:val="00125B37"/>
    <w:rsid w:val="00145E97"/>
    <w:rsid w:val="00187494"/>
    <w:rsid w:val="001B78F3"/>
    <w:rsid w:val="001F32AE"/>
    <w:rsid w:val="002767FF"/>
    <w:rsid w:val="002B18FE"/>
    <w:rsid w:val="002B5493"/>
    <w:rsid w:val="00343214"/>
    <w:rsid w:val="00361C00"/>
    <w:rsid w:val="00395FA1"/>
    <w:rsid w:val="003E15D4"/>
    <w:rsid w:val="00411CCE"/>
    <w:rsid w:val="0041666E"/>
    <w:rsid w:val="00421060"/>
    <w:rsid w:val="00471C19"/>
    <w:rsid w:val="00484684"/>
    <w:rsid w:val="004867E3"/>
    <w:rsid w:val="00494A28"/>
    <w:rsid w:val="004C0004"/>
    <w:rsid w:val="004C5D52"/>
    <w:rsid w:val="0050519A"/>
    <w:rsid w:val="005072A1"/>
    <w:rsid w:val="00514517"/>
    <w:rsid w:val="00545827"/>
    <w:rsid w:val="00560270"/>
    <w:rsid w:val="00574C86"/>
    <w:rsid w:val="005C2568"/>
    <w:rsid w:val="006037C0"/>
    <w:rsid w:val="006631B6"/>
    <w:rsid w:val="00680577"/>
    <w:rsid w:val="006C0C1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61D"/>
    <w:rsid w:val="00930C23"/>
    <w:rsid w:val="0093193B"/>
    <w:rsid w:val="009509D8"/>
    <w:rsid w:val="00950B64"/>
    <w:rsid w:val="00981893"/>
    <w:rsid w:val="00A1687D"/>
    <w:rsid w:val="00A43E52"/>
    <w:rsid w:val="00A4678D"/>
    <w:rsid w:val="00A778C7"/>
    <w:rsid w:val="00AB441E"/>
    <w:rsid w:val="00AB6293"/>
    <w:rsid w:val="00AD23E9"/>
    <w:rsid w:val="00AE0928"/>
    <w:rsid w:val="00AF3B82"/>
    <w:rsid w:val="00B12E95"/>
    <w:rsid w:val="00B22876"/>
    <w:rsid w:val="00B558F0"/>
    <w:rsid w:val="00BC577F"/>
    <w:rsid w:val="00BD48FE"/>
    <w:rsid w:val="00BD7BD8"/>
    <w:rsid w:val="00BE6ADC"/>
    <w:rsid w:val="00C05BFE"/>
    <w:rsid w:val="00C13D93"/>
    <w:rsid w:val="00C23CD4"/>
    <w:rsid w:val="00C3126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B3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9FBA50-FAB2-4B41-B4E0-5B11CB6F2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B78F3"/>
    <w:pPr>
      <w:spacing w:after="240"/>
      <w:ind w:left="567" w:hanging="567"/>
    </w:pPr>
  </w:style>
  <w:style w:type="character" w:styleId="Hyperlink">
    <w:name w:val="Hyperlink"/>
    <w:basedOn w:val="DefaultParagraphFont"/>
    <w:unhideWhenUsed/>
    <w:rsid w:val="001B78F3"/>
    <w:rPr>
      <w:color w:val="0563C1" w:themeColor="hyperlink"/>
      <w:u w:val="single"/>
    </w:rPr>
  </w:style>
  <w:style w:type="character" w:customStyle="1" w:styleId="NormalHanging12aChar">
    <w:name w:val="NormalHanging12a Char"/>
    <w:basedOn w:val="DefaultParagraphFont"/>
    <w:link w:val="NormalHanging12a"/>
    <w:locked/>
    <w:rsid w:val="001B78F3"/>
    <w:rPr>
      <w:sz w:val="24"/>
      <w:lang w:val="el-GR"/>
    </w:rPr>
  </w:style>
  <w:style w:type="character" w:customStyle="1" w:styleId="expandableitem">
    <w:name w:val="expandableitem"/>
    <w:basedOn w:val="DefaultParagraphFont"/>
    <w:rsid w:val="001B78F3"/>
  </w:style>
  <w:style w:type="paragraph" w:styleId="BalloonText">
    <w:name w:val="Balloon Text"/>
    <w:basedOn w:val="Normal"/>
    <w:link w:val="BalloonTextChar"/>
    <w:rsid w:val="008D561D"/>
    <w:rPr>
      <w:rFonts w:ascii="Segoe UI" w:hAnsi="Segoe UI" w:cs="Segoe UI"/>
      <w:sz w:val="18"/>
      <w:szCs w:val="18"/>
    </w:rPr>
  </w:style>
  <w:style w:type="character" w:customStyle="1" w:styleId="BalloonTextChar">
    <w:name w:val="Balloon Text Char"/>
    <w:basedOn w:val="DefaultParagraphFont"/>
    <w:link w:val="BalloonText"/>
    <w:rsid w:val="008D561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5/14-20" TargetMode="External"/><Relationship Id="rId13" Type="http://schemas.openxmlformats.org/officeDocument/2006/relationships/hyperlink" Target="https://files.evaluationhelpdesk.eu/evaluations/HUE63.pdf" TargetMode="External"/><Relationship Id="rId18" Type="http://schemas.openxmlformats.org/officeDocument/2006/relationships/hyperlink" Target="https://cohesiondata.ec.europa.eu/funds/erdf/14-20" TargetMode="External"/><Relationship Id="rId3" Type="http://schemas.openxmlformats.org/officeDocument/2006/relationships/hyperlink" Target="https://www.eca.europa.eu/Lists/ECADocuments/SR23_02/SR_Covid_II-ReACT_EU_EL.pdf" TargetMode="External"/><Relationship Id="rId7" Type="http://schemas.openxmlformats.org/officeDocument/2006/relationships/hyperlink" Target="https://ec.europa.eu/regional_policy/policy/what/key-achievements_en" TargetMode="External"/><Relationship Id="rId12" Type="http://schemas.openxmlformats.org/officeDocument/2006/relationships/hyperlink" Target="https://files.evaluationhelpdesk.eu/evaluations/HUE63.pdf" TargetMode="External"/><Relationship Id="rId17" Type="http://schemas.openxmlformats.org/officeDocument/2006/relationships/hyperlink" Target="https://cohesiondata.ec.europa.eu/themes/9/14-20" TargetMode="External"/><Relationship Id="rId2" Type="http://schemas.openxmlformats.org/officeDocument/2006/relationships/hyperlink" Target="http://data.europa.eu/eli/C/2024/1041/oj" TargetMode="External"/><Relationship Id="rId16" Type="http://schemas.openxmlformats.org/officeDocument/2006/relationships/hyperlink" Target="https://www.touchpoints.lu/single-post/2020-annual-report-of-touchpoints-asbl?lang=en" TargetMode="External"/><Relationship Id="rId20" Type="http://schemas.openxmlformats.org/officeDocument/2006/relationships/hyperlink" Target="https://cohesiondata.ec.europa.eu/stories/s/CORONAVIRUS-DASHBOARD-COHESION-POLICY-RESPONSE/4e2z-pw8r/" TargetMode="External"/><Relationship Id="rId1" Type="http://schemas.openxmlformats.org/officeDocument/2006/relationships/hyperlink" Target="http://data.europa.eu/eli/C/2023/1061/oj" TargetMode="External"/><Relationship Id="rId6" Type="http://schemas.openxmlformats.org/officeDocument/2006/relationships/hyperlink" Target="https://www.europarl.europa.eu/RegData/etudes/STUD/2023/733107/IPOL_STU(2023)733107_EN.pdf" TargetMode="External"/><Relationship Id="rId11" Type="http://schemas.openxmlformats.org/officeDocument/2006/relationships/hyperlink" Target="https://files.evaluationhelpdesk.eu/evaluations/HUE31.pdf"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files.evaluationhelpdesk.eu/evaluations/DEE168.pdf" TargetMode="External"/><Relationship Id="rId10" Type="http://schemas.openxmlformats.org/officeDocument/2006/relationships/hyperlink" Target="https://commission.europa.eu/publications/annual-activity-report-2022-regional-and-urban-policy_en" TargetMode="External"/><Relationship Id="rId19" Type="http://schemas.openxmlformats.org/officeDocument/2006/relationships/hyperlink" Target="https://ec.europa.eu/regional_policy/policy/evaluations/member-states/ate37_en" TargetMode="External"/><Relationship Id="rId4" Type="http://schemas.openxmlformats.org/officeDocument/2006/relationships/hyperlink" Target="https://www.eca.europa.eu/ECAPublications/AR-2022/AR-2022_EL.pdf" TargetMode="External"/><Relationship Id="rId9" Type="http://schemas.openxmlformats.org/officeDocument/2006/relationships/hyperlink" Target="https://cohesiondata.ec.europa.eu/themes/6/14-20" TargetMode="External"/><Relationship Id="rId14" Type="http://schemas.openxmlformats.org/officeDocument/2006/relationships/hyperlink" Target="https://ec.europa.eu/regional_policy/policy/evaluations/member-states/see14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9E0EA-F72C-46DD-AA14-224359503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11790</Words>
  <Characters>71169</Characters>
  <Application>Microsoft Office Word</Application>
  <DocSecurity>4</DocSecurity>
  <Lines>593</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GOROPECNIK Tina</cp:lastModifiedBy>
  <cp:revision>2</cp:revision>
  <cp:lastPrinted>2004-11-19T15:42:00Z</cp:lastPrinted>
  <dcterms:created xsi:type="dcterms:W3CDTF">2024-09-09T13:15:00Z</dcterms:created>
  <dcterms:modified xsi:type="dcterms:W3CDTF">2024-09-09T13:15:00Z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A9-0049/2024</vt:lpwstr>
  </property>
  <property fmtid="{D5CDD505-2E9C-101B-9397-08002B2CF9AE}" pid="4" name="&lt;Type&gt;">
    <vt:lpwstr>RR</vt:lpwstr>
  </property>
</Properties>
</file>