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557D" w:rsidTr="0010095E">
        <w:trPr>
          <w:trHeight w:hRule="exact" w:val="1418"/>
        </w:trPr>
        <w:tc>
          <w:tcPr>
            <w:tcW w:w="6804" w:type="dxa"/>
            <w:shd w:val="clear" w:color="auto" w:fill="auto"/>
            <w:vAlign w:val="center"/>
          </w:tcPr>
          <w:p w:rsidR="00751A4A" w:rsidRPr="00B3557D" w:rsidRDefault="00FD2113" w:rsidP="0010095E">
            <w:pPr>
              <w:pStyle w:val="EPName"/>
            </w:pPr>
            <w:r w:rsidRPr="00B3557D">
              <w:t>Parlamento Europeo</w:t>
            </w:r>
          </w:p>
          <w:p w:rsidR="00751A4A" w:rsidRPr="00B3557D" w:rsidRDefault="00817416" w:rsidP="00756632">
            <w:pPr>
              <w:pStyle w:val="EPTerm"/>
              <w:rPr>
                <w:rStyle w:val="HideTWBExt"/>
                <w:noProof w:val="0"/>
                <w:vanish w:val="0"/>
                <w:color w:val="auto"/>
              </w:rPr>
            </w:pPr>
            <w:r w:rsidRPr="00B3557D">
              <w:t>2019-2024</w:t>
            </w:r>
          </w:p>
        </w:tc>
        <w:tc>
          <w:tcPr>
            <w:tcW w:w="2268" w:type="dxa"/>
            <w:shd w:val="clear" w:color="auto" w:fill="auto"/>
          </w:tcPr>
          <w:p w:rsidR="00751A4A" w:rsidRPr="00B3557D" w:rsidRDefault="00187494" w:rsidP="0010095E">
            <w:pPr>
              <w:pStyle w:val="EPLogo"/>
            </w:pPr>
            <w:r w:rsidRPr="00B355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557D" w:rsidRDefault="00D058B8" w:rsidP="004C5D52">
      <w:pPr>
        <w:pStyle w:val="LineTop"/>
      </w:pPr>
    </w:p>
    <w:p w:rsidR="00680577" w:rsidRPr="00B3557D" w:rsidRDefault="00FD2113" w:rsidP="00680577">
      <w:pPr>
        <w:pStyle w:val="EPBodyTA1"/>
      </w:pPr>
      <w:r w:rsidRPr="00B3557D">
        <w:t>TEXTOS APROBADOS</w:t>
      </w:r>
    </w:p>
    <w:p w:rsidR="00D058B8" w:rsidRPr="00B3557D" w:rsidRDefault="00D058B8" w:rsidP="00D058B8">
      <w:pPr>
        <w:pStyle w:val="LineBottom"/>
      </w:pPr>
    </w:p>
    <w:p w:rsidR="00FD2113" w:rsidRPr="00B3557D" w:rsidRDefault="00FD2113" w:rsidP="00FD2113">
      <w:pPr>
        <w:pStyle w:val="ATHeading1"/>
      </w:pPr>
      <w:bookmarkStart w:id="0" w:name="TANumber"/>
      <w:r w:rsidRPr="00B3557D">
        <w:t>P9_</w:t>
      </w:r>
      <w:proofErr w:type="gramStart"/>
      <w:r w:rsidRPr="00B3557D">
        <w:t>TA(</w:t>
      </w:r>
      <w:proofErr w:type="gramEnd"/>
      <w:r w:rsidRPr="00B3557D">
        <w:t>2024)0</w:t>
      </w:r>
      <w:r w:rsidR="00AF49A3" w:rsidRPr="00B3557D">
        <w:t>174</w:t>
      </w:r>
      <w:bookmarkEnd w:id="0"/>
    </w:p>
    <w:p w:rsidR="00FD2113" w:rsidRPr="00B3557D" w:rsidRDefault="00FD2113" w:rsidP="00FD2113">
      <w:pPr>
        <w:pStyle w:val="ATHeading2"/>
      </w:pPr>
      <w:bookmarkStart w:id="1" w:name="title"/>
      <w:r w:rsidRPr="00B3557D">
        <w:t>Política de cohesión 2014-2020: aplicación y resultados en los Estados miembros</w:t>
      </w:r>
      <w:bookmarkEnd w:id="1"/>
    </w:p>
    <w:p w:rsidR="00FD2113" w:rsidRPr="00B3557D" w:rsidRDefault="00FD2113" w:rsidP="00FD2113">
      <w:pPr>
        <w:rPr>
          <w:i/>
          <w:vanish/>
        </w:rPr>
      </w:pPr>
      <w:r w:rsidRPr="00B3557D">
        <w:rPr>
          <w:i/>
        </w:rPr>
        <w:fldChar w:fldCharType="begin"/>
      </w:r>
      <w:r w:rsidRPr="00B3557D">
        <w:rPr>
          <w:i/>
        </w:rPr>
        <w:instrText xml:space="preserve"> TC"(</w:instrText>
      </w:r>
      <w:bookmarkStart w:id="2" w:name="DocNumber"/>
      <w:r w:rsidRPr="00B3557D">
        <w:rPr>
          <w:i/>
        </w:rPr>
        <w:instrText>A9-0049/2024</w:instrText>
      </w:r>
      <w:bookmarkEnd w:id="2"/>
      <w:r w:rsidRPr="00B3557D">
        <w:rPr>
          <w:i/>
        </w:rPr>
        <w:instrText xml:space="preserve"> - Ponente: Andrey Novakov)"\l3 \n&gt; \* MERGEFORMAT </w:instrText>
      </w:r>
      <w:r w:rsidRPr="00B3557D">
        <w:rPr>
          <w:i/>
        </w:rPr>
        <w:fldChar w:fldCharType="end"/>
      </w:r>
    </w:p>
    <w:p w:rsidR="00FD2113" w:rsidRPr="00B3557D" w:rsidRDefault="00FD2113" w:rsidP="00FD2113">
      <w:pPr>
        <w:rPr>
          <w:vanish/>
        </w:rPr>
      </w:pPr>
      <w:bookmarkStart w:id="3" w:name="Commission"/>
      <w:r w:rsidRPr="00B3557D">
        <w:rPr>
          <w:vanish/>
        </w:rPr>
        <w:t>Comisión de Desarrollo Regional</w:t>
      </w:r>
      <w:bookmarkEnd w:id="3"/>
    </w:p>
    <w:p w:rsidR="00FD2113" w:rsidRPr="00B3557D" w:rsidRDefault="00FD2113" w:rsidP="00FD2113">
      <w:pPr>
        <w:rPr>
          <w:vanish/>
        </w:rPr>
      </w:pPr>
      <w:bookmarkStart w:id="4" w:name="PE"/>
      <w:r w:rsidRPr="00B3557D">
        <w:rPr>
          <w:vanish/>
        </w:rPr>
        <w:t>PE756.089</w:t>
      </w:r>
      <w:bookmarkEnd w:id="4"/>
    </w:p>
    <w:p w:rsidR="00FD2113" w:rsidRPr="00B3557D" w:rsidRDefault="00FD2113" w:rsidP="00FD2113">
      <w:pPr>
        <w:pStyle w:val="ATHeading3"/>
      </w:pPr>
      <w:bookmarkStart w:id="5" w:name="Sujet"/>
      <w:r w:rsidRPr="00B3557D">
        <w:t>Resolución del Parlamento Europeo, de 14 de marzo de 2024, sobre la política de cohesión 2014-2020: aplicación y resultados en los Estados miembros</w:t>
      </w:r>
      <w:bookmarkEnd w:id="5"/>
      <w:r w:rsidRPr="00B3557D">
        <w:t xml:space="preserve"> </w:t>
      </w:r>
      <w:bookmarkStart w:id="6" w:name="References"/>
      <w:r w:rsidRPr="00B3557D">
        <w:t>(2023/2121(INI))</w:t>
      </w:r>
      <w:bookmarkEnd w:id="6"/>
    </w:p>
    <w:p w:rsidR="00F54608" w:rsidRPr="00B3557D" w:rsidRDefault="00F54608" w:rsidP="00F54608">
      <w:pPr>
        <w:pStyle w:val="EPComma"/>
        <w:spacing w:before="240"/>
      </w:pPr>
      <w:bookmarkStart w:id="7" w:name="TextBodyBegin"/>
      <w:bookmarkEnd w:id="7"/>
      <w:r w:rsidRPr="00B3557D">
        <w:rPr>
          <w:i/>
        </w:rPr>
        <w:t>El Parlamento Europeo</w:t>
      </w:r>
      <w:r w:rsidRPr="00B3557D">
        <w:t>,</w:t>
      </w:r>
    </w:p>
    <w:p w:rsidR="00F54608" w:rsidRPr="00B3557D" w:rsidRDefault="00F54608" w:rsidP="00F54608">
      <w:pPr>
        <w:pStyle w:val="NormalHanging12a"/>
      </w:pPr>
      <w:r w:rsidRPr="00B3557D">
        <w:t>–</w:t>
      </w:r>
      <w:r w:rsidRPr="00B3557D">
        <w:tab/>
        <w:t>Vistos los artículos 174 y 349 del Tratado de Funcionamiento de la Unión Europea (TFUE),</w:t>
      </w:r>
    </w:p>
    <w:p w:rsidR="00F54608" w:rsidRPr="00B3557D" w:rsidRDefault="00F54608" w:rsidP="00F54608">
      <w:pPr>
        <w:pStyle w:val="NormalHanging12a"/>
      </w:pPr>
      <w:r w:rsidRPr="00B3557D">
        <w:t>–</w:t>
      </w:r>
      <w:r w:rsidRPr="00B3557D">
        <w:tab/>
        <w:t>Visto el Reglamento (UE) n.º 1303/2013 del Parlamento Europeo y del Consejo, de 17 de diciembre de 2013,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se deroga el Reglamento (CE) n.º 1083/2006 del Consejo</w:t>
      </w:r>
      <w:r w:rsidRPr="00B3557D">
        <w:rPr>
          <w:rStyle w:val="FootnoteReference"/>
        </w:rPr>
        <w:footnoteReference w:id="1"/>
      </w:r>
      <w:r w:rsidRPr="00B3557D">
        <w:t xml:space="preserve"> (en lo sucesivo, «Reglamento sobre disposiciones comunes»),</w:t>
      </w:r>
    </w:p>
    <w:p w:rsidR="00F54608" w:rsidRPr="00B3557D" w:rsidRDefault="00F54608" w:rsidP="00F54608">
      <w:pPr>
        <w:pStyle w:val="NormalHanging12a"/>
      </w:pPr>
      <w:r w:rsidRPr="00B3557D">
        <w:t>–</w:t>
      </w:r>
      <w:r w:rsidRPr="00B3557D">
        <w:tab/>
        <w:t>Visto el Reglamento (UE) n.º 1301/2013 del Parlamento Europeo y del Consejo, de 17 de diciembre de 2013, sobre el Fondo Europeo de Desarrollo Regional y sobre disposiciones específicas relativas al objetivo de inversión en crecimiento y empleo y por el que se deroga el Reglamento (CE) n.º 1080/2006</w:t>
      </w:r>
      <w:r w:rsidRPr="00B3557D">
        <w:rPr>
          <w:rStyle w:val="FootnoteReference"/>
          <w:color w:val="000000"/>
        </w:rPr>
        <w:footnoteReference w:id="2"/>
      </w:r>
      <w:r w:rsidRPr="00B3557D">
        <w:t>,</w:t>
      </w:r>
    </w:p>
    <w:p w:rsidR="00F54608" w:rsidRPr="00B3557D" w:rsidRDefault="00F54608" w:rsidP="00F54608">
      <w:pPr>
        <w:pStyle w:val="NormalHanging12a"/>
      </w:pPr>
      <w:r w:rsidRPr="00B3557D">
        <w:t>–</w:t>
      </w:r>
      <w:r w:rsidRPr="00B3557D">
        <w:tab/>
        <w:t>Visto el Reglamento (UE) n.º 1300/2013 del Parlamento Europeo y del Consejo, de 17 de diciembre de 2013, relativo al Fondo de Cohesión y por el que se deroga el Reglamento (CE) n.º 1084/2006</w:t>
      </w:r>
      <w:r w:rsidRPr="00B3557D">
        <w:rPr>
          <w:rStyle w:val="FootnoteReference"/>
        </w:rPr>
        <w:footnoteReference w:id="3"/>
      </w:r>
      <w:r w:rsidRPr="00B3557D">
        <w:t>,</w:t>
      </w:r>
    </w:p>
    <w:p w:rsidR="00F54608" w:rsidRPr="00B3557D" w:rsidRDefault="00F54608" w:rsidP="00F54608">
      <w:pPr>
        <w:pStyle w:val="NormalHanging12a"/>
      </w:pPr>
      <w:r w:rsidRPr="00B3557D">
        <w:t>–</w:t>
      </w:r>
      <w:r w:rsidRPr="00B3557D">
        <w:tab/>
        <w:t xml:space="preserve">Visto el Reglamento (UE) n.º 1299/2013 del Parlamento Europeo y del Consejo, de 17 de diciembre de 2013, por el que se establecen disposiciones específicas relativas al apoyo del Fondo Europeo de Desarrollo Regional al objetivo de cooperación territorial </w:t>
      </w:r>
      <w:r w:rsidRPr="00B3557D">
        <w:lastRenderedPageBreak/>
        <w:t>europea</w:t>
      </w:r>
      <w:r w:rsidRPr="00B3557D">
        <w:rPr>
          <w:rStyle w:val="FootnoteReference"/>
        </w:rPr>
        <w:footnoteReference w:id="4"/>
      </w:r>
      <w:r w:rsidRPr="00B3557D">
        <w:t>,</w:t>
      </w:r>
    </w:p>
    <w:p w:rsidR="00F54608" w:rsidRPr="00B3557D" w:rsidRDefault="00F54608" w:rsidP="00F54608">
      <w:pPr>
        <w:pStyle w:val="NormalHanging12a"/>
      </w:pPr>
      <w:r w:rsidRPr="00B3557D">
        <w:t>–</w:t>
      </w:r>
      <w:r w:rsidRPr="00B3557D">
        <w:tab/>
        <w:t>Visto el Reglamento (UE) n.º 1304/2013 del Parlamento Europeo y del Consejo, de 17 de diciembre de 2013, relativo al Fondo Social Europeo y por el que se deroga el Reglamento (CE) n.º 1081/2006 del Consejo</w:t>
      </w:r>
      <w:r w:rsidRPr="00B3557D">
        <w:rPr>
          <w:rStyle w:val="FootnoteReference"/>
        </w:rPr>
        <w:footnoteReference w:id="5"/>
      </w:r>
      <w:r w:rsidRPr="00B3557D">
        <w:t>,</w:t>
      </w:r>
    </w:p>
    <w:p w:rsidR="00F54608" w:rsidRPr="00B3557D" w:rsidRDefault="00F54608" w:rsidP="00F54608">
      <w:pPr>
        <w:pStyle w:val="NormalHanging12a"/>
      </w:pPr>
      <w:r w:rsidRPr="00B3557D">
        <w:t>–</w:t>
      </w:r>
      <w:r w:rsidRPr="00B3557D">
        <w:tab/>
        <w:t>Visto el Reglamento (UE) 2020/460 del Parlamento Europeo y del Consejo, de 30 de marzo de 2020, por el que se modifican los Reglamentos (UE) n.º 1301/2013, (UE) n.º 1303/2013 y (UE) n.º 508/2014 en lo relativo a las medidas específicas para movilizar inversiones en los sistemas de atención sanitaria de los Estados miembros y en otros sectores de sus economías, en respuesta al brote de COVID</w:t>
      </w:r>
      <w:r w:rsidRPr="00B3557D">
        <w:noBreakHyphen/>
        <w:t>19 (en lo sucesivo, «Iniciativa de Inversión en Respuesta al Coronavirus»)</w:t>
      </w:r>
      <w:r w:rsidRPr="00B3557D">
        <w:rPr>
          <w:rStyle w:val="FootnoteReference"/>
          <w:rFonts w:eastAsiaTheme="majorEastAsia"/>
          <w:color w:val="000000"/>
        </w:rPr>
        <w:footnoteReference w:id="6"/>
      </w:r>
      <w:r w:rsidRPr="00B3557D">
        <w:t>,</w:t>
      </w:r>
    </w:p>
    <w:p w:rsidR="00F54608" w:rsidRPr="00B3557D" w:rsidRDefault="00F54608" w:rsidP="00F54608">
      <w:pPr>
        <w:pStyle w:val="NormalHanging12a"/>
      </w:pPr>
      <w:r w:rsidRPr="00B3557D">
        <w:t>–</w:t>
      </w:r>
      <w:r w:rsidRPr="00B3557D">
        <w:tab/>
        <w:t>Visto el Reglamento (UE) 2020/558 del Parlamento Europeo y del Consejo, de 23 de abril de 2020, por el que se modifican los Reglamentos (UE) n.º 1301/2013 y (UE) n.º 1303/2013 en lo que respecta a medidas específicas para ofrecer una flexibilidad excepcional en el uso de los Fondos Estructurales y de Inversión Europeos en respuesta al brote de COVID</w:t>
      </w:r>
      <w:r w:rsidRPr="00B3557D">
        <w:noBreakHyphen/>
        <w:t>19</w:t>
      </w:r>
      <w:r w:rsidRPr="00B3557D">
        <w:rPr>
          <w:rStyle w:val="FootnoteReference"/>
          <w:color w:val="000000"/>
        </w:rPr>
        <w:footnoteReference w:id="7"/>
      </w:r>
      <w:r w:rsidRPr="00B3557D">
        <w:t xml:space="preserve"> (en lo sucesivo, «Iniciativa de Inversión en Respuesta al Coronavirus Plus»),</w:t>
      </w:r>
    </w:p>
    <w:p w:rsidR="00F54608" w:rsidRPr="00B3557D" w:rsidRDefault="00F54608" w:rsidP="00F54608">
      <w:pPr>
        <w:pStyle w:val="NormalHanging12a"/>
      </w:pPr>
      <w:r w:rsidRPr="00B3557D">
        <w:t>–</w:t>
      </w:r>
      <w:r w:rsidRPr="00B3557D">
        <w:tab/>
        <w:t>Visto el Reglamento (UE) 2022/562 del Parlamento Europeo y del Consejo, de 6 de abril de 2022, por el que se modifican los Reglamentos (UE) n.º 1303/2013 y (UE) n.º 223/2014 en lo que atañe a la Acción de Cohesión para los Refugiados en Europa (CARE)</w:t>
      </w:r>
      <w:r w:rsidRPr="00B3557D">
        <w:rPr>
          <w:rStyle w:val="FootnoteReference"/>
          <w:rFonts w:eastAsiaTheme="majorEastAsia"/>
          <w:color w:val="000000"/>
        </w:rPr>
        <w:footnoteReference w:id="8"/>
      </w:r>
      <w:r w:rsidRPr="00B3557D">
        <w:t>,</w:t>
      </w:r>
    </w:p>
    <w:p w:rsidR="00F54608" w:rsidRPr="00B3557D" w:rsidRDefault="00F54608" w:rsidP="00F54608">
      <w:pPr>
        <w:pStyle w:val="NormalHanging12a"/>
      </w:pPr>
      <w:r w:rsidRPr="00B3557D">
        <w:t>–</w:t>
      </w:r>
      <w:r w:rsidRPr="00B3557D">
        <w:tab/>
        <w:t>Visto el Reglamento (UE) 2022/2039 del Parlamento Europeo y del Consejo, de 19 de octubre de 2022, que modifica los Reglamentos (UE) n.º 1303/2013 y (UE) 2021/1060 por lo que respecta a una mayor flexibilidad para hacer frente a las consecuencias de la agresión militar por parte de la Federación de Rusia – Asistencia Flexible para los Territorios (FAST-CARE)</w:t>
      </w:r>
      <w:r w:rsidRPr="00B3557D">
        <w:rPr>
          <w:rStyle w:val="FootnoteReference"/>
          <w:color w:val="000000"/>
        </w:rPr>
        <w:footnoteReference w:id="9"/>
      </w:r>
      <w:r w:rsidRPr="00B3557D">
        <w:t>,</w:t>
      </w:r>
    </w:p>
    <w:p w:rsidR="00F54608" w:rsidRPr="00B3557D" w:rsidRDefault="00F54608" w:rsidP="00F54608">
      <w:pPr>
        <w:pStyle w:val="NormalHanging12a"/>
      </w:pPr>
      <w:r w:rsidRPr="00B3557D">
        <w:t>–</w:t>
      </w:r>
      <w:r w:rsidRPr="00B3557D">
        <w:tab/>
        <w:t>Vista la Comunicación de la Comisión, de 4 de febrero de 2022, relativa al octavo informe sobre la cohesión: la cohesión en Europa en el horizonte de 2050 (</w:t>
      </w:r>
      <w:proofErr w:type="gramStart"/>
      <w:r w:rsidRPr="00B3557D">
        <w:t>COM(</w:t>
      </w:r>
      <w:proofErr w:type="gramEnd"/>
      <w:r w:rsidRPr="00B3557D">
        <w:t>2022)0034),</w:t>
      </w:r>
    </w:p>
    <w:p w:rsidR="00F54608" w:rsidRPr="00B3557D" w:rsidRDefault="00F54608" w:rsidP="00F54608">
      <w:pPr>
        <w:pStyle w:val="NormalHanging12a"/>
      </w:pPr>
      <w:r w:rsidRPr="00B3557D">
        <w:t>–</w:t>
      </w:r>
      <w:r w:rsidRPr="00B3557D">
        <w:tab/>
        <w:t>Vista la Comunicación de la Comisión, de 17 de enero de 2023, titulada «El aprovechamiento del talento en las regiones de Europa» (</w:t>
      </w:r>
      <w:proofErr w:type="gramStart"/>
      <w:r w:rsidRPr="00B3557D">
        <w:t>COM(</w:t>
      </w:r>
      <w:proofErr w:type="gramEnd"/>
      <w:r w:rsidRPr="00B3557D">
        <w:t>2023)0032),</w:t>
      </w:r>
    </w:p>
    <w:p w:rsidR="00F54608" w:rsidRPr="00B3557D" w:rsidRDefault="00F54608" w:rsidP="00F54608">
      <w:pPr>
        <w:pStyle w:val="NormalHanging12a"/>
        <w:rPr>
          <w:szCs w:val="24"/>
        </w:rPr>
      </w:pPr>
      <w:r w:rsidRPr="00B3557D">
        <w:t>–</w:t>
      </w:r>
      <w:r w:rsidRPr="00B3557D">
        <w:tab/>
        <w:t>Vista la propuesta de la Comisión, de 29 de mayo de 2018, de Reglamento del Parlamento Europeo y del Consejo relativo a un mecanismo para superar los obstáculos jurídicos y administrativos en un contexto transfronterizo (</w:t>
      </w:r>
      <w:proofErr w:type="gramStart"/>
      <w:r w:rsidRPr="00B3557D">
        <w:t>COM(</w:t>
      </w:r>
      <w:proofErr w:type="gramEnd"/>
      <w:r w:rsidRPr="00B3557D">
        <w:t>2018)0373),</w:t>
      </w:r>
    </w:p>
    <w:p w:rsidR="00F54608" w:rsidRPr="00B3557D" w:rsidRDefault="00F54608" w:rsidP="00F54608">
      <w:pPr>
        <w:pStyle w:val="NormalHanging12a"/>
        <w:rPr>
          <w:szCs w:val="24"/>
        </w:rPr>
      </w:pPr>
      <w:r w:rsidRPr="00B3557D">
        <w:t>–</w:t>
      </w:r>
      <w:r w:rsidRPr="00B3557D">
        <w:tab/>
        <w:t xml:space="preserve">Vista la propuesta modificada de la Comisión, de 12 de diciembre de 2023, de Reglamento del Parlamento Europeo y del Consejo relativo a un mecanismo para superar los obstáculos jurídicos y administrativos en un contexto transfronterizo </w:t>
      </w:r>
      <w:r w:rsidRPr="00B3557D">
        <w:lastRenderedPageBreak/>
        <w:t>(</w:t>
      </w:r>
      <w:proofErr w:type="gramStart"/>
      <w:r w:rsidRPr="00B3557D">
        <w:t>COM(</w:t>
      </w:r>
      <w:proofErr w:type="gramEnd"/>
      <w:r w:rsidRPr="00B3557D">
        <w:t>2023)0790),</w:t>
      </w:r>
    </w:p>
    <w:p w:rsidR="00F54608" w:rsidRPr="00B3557D" w:rsidRDefault="00F54608" w:rsidP="00F54608">
      <w:pPr>
        <w:pStyle w:val="NormalHanging12a"/>
        <w:rPr>
          <w:szCs w:val="24"/>
        </w:rPr>
      </w:pPr>
      <w:r w:rsidRPr="00B3557D">
        <w:t>–</w:t>
      </w:r>
      <w:r w:rsidRPr="00B3557D">
        <w:tab/>
        <w:t>Vista la Comunicación de la Comisión, de 30 de junio de 2021, titulada «Una visión a largo plazo para las zonas rurales de la UE: hacia unas zonas rurales más fuertes, conectadas, resilientes y prósperas antes de 2040» (</w:t>
      </w:r>
      <w:proofErr w:type="gramStart"/>
      <w:r w:rsidRPr="00B3557D">
        <w:t>COM(</w:t>
      </w:r>
      <w:proofErr w:type="gramEnd"/>
      <w:r w:rsidRPr="00B3557D">
        <w:t>2021)0345),</w:t>
      </w:r>
    </w:p>
    <w:p w:rsidR="00F54608" w:rsidRPr="00B3557D" w:rsidRDefault="00F54608" w:rsidP="00F54608">
      <w:pPr>
        <w:pStyle w:val="NormalHanging12a"/>
        <w:rPr>
          <w:szCs w:val="24"/>
        </w:rPr>
      </w:pPr>
      <w:r w:rsidRPr="00B3557D">
        <w:t>–</w:t>
      </w:r>
      <w:r w:rsidRPr="00B3557D">
        <w:tab/>
        <w:t>Vista la Agenda Territorial 2030 de la Unión Europea, aprobada en la reunión informal de ministros responsables de cohesión territorial o desarrollo territorial del 1 de diciembre de 2020,</w:t>
      </w:r>
    </w:p>
    <w:p w:rsidR="00F54608" w:rsidRPr="00B3557D" w:rsidRDefault="00F54608" w:rsidP="00F54608">
      <w:pPr>
        <w:pStyle w:val="NormalHanging12a"/>
        <w:rPr>
          <w:szCs w:val="24"/>
        </w:rPr>
      </w:pPr>
      <w:r w:rsidRPr="00B3557D">
        <w:t>–</w:t>
      </w:r>
      <w:r w:rsidRPr="00B3557D">
        <w:tab/>
        <w:t>Visto el informe del Grupo Intergubernamental de Expertos sobre el Cambio Climático de las Naciones Unidas (GIECC) de 2022 titulado «</w:t>
      </w:r>
      <w:proofErr w:type="spellStart"/>
      <w:r w:rsidRPr="00B3557D">
        <w:t>Climate</w:t>
      </w:r>
      <w:proofErr w:type="spellEnd"/>
      <w:r w:rsidRPr="00B3557D">
        <w:t xml:space="preserve"> </w:t>
      </w:r>
      <w:proofErr w:type="spellStart"/>
      <w:r w:rsidRPr="00B3557D">
        <w:t>Change</w:t>
      </w:r>
      <w:proofErr w:type="spellEnd"/>
      <w:r w:rsidRPr="00B3557D">
        <w:t xml:space="preserve"> 2022: </w:t>
      </w:r>
      <w:proofErr w:type="spellStart"/>
      <w:r w:rsidRPr="00B3557D">
        <w:t>Mitigation</w:t>
      </w:r>
      <w:proofErr w:type="spellEnd"/>
      <w:r w:rsidRPr="00B3557D">
        <w:t xml:space="preserve"> of </w:t>
      </w:r>
      <w:proofErr w:type="spellStart"/>
      <w:r w:rsidRPr="00B3557D">
        <w:t>Climate</w:t>
      </w:r>
      <w:proofErr w:type="spellEnd"/>
      <w:r w:rsidRPr="00B3557D">
        <w:t xml:space="preserve"> </w:t>
      </w:r>
      <w:proofErr w:type="spellStart"/>
      <w:r w:rsidRPr="00B3557D">
        <w:t>Change</w:t>
      </w:r>
      <w:proofErr w:type="spellEnd"/>
      <w:r w:rsidRPr="00B3557D">
        <w:t xml:space="preserve"> – </w:t>
      </w:r>
      <w:proofErr w:type="spellStart"/>
      <w:r w:rsidRPr="00B3557D">
        <w:t>Contribution</w:t>
      </w:r>
      <w:proofErr w:type="spellEnd"/>
      <w:r w:rsidRPr="00B3557D">
        <w:t xml:space="preserve"> of </w:t>
      </w:r>
      <w:proofErr w:type="spellStart"/>
      <w:r w:rsidRPr="00B3557D">
        <w:t>Working</w:t>
      </w:r>
      <w:proofErr w:type="spellEnd"/>
      <w:r w:rsidRPr="00B3557D">
        <w:t xml:space="preserve"> </w:t>
      </w:r>
      <w:proofErr w:type="spellStart"/>
      <w:r w:rsidRPr="00B3557D">
        <w:t>Group</w:t>
      </w:r>
      <w:proofErr w:type="spellEnd"/>
      <w:r w:rsidRPr="00B3557D">
        <w:t xml:space="preserve"> III to </w:t>
      </w:r>
      <w:proofErr w:type="spellStart"/>
      <w:r w:rsidRPr="00B3557D">
        <w:t>the</w:t>
      </w:r>
      <w:proofErr w:type="spellEnd"/>
      <w:r w:rsidRPr="00B3557D">
        <w:t xml:space="preserve"> </w:t>
      </w:r>
      <w:proofErr w:type="spellStart"/>
      <w:r w:rsidRPr="00B3557D">
        <w:t>Sixth</w:t>
      </w:r>
      <w:proofErr w:type="spellEnd"/>
      <w:r w:rsidRPr="00B3557D">
        <w:t xml:space="preserve"> </w:t>
      </w:r>
      <w:proofErr w:type="spellStart"/>
      <w:r w:rsidRPr="00B3557D">
        <w:t>Assessment</w:t>
      </w:r>
      <w:proofErr w:type="spellEnd"/>
      <w:r w:rsidRPr="00B3557D">
        <w:t xml:space="preserve"> </w:t>
      </w:r>
      <w:proofErr w:type="spellStart"/>
      <w:r w:rsidRPr="00B3557D">
        <w:t>Report</w:t>
      </w:r>
      <w:proofErr w:type="spellEnd"/>
      <w:r w:rsidRPr="00B3557D">
        <w:t xml:space="preserve"> of </w:t>
      </w:r>
      <w:proofErr w:type="spellStart"/>
      <w:r w:rsidRPr="00B3557D">
        <w:t>the</w:t>
      </w:r>
      <w:proofErr w:type="spellEnd"/>
      <w:r w:rsidRPr="00B3557D">
        <w:t xml:space="preserve"> </w:t>
      </w:r>
      <w:proofErr w:type="spellStart"/>
      <w:r w:rsidRPr="00B3557D">
        <w:t>Intergovernmental</w:t>
      </w:r>
      <w:proofErr w:type="spellEnd"/>
      <w:r w:rsidRPr="00B3557D">
        <w:t xml:space="preserve"> Panel </w:t>
      </w:r>
      <w:proofErr w:type="spellStart"/>
      <w:r w:rsidRPr="00B3557D">
        <w:t>on</w:t>
      </w:r>
      <w:proofErr w:type="spellEnd"/>
      <w:r w:rsidRPr="00B3557D">
        <w:t xml:space="preserve"> </w:t>
      </w:r>
      <w:proofErr w:type="spellStart"/>
      <w:r w:rsidRPr="00B3557D">
        <w:t>Climate</w:t>
      </w:r>
      <w:proofErr w:type="spellEnd"/>
      <w:r w:rsidRPr="00B3557D">
        <w:t xml:space="preserve"> </w:t>
      </w:r>
      <w:proofErr w:type="spellStart"/>
      <w:r w:rsidRPr="00B3557D">
        <w:t>Change</w:t>
      </w:r>
      <w:proofErr w:type="spellEnd"/>
      <w:r w:rsidRPr="00B3557D">
        <w:t>» (Cambio climático 2022: Mitigación del Cambio Climático. Contribución del Grupo de Trabajo III al Sexto Informe de Evaluación del Grupo Intergubernamental de Expertos sobre el Cambio Climático),</w:t>
      </w:r>
    </w:p>
    <w:p w:rsidR="00F54608" w:rsidRPr="00B3557D" w:rsidRDefault="00F54608" w:rsidP="00F54608">
      <w:pPr>
        <w:pStyle w:val="NormalHanging12a"/>
      </w:pPr>
      <w:r w:rsidRPr="00B3557D">
        <w:rPr>
          <w:lang w:val="en-GB"/>
        </w:rPr>
        <w:t>–</w:t>
      </w:r>
      <w:r w:rsidRPr="00B3557D">
        <w:rPr>
          <w:lang w:val="en-GB"/>
        </w:rPr>
        <w:tab/>
      </w:r>
      <w:proofErr w:type="spellStart"/>
      <w:r w:rsidRPr="00B3557D">
        <w:rPr>
          <w:lang w:val="en-GB"/>
        </w:rPr>
        <w:t>Visto</w:t>
      </w:r>
      <w:proofErr w:type="spellEnd"/>
      <w:r w:rsidRPr="00B3557D">
        <w:rPr>
          <w:lang w:val="en-GB"/>
        </w:rPr>
        <w:t xml:space="preserve"> el </w:t>
      </w:r>
      <w:proofErr w:type="spellStart"/>
      <w:r w:rsidRPr="00B3557D">
        <w:rPr>
          <w:lang w:val="en-GB"/>
        </w:rPr>
        <w:t>informe</w:t>
      </w:r>
      <w:proofErr w:type="spellEnd"/>
      <w:r w:rsidRPr="00B3557D">
        <w:rPr>
          <w:lang w:val="en-GB"/>
        </w:rPr>
        <w:t xml:space="preserve"> especial del GIECC de 2018 </w:t>
      </w:r>
      <w:proofErr w:type="spellStart"/>
      <w:r w:rsidRPr="00B3557D">
        <w:rPr>
          <w:lang w:val="en-GB"/>
        </w:rPr>
        <w:t>titulado</w:t>
      </w:r>
      <w:proofErr w:type="spellEnd"/>
      <w:r w:rsidRPr="00B3557D">
        <w:rPr>
          <w:lang w:val="en-GB"/>
        </w:rPr>
        <w:t xml:space="preserve"> «Global Warming of 1.5 °C, an IPCC special report on the impacts of global warming of 1.5 °C above pre-industrial levels and related global greenhouse gas emission pathways, in the context of strengthening the global response to the threat of climate change, sustainable development, and efforts to eradicate poverty». </w:t>
      </w:r>
      <w:r w:rsidRPr="00B3557D">
        <w:t>(Calentamiento global de 1,5 °C: informe especial del IPCC sobre las consecuencias de un calentamiento del planeta de 1,5 °C con respecto a los niveles preindustriales y los perfiles conexos de evolución de las emisiones mundiales de gases de efecto invernadero, en el contexto del endurecimiento de la respuesta a nivel mundial a la amenaza que plantea el cambio climático y a la necesidad de actuar en favor del desarrollo sostenible y de redoblar los esfuerzos para erradicar la pobreza),</w:t>
      </w:r>
    </w:p>
    <w:p w:rsidR="00F54608" w:rsidRPr="00B3557D" w:rsidRDefault="00F54608" w:rsidP="00F54608">
      <w:pPr>
        <w:pStyle w:val="NormalHanging12a"/>
      </w:pPr>
      <w:r w:rsidRPr="00B3557D">
        <w:t>–</w:t>
      </w:r>
      <w:r w:rsidRPr="00B3557D">
        <w:tab/>
        <w:t>Visto el informe especial del GIECC de 2019 titulado «</w:t>
      </w:r>
      <w:proofErr w:type="spellStart"/>
      <w:r w:rsidRPr="00B3557D">
        <w:t>Climate</w:t>
      </w:r>
      <w:proofErr w:type="spellEnd"/>
      <w:r w:rsidRPr="00B3557D">
        <w:t xml:space="preserve"> </w:t>
      </w:r>
      <w:proofErr w:type="spellStart"/>
      <w:r w:rsidRPr="00B3557D">
        <w:t>change</w:t>
      </w:r>
      <w:proofErr w:type="spellEnd"/>
      <w:r w:rsidRPr="00B3557D">
        <w:t xml:space="preserve"> and </w:t>
      </w:r>
      <w:proofErr w:type="spellStart"/>
      <w:r w:rsidRPr="00B3557D">
        <w:t>land</w:t>
      </w:r>
      <w:proofErr w:type="spellEnd"/>
      <w:r w:rsidRPr="00B3557D">
        <w:t xml:space="preserve">: </w:t>
      </w:r>
      <w:proofErr w:type="spellStart"/>
      <w:r w:rsidRPr="00B3557D">
        <w:t>an</w:t>
      </w:r>
      <w:proofErr w:type="spellEnd"/>
      <w:r w:rsidRPr="00B3557D">
        <w:t xml:space="preserve"> IPCC </w:t>
      </w:r>
      <w:proofErr w:type="spellStart"/>
      <w:r w:rsidRPr="00B3557D">
        <w:t>special</w:t>
      </w:r>
      <w:proofErr w:type="spellEnd"/>
      <w:r w:rsidRPr="00B3557D">
        <w:t xml:space="preserve"> </w:t>
      </w:r>
      <w:proofErr w:type="spellStart"/>
      <w:r w:rsidRPr="00B3557D">
        <w:t>report</w:t>
      </w:r>
      <w:proofErr w:type="spellEnd"/>
      <w:r w:rsidRPr="00B3557D">
        <w:t xml:space="preserve"> </w:t>
      </w:r>
      <w:proofErr w:type="spellStart"/>
      <w:r w:rsidRPr="00B3557D">
        <w:t>on</w:t>
      </w:r>
      <w:proofErr w:type="spellEnd"/>
      <w:r w:rsidRPr="00B3557D">
        <w:t xml:space="preserve"> </w:t>
      </w:r>
      <w:proofErr w:type="spellStart"/>
      <w:r w:rsidRPr="00B3557D">
        <w:t>climate</w:t>
      </w:r>
      <w:proofErr w:type="spellEnd"/>
      <w:r w:rsidRPr="00B3557D">
        <w:t xml:space="preserve"> </w:t>
      </w:r>
      <w:proofErr w:type="spellStart"/>
      <w:r w:rsidRPr="00B3557D">
        <w:t>change</w:t>
      </w:r>
      <w:proofErr w:type="spellEnd"/>
      <w:r w:rsidRPr="00B3557D">
        <w:t xml:space="preserve">, </w:t>
      </w:r>
      <w:proofErr w:type="spellStart"/>
      <w:r w:rsidRPr="00B3557D">
        <w:t>desertification</w:t>
      </w:r>
      <w:proofErr w:type="spellEnd"/>
      <w:r w:rsidRPr="00B3557D">
        <w:t xml:space="preserve">, </w:t>
      </w:r>
      <w:proofErr w:type="spellStart"/>
      <w:r w:rsidRPr="00B3557D">
        <w:t>land</w:t>
      </w:r>
      <w:proofErr w:type="spellEnd"/>
      <w:r w:rsidRPr="00B3557D">
        <w:t xml:space="preserve"> </w:t>
      </w:r>
      <w:proofErr w:type="spellStart"/>
      <w:r w:rsidRPr="00B3557D">
        <w:t>degradation</w:t>
      </w:r>
      <w:proofErr w:type="spellEnd"/>
      <w:r w:rsidRPr="00B3557D">
        <w:t xml:space="preserve">, </w:t>
      </w:r>
      <w:proofErr w:type="spellStart"/>
      <w:r w:rsidRPr="00B3557D">
        <w:t>sustainable</w:t>
      </w:r>
      <w:proofErr w:type="spellEnd"/>
      <w:r w:rsidRPr="00B3557D">
        <w:t xml:space="preserve"> </w:t>
      </w:r>
      <w:proofErr w:type="spellStart"/>
      <w:r w:rsidRPr="00B3557D">
        <w:t>land</w:t>
      </w:r>
      <w:proofErr w:type="spellEnd"/>
      <w:r w:rsidRPr="00B3557D">
        <w:t xml:space="preserve"> </w:t>
      </w:r>
      <w:proofErr w:type="spellStart"/>
      <w:r w:rsidRPr="00B3557D">
        <w:t>management</w:t>
      </w:r>
      <w:proofErr w:type="spellEnd"/>
      <w:r w:rsidRPr="00B3557D">
        <w:t xml:space="preserve">, </w:t>
      </w:r>
      <w:proofErr w:type="spellStart"/>
      <w:r w:rsidRPr="00B3557D">
        <w:t>food</w:t>
      </w:r>
      <w:proofErr w:type="spellEnd"/>
      <w:r w:rsidRPr="00B3557D">
        <w:t xml:space="preserve"> </w:t>
      </w:r>
      <w:proofErr w:type="spellStart"/>
      <w:r w:rsidRPr="00B3557D">
        <w:t>security</w:t>
      </w:r>
      <w:proofErr w:type="spellEnd"/>
      <w:r w:rsidRPr="00B3557D">
        <w:t xml:space="preserve">, and </w:t>
      </w:r>
      <w:proofErr w:type="spellStart"/>
      <w:r w:rsidRPr="00B3557D">
        <w:t>greenhouse</w:t>
      </w:r>
      <w:proofErr w:type="spellEnd"/>
      <w:r w:rsidRPr="00B3557D">
        <w:t xml:space="preserve"> gas </w:t>
      </w:r>
      <w:proofErr w:type="spellStart"/>
      <w:r w:rsidRPr="00B3557D">
        <w:t>fluxes</w:t>
      </w:r>
      <w:proofErr w:type="spellEnd"/>
      <w:r w:rsidRPr="00B3557D">
        <w:t xml:space="preserve"> in </w:t>
      </w:r>
      <w:proofErr w:type="spellStart"/>
      <w:r w:rsidRPr="00B3557D">
        <w:t>terrestrial</w:t>
      </w:r>
      <w:proofErr w:type="spellEnd"/>
      <w:r w:rsidRPr="00B3557D">
        <w:t xml:space="preserve"> </w:t>
      </w:r>
      <w:proofErr w:type="spellStart"/>
      <w:r w:rsidRPr="00B3557D">
        <w:t>ecosystems</w:t>
      </w:r>
      <w:proofErr w:type="spellEnd"/>
      <w:r w:rsidRPr="00B3557D">
        <w:t xml:space="preserve">» (El cambio climático y el suelo: informe especial del GIECC sobre el cambio climático, la desertificación, la degradación del suelo, la gestión sostenible del suelo, la seguridad alimentaria y los flujos de gases de efecto invernadero en los ecosistemas terrestres), </w:t>
      </w:r>
    </w:p>
    <w:p w:rsidR="00F54608" w:rsidRPr="00B3557D" w:rsidRDefault="00F54608" w:rsidP="00F54608">
      <w:pPr>
        <w:pStyle w:val="NormalHanging12a"/>
        <w:rPr>
          <w:szCs w:val="24"/>
        </w:rPr>
      </w:pPr>
      <w:r w:rsidRPr="00B3557D">
        <w:t>–</w:t>
      </w:r>
      <w:r w:rsidRPr="00B3557D">
        <w:tab/>
        <w:t>Visto el informe especial del GIECC de 2019 titulado «Informe especial del IPCC sobre el océano y la criosfera en un clima cambiante»,</w:t>
      </w:r>
    </w:p>
    <w:p w:rsidR="00F54608" w:rsidRPr="00B3557D" w:rsidRDefault="00F54608" w:rsidP="00F54608">
      <w:pPr>
        <w:pStyle w:val="NormalHanging12a"/>
        <w:rPr>
          <w:szCs w:val="24"/>
        </w:rPr>
      </w:pPr>
      <w:r w:rsidRPr="00B3557D">
        <w:t>–</w:t>
      </w:r>
      <w:r w:rsidRPr="00B3557D">
        <w:tab/>
        <w:t>Visto el Acuerdo adoptado en París en la 21.ª Conferencia de las Partes en la Convención Marco de las Naciones Unidas sobre el Cambio Climático (CP21) el 12 de diciembre de 2015 (en lo sucesivo, «Acuerdo de París»),</w:t>
      </w:r>
    </w:p>
    <w:p w:rsidR="00F54608" w:rsidRPr="00B3557D" w:rsidRDefault="00F54608" w:rsidP="00F54608">
      <w:pPr>
        <w:pStyle w:val="NormalHanging12a"/>
        <w:rPr>
          <w:szCs w:val="24"/>
        </w:rPr>
      </w:pPr>
      <w:r w:rsidRPr="00B3557D">
        <w:t>–</w:t>
      </w:r>
      <w:r w:rsidRPr="00B3557D">
        <w:tab/>
        <w:t>Vista su Resolución, de 23 de noviembre de 2023, sobre el aprovechamiento del talento en las regiones de Europa</w:t>
      </w:r>
      <w:r w:rsidRPr="00B3557D">
        <w:rPr>
          <w:vertAlign w:val="superscript"/>
        </w:rPr>
        <w:footnoteReference w:id="10"/>
      </w:r>
      <w:r w:rsidRPr="00B3557D">
        <w:t>,</w:t>
      </w:r>
    </w:p>
    <w:p w:rsidR="00F54608" w:rsidRPr="00B3557D" w:rsidRDefault="00F54608" w:rsidP="00F54608">
      <w:pPr>
        <w:pStyle w:val="NormalHanging12a"/>
        <w:rPr>
          <w:szCs w:val="24"/>
        </w:rPr>
      </w:pPr>
      <w:r w:rsidRPr="00B3557D">
        <w:t>–</w:t>
      </w:r>
      <w:r w:rsidRPr="00B3557D">
        <w:tab/>
        <w:t>Vista su Resolución, de 9 de mayo de 2023, sobre la función de la política de cohesión frente a los desafíos medioambientales multidimensionales de la cuenca mediterránea</w:t>
      </w:r>
      <w:r w:rsidRPr="00B3557D">
        <w:rPr>
          <w:rStyle w:val="FootnoteReference"/>
        </w:rPr>
        <w:footnoteReference w:id="11"/>
      </w:r>
      <w:r w:rsidRPr="00B3557D">
        <w:t>,</w:t>
      </w:r>
    </w:p>
    <w:p w:rsidR="00F54608" w:rsidRPr="00B3557D" w:rsidRDefault="00F54608" w:rsidP="00F54608">
      <w:pPr>
        <w:pStyle w:val="NormalHanging12a"/>
      </w:pPr>
      <w:r w:rsidRPr="00B3557D">
        <w:t>–</w:t>
      </w:r>
      <w:r w:rsidRPr="00B3557D">
        <w:tab/>
        <w:t xml:space="preserve">Vista su Resolución, de 15 de septiembre de 2022, sobre la cohesión económica, social </w:t>
      </w:r>
      <w:r w:rsidRPr="00B3557D">
        <w:lastRenderedPageBreak/>
        <w:t>y territorial en la UE: octavo informe sobre la cohesión</w:t>
      </w:r>
      <w:r w:rsidRPr="00B3557D">
        <w:rPr>
          <w:rStyle w:val="FootnoteReference"/>
          <w:color w:val="000000"/>
        </w:rPr>
        <w:footnoteReference w:id="12"/>
      </w:r>
      <w:r w:rsidRPr="00B3557D">
        <w:t>,</w:t>
      </w:r>
    </w:p>
    <w:p w:rsidR="00F54608" w:rsidRPr="00B3557D" w:rsidRDefault="00F54608" w:rsidP="00F54608">
      <w:pPr>
        <w:pStyle w:val="NormalHanging12a"/>
        <w:rPr>
          <w:szCs w:val="24"/>
        </w:rPr>
      </w:pPr>
      <w:r w:rsidRPr="00B3557D">
        <w:t>–</w:t>
      </w:r>
      <w:r w:rsidRPr="00B3557D">
        <w:tab/>
        <w:t>Vista su Resolución, de 15 de septiembre de 2022, sobre las regiones transfronterizas de la UE: verdaderos laboratorios de la integración europea</w:t>
      </w:r>
      <w:r w:rsidRPr="00B3557D">
        <w:rPr>
          <w:vertAlign w:val="superscript"/>
        </w:rPr>
        <w:footnoteReference w:id="13"/>
      </w:r>
      <w:r w:rsidRPr="00B3557D">
        <w:t>,</w:t>
      </w:r>
    </w:p>
    <w:p w:rsidR="00F54608" w:rsidRPr="00B3557D" w:rsidRDefault="00F54608" w:rsidP="00F54608">
      <w:pPr>
        <w:pStyle w:val="NormalHanging12a"/>
      </w:pPr>
      <w:r w:rsidRPr="00B3557D">
        <w:t>–</w:t>
      </w:r>
      <w:r w:rsidRPr="00B3557D">
        <w:tab/>
        <w:t>Vista su Resolución, de 15 de febrero de 2022, sobre los retos para las zonas urbanas después de la pandemia de COVID-19</w:t>
      </w:r>
      <w:r w:rsidRPr="00B3557D">
        <w:rPr>
          <w:rStyle w:val="FootnoteReference"/>
          <w:rFonts w:eastAsiaTheme="majorEastAsia"/>
          <w:color w:val="000000"/>
        </w:rPr>
        <w:footnoteReference w:id="14"/>
      </w:r>
      <w:r w:rsidRPr="00B3557D">
        <w:t>,</w:t>
      </w:r>
    </w:p>
    <w:p w:rsidR="00F54608" w:rsidRPr="00B3557D" w:rsidRDefault="00F54608" w:rsidP="00F54608">
      <w:pPr>
        <w:pStyle w:val="NormalHanging12a"/>
        <w:rPr>
          <w:szCs w:val="24"/>
        </w:rPr>
      </w:pPr>
      <w:r w:rsidRPr="00B3557D">
        <w:t>–</w:t>
      </w:r>
      <w:r w:rsidRPr="00B3557D">
        <w:tab/>
        <w:t>Vista su Resolución, de 14 de septiembre de 2021, sobre el refuerzo de la asociación con las regiones ultraperiféricas de la Unión</w:t>
      </w:r>
      <w:r w:rsidRPr="00B3557D">
        <w:rPr>
          <w:rStyle w:val="FootnoteReference"/>
        </w:rPr>
        <w:footnoteReference w:id="15"/>
      </w:r>
      <w:r w:rsidRPr="00B3557D">
        <w:t>,</w:t>
      </w:r>
    </w:p>
    <w:p w:rsidR="00F54608" w:rsidRPr="00B3557D" w:rsidRDefault="00F54608" w:rsidP="00F54608">
      <w:pPr>
        <w:pStyle w:val="NormalHanging12a"/>
      </w:pPr>
      <w:r w:rsidRPr="00B3557D">
        <w:t>–</w:t>
      </w:r>
      <w:r w:rsidRPr="00B3557D">
        <w:tab/>
        <w:t>Vista su Resolución, de 20 de mayo de 2021, sobre la inversión de las tendencias demográficas en las regiones de la Unión mediante los instrumentos de la política de cohesión</w:t>
      </w:r>
      <w:r w:rsidRPr="00B3557D">
        <w:rPr>
          <w:rStyle w:val="FootnoteReference"/>
          <w:rFonts w:eastAsiaTheme="majorEastAsia"/>
          <w:color w:val="000000"/>
        </w:rPr>
        <w:footnoteReference w:id="16"/>
      </w:r>
      <w:r w:rsidRPr="00B3557D">
        <w:t>,</w:t>
      </w:r>
    </w:p>
    <w:p w:rsidR="00F54608" w:rsidRPr="00B3557D" w:rsidRDefault="00F54608" w:rsidP="00F54608">
      <w:pPr>
        <w:pStyle w:val="NormalHanging12a"/>
      </w:pPr>
      <w:r w:rsidRPr="00B3557D">
        <w:t>–</w:t>
      </w:r>
      <w:r w:rsidRPr="00B3557D">
        <w:tab/>
        <w:t>Vista su Resolución, de 25 de marzo de 2021, sobre la política de cohesión y las estrategias medioambientales regionales en la lucha contra el cambio climático</w:t>
      </w:r>
      <w:r w:rsidRPr="00B3557D">
        <w:rPr>
          <w:rStyle w:val="FootnoteReference"/>
          <w:rFonts w:eastAsiaTheme="majorEastAsia"/>
          <w:color w:val="000000"/>
        </w:rPr>
        <w:footnoteReference w:id="17"/>
      </w:r>
      <w:r w:rsidRPr="00B3557D">
        <w:t>,</w:t>
      </w:r>
    </w:p>
    <w:p w:rsidR="00F54608" w:rsidRPr="00B3557D" w:rsidRDefault="00F54608" w:rsidP="00F54608">
      <w:pPr>
        <w:pStyle w:val="NormalHanging12a"/>
        <w:rPr>
          <w:szCs w:val="24"/>
        </w:rPr>
      </w:pPr>
      <w:r w:rsidRPr="00B3557D">
        <w:t>–</w:t>
      </w:r>
      <w:r w:rsidRPr="00B3557D">
        <w:tab/>
        <w:t>Vista su Resolución, de 13 de junio de 2018, sobre política de cohesión y economía circular</w:t>
      </w:r>
      <w:r w:rsidRPr="00B3557D">
        <w:rPr>
          <w:rStyle w:val="FootnoteReference"/>
        </w:rPr>
        <w:footnoteReference w:id="18"/>
      </w:r>
      <w:r w:rsidRPr="00B3557D">
        <w:t>,</w:t>
      </w:r>
    </w:p>
    <w:p w:rsidR="00F54608" w:rsidRPr="00B3557D" w:rsidRDefault="00F54608" w:rsidP="00F54608">
      <w:pPr>
        <w:pStyle w:val="NormalHanging12a"/>
      </w:pPr>
      <w:r w:rsidRPr="00B3557D">
        <w:t>–</w:t>
      </w:r>
      <w:r w:rsidRPr="00B3557D">
        <w:tab/>
        <w:t>Vista su Resolución, de 13 de marzo de 2018, sobre las regiones menos desarrolladas de la UE</w:t>
      </w:r>
      <w:r w:rsidRPr="00B3557D">
        <w:rPr>
          <w:rStyle w:val="FootnoteReference"/>
          <w:rFonts w:eastAsiaTheme="majorEastAsia"/>
          <w:color w:val="000000"/>
        </w:rPr>
        <w:footnoteReference w:id="19"/>
      </w:r>
      <w:r w:rsidRPr="00B3557D">
        <w:t>,</w:t>
      </w:r>
    </w:p>
    <w:p w:rsidR="00F54608" w:rsidRPr="00B3557D" w:rsidRDefault="00F54608" w:rsidP="00F54608">
      <w:pPr>
        <w:pStyle w:val="NormalHanging12a"/>
        <w:rPr>
          <w:szCs w:val="24"/>
        </w:rPr>
      </w:pPr>
      <w:r w:rsidRPr="00B3557D">
        <w:t>–</w:t>
      </w:r>
      <w:r w:rsidRPr="00B3557D">
        <w:tab/>
        <w:t>Visto el dictamen del Comité Europeo de las Regiones, de 29 de noviembre de 2023, titulado «El futuro de la política de cohesión después de 2027»</w:t>
      </w:r>
      <w:r w:rsidRPr="00B3557D">
        <w:rPr>
          <w:rStyle w:val="FootnoteReference"/>
        </w:rPr>
        <w:footnoteReference w:id="20"/>
      </w:r>
      <w:r w:rsidRPr="00B3557D">
        <w:t>,</w:t>
      </w:r>
    </w:p>
    <w:p w:rsidR="00F54608" w:rsidRPr="00B3557D" w:rsidRDefault="00F54608" w:rsidP="00F54608">
      <w:pPr>
        <w:pStyle w:val="NormalHanging12a"/>
      </w:pPr>
      <w:r w:rsidRPr="00B3557D">
        <w:t>–</w:t>
      </w:r>
      <w:r w:rsidRPr="00B3557D">
        <w:tab/>
        <w:t>Visto el Informe anual de la UE de 2022 sobre el estado de las regiones y ciudades,</w:t>
      </w:r>
    </w:p>
    <w:p w:rsidR="00F54608" w:rsidRPr="00B3557D" w:rsidRDefault="00F54608" w:rsidP="00F54608">
      <w:pPr>
        <w:pStyle w:val="NormalHanging12a"/>
        <w:rPr>
          <w:szCs w:val="24"/>
        </w:rPr>
      </w:pPr>
      <w:r w:rsidRPr="00B3557D">
        <w:t>–</w:t>
      </w:r>
      <w:r w:rsidRPr="00B3557D">
        <w:tab/>
        <w:t xml:space="preserve">Visto el estudio titulado «EU </w:t>
      </w:r>
      <w:proofErr w:type="spellStart"/>
      <w:r w:rsidRPr="00B3557D">
        <w:t>lagging</w:t>
      </w:r>
      <w:proofErr w:type="spellEnd"/>
      <w:r w:rsidRPr="00B3557D">
        <w:t xml:space="preserve"> </w:t>
      </w:r>
      <w:proofErr w:type="spellStart"/>
      <w:r w:rsidRPr="00B3557D">
        <w:t>regions</w:t>
      </w:r>
      <w:proofErr w:type="spellEnd"/>
      <w:r w:rsidRPr="00B3557D">
        <w:t xml:space="preserve">: </w:t>
      </w:r>
      <w:proofErr w:type="spellStart"/>
      <w:r w:rsidRPr="00B3557D">
        <w:t>state</w:t>
      </w:r>
      <w:proofErr w:type="spellEnd"/>
      <w:r w:rsidRPr="00B3557D">
        <w:t xml:space="preserve"> of </w:t>
      </w:r>
      <w:proofErr w:type="spellStart"/>
      <w:r w:rsidRPr="00B3557D">
        <w:t>play</w:t>
      </w:r>
      <w:proofErr w:type="spellEnd"/>
      <w:r w:rsidRPr="00B3557D">
        <w:t xml:space="preserve"> and </w:t>
      </w:r>
      <w:proofErr w:type="spellStart"/>
      <w:r w:rsidRPr="00B3557D">
        <w:t>future</w:t>
      </w:r>
      <w:proofErr w:type="spellEnd"/>
      <w:r w:rsidRPr="00B3557D">
        <w:t xml:space="preserve"> </w:t>
      </w:r>
      <w:proofErr w:type="spellStart"/>
      <w:r w:rsidRPr="00B3557D">
        <w:t>challenges</w:t>
      </w:r>
      <w:proofErr w:type="spellEnd"/>
      <w:r w:rsidRPr="00B3557D">
        <w:t>» (Regiones menos desarrolladas de la UE: situación actual y retos futuros), publicado por su Dirección General de Políticas Interiores de la Unión el 26 de octubre de 2020</w:t>
      </w:r>
      <w:r w:rsidRPr="00B3557D">
        <w:rPr>
          <w:rStyle w:val="FootnoteReference"/>
        </w:rPr>
        <w:footnoteReference w:id="21"/>
      </w:r>
      <w:r w:rsidRPr="00B3557D">
        <w:t>,</w:t>
      </w:r>
    </w:p>
    <w:p w:rsidR="00F54608" w:rsidRPr="00B3557D" w:rsidRDefault="00F54608" w:rsidP="00F54608">
      <w:pPr>
        <w:pStyle w:val="NormalHanging12a"/>
      </w:pPr>
      <w:r w:rsidRPr="00B3557D">
        <w:t>–</w:t>
      </w:r>
      <w:r w:rsidRPr="00B3557D">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rsidR="00F54608" w:rsidRPr="00B3557D" w:rsidRDefault="00F54608" w:rsidP="00F54608">
      <w:pPr>
        <w:pStyle w:val="NormalHanging12a"/>
      </w:pPr>
      <w:r w:rsidRPr="00B3557D">
        <w:lastRenderedPageBreak/>
        <w:t>–</w:t>
      </w:r>
      <w:r w:rsidRPr="00B3557D">
        <w:tab/>
        <w:t>Vista la carta de la Comisión de Agricultura y Desarrollo Rural,</w:t>
      </w:r>
    </w:p>
    <w:p w:rsidR="00F54608" w:rsidRPr="00B3557D" w:rsidRDefault="00F54608" w:rsidP="00F54608">
      <w:pPr>
        <w:pStyle w:val="NormalHanging12a"/>
      </w:pPr>
      <w:r w:rsidRPr="00B3557D">
        <w:t>–</w:t>
      </w:r>
      <w:r w:rsidRPr="00B3557D">
        <w:tab/>
        <w:t>Visto el informe de la Comisión de Desarrollo Regional (A9</w:t>
      </w:r>
      <w:r w:rsidRPr="00B3557D">
        <w:noBreakHyphen/>
        <w:t>0049/2024),</w:t>
      </w:r>
    </w:p>
    <w:p w:rsidR="00F54608" w:rsidRPr="00B3557D" w:rsidRDefault="00F54608" w:rsidP="00F54608">
      <w:pPr>
        <w:pStyle w:val="NormalHanging12a"/>
        <w:rPr>
          <w:szCs w:val="24"/>
        </w:rPr>
      </w:pPr>
      <w:r w:rsidRPr="00B3557D">
        <w:t>A.</w:t>
      </w:r>
      <w:r w:rsidRPr="00B3557D">
        <w:tab/>
        <w:t>Considerando que en el período de programación 2014</w:t>
      </w:r>
      <w:r w:rsidRPr="00B3557D">
        <w:noBreakHyphen/>
        <w:t xml:space="preserve">2020, la política de cohesión, como principal política de inversión de la Unión Europea, respaldó eficazmente su objetivo basado en el Tratado de lograr la cohesión económica, social y territorial en toda la Unión; que fue asimismo un pilar de inversión esencial para la Estrategia Europa 2020, contribuyendo a su objetivo de alcanzar un crecimiento inteligente, sostenible e integrador; que la política de cohesión es el único instrumento de desarrollo orientado a las necesidades regionales y locales y a, </w:t>
      </w:r>
      <w:r w:rsidRPr="00B3557D">
        <w:rPr>
          <w:i/>
          <w:iCs/>
        </w:rPr>
        <w:t xml:space="preserve">inter </w:t>
      </w:r>
      <w:proofErr w:type="spellStart"/>
      <w:r w:rsidRPr="00B3557D">
        <w:rPr>
          <w:i/>
          <w:iCs/>
        </w:rPr>
        <w:t>alia</w:t>
      </w:r>
      <w:proofErr w:type="spellEnd"/>
      <w:r w:rsidRPr="00B3557D">
        <w:t>, abordar los efectos negativos del cambio climático;</w:t>
      </w:r>
    </w:p>
    <w:p w:rsidR="00F54608" w:rsidRPr="00B3557D" w:rsidRDefault="00F54608" w:rsidP="00F54608">
      <w:pPr>
        <w:pStyle w:val="NormalHanging12a"/>
      </w:pPr>
      <w:r w:rsidRPr="00B3557D">
        <w:t>B.</w:t>
      </w:r>
      <w:r w:rsidRPr="00B3557D">
        <w:tab/>
        <w:t>Considerando que el cambio climático está afectando a todas las regiones de la Unión, y provoca cambios drásticos en la vida de las personas; que, por tanto, el cambio climático plantea una amenaza importante a la cohesión de la Unión;</w:t>
      </w:r>
    </w:p>
    <w:p w:rsidR="00F54608" w:rsidRPr="00B3557D" w:rsidRDefault="00F54608" w:rsidP="00F54608">
      <w:pPr>
        <w:pStyle w:val="NormalHanging12a"/>
        <w:rPr>
          <w:szCs w:val="24"/>
        </w:rPr>
      </w:pPr>
      <w:r w:rsidRPr="00B3557D">
        <w:t>C.</w:t>
      </w:r>
      <w:r w:rsidRPr="00B3557D">
        <w:tab/>
        <w:t>Considerando que las inversiones de la política de cohesión en el conjunto de la Unión han generado efectos positivos sin precedentes en regiones, ciudades, islas y zonas rurales, fronterizas y remotas; que, de manera directa o indirecta, todos los Estados miembros de la Unión han experimentado los efectos positivos de la financiación a través del presupuesto de la Unión; que los resultados de los múltiples proyectos locales confirman el papel indispensable de la inversión regional y local a través de la política de cohesión y ponen de relieve su función y su visibilidad en el marco financiero plurianual (MFP);</w:t>
      </w:r>
    </w:p>
    <w:p w:rsidR="00F54608" w:rsidRPr="00B3557D" w:rsidRDefault="00F54608" w:rsidP="00F54608">
      <w:pPr>
        <w:pStyle w:val="NormalHanging12a"/>
        <w:rPr>
          <w:szCs w:val="24"/>
        </w:rPr>
      </w:pPr>
      <w:r w:rsidRPr="00B3557D">
        <w:t>D.</w:t>
      </w:r>
      <w:r w:rsidRPr="00B3557D">
        <w:tab/>
        <w:t xml:space="preserve">Considerando que el enfoque de inversión </w:t>
      </w:r>
      <w:proofErr w:type="spellStart"/>
      <w:r w:rsidRPr="00B3557D">
        <w:t>multiprioritario</w:t>
      </w:r>
      <w:proofErr w:type="spellEnd"/>
      <w:r w:rsidRPr="00B3557D">
        <w:t xml:space="preserve"> de la política de cohesión, combinado con su gestión compartida, han contribuido a las prioridades de la Unión, a saber, el apoyo a las pequeñas y medianas empresas (pymes), la investigación y la innovación, la digitalización, el desarrollo rural, la mejora de las infraestructuras urbanas, el turismo sostenible, las infraestructuras de transporte, la cultura y la educación, la asistencia sanitaria, las políticas sociales, los proyectos transfronterizos, la transición energética, la eficiencia energética, el clima y el medio ambiente;</w:t>
      </w:r>
    </w:p>
    <w:p w:rsidR="00F54608" w:rsidRPr="00B3557D" w:rsidRDefault="00F54608" w:rsidP="00F54608">
      <w:pPr>
        <w:pStyle w:val="NormalHanging12a"/>
        <w:rPr>
          <w:szCs w:val="24"/>
        </w:rPr>
      </w:pPr>
      <w:r w:rsidRPr="00B3557D">
        <w:t>E.</w:t>
      </w:r>
      <w:r w:rsidRPr="00B3557D">
        <w:tab/>
        <w:t>Considerando que, a través de instrumentos como la Iniciativa de Inversión en Respuesta al Coronavirus y la Iniciativa de Inversión en Respuesta al Coronavirus Plus, la Acción de Cohesión para los Refugiados en Europa (CARE), la Asistencia Flexible para los Territorios (FAST-CARE) y el Apoyo a la Energía Asequible (SAFE), la política de cohesión ha actuado como un baluarte estructural frente a las numerosas crisis sucesivas que han afectado a la Unión a lo largo del período de programación 2014</w:t>
      </w:r>
      <w:r w:rsidRPr="00B3557D">
        <w:noBreakHyphen/>
        <w:t>2020, como la pandemia de COVID-19 —durante la cual salvaguardó empleos y ayudó a las empresas afectadas—, así como las crisis de los refugiados, de la energía y de la inflación causadas por la guerra de agresión de Rusia contra Ucrania;</w:t>
      </w:r>
    </w:p>
    <w:p w:rsidR="00F54608" w:rsidRPr="00B3557D" w:rsidRDefault="00F54608" w:rsidP="00F54608">
      <w:pPr>
        <w:pStyle w:val="NormalHanging12a"/>
        <w:rPr>
          <w:szCs w:val="24"/>
        </w:rPr>
      </w:pPr>
      <w:r w:rsidRPr="00B3557D">
        <w:t>F.</w:t>
      </w:r>
      <w:r w:rsidRPr="00B3557D">
        <w:tab/>
        <w:t>Considerando que la política de cohesión aglutina a la Unión; que la reducción de su presupuesto o su renacionalización podrían debilitar a la Unión y alimentar en toda la Unión un sentimiento contrario a esta;</w:t>
      </w:r>
    </w:p>
    <w:p w:rsidR="00F54608" w:rsidRPr="00B3557D" w:rsidRDefault="00F54608" w:rsidP="00F54608">
      <w:pPr>
        <w:pStyle w:val="NormalHanging12a"/>
      </w:pPr>
      <w:r w:rsidRPr="00B3557D">
        <w:t>G.</w:t>
      </w:r>
      <w:r w:rsidRPr="00B3557D">
        <w:tab/>
        <w:t>Considerando que la agenda urbana europea, que se basa en la Carta de Leipzig, apoya los objetivos de la Agenda Territorial 2030;</w:t>
      </w:r>
    </w:p>
    <w:p w:rsidR="00F54608" w:rsidRPr="00B3557D" w:rsidRDefault="00F54608" w:rsidP="00F54608">
      <w:pPr>
        <w:pStyle w:val="NormalHanging12a"/>
        <w:rPr>
          <w:szCs w:val="24"/>
        </w:rPr>
      </w:pPr>
      <w:r w:rsidRPr="00B3557D">
        <w:lastRenderedPageBreak/>
        <w:t>H.</w:t>
      </w:r>
      <w:r w:rsidRPr="00B3557D">
        <w:tab/>
        <w:t>Considerando que los retos a los que se enfrentan las regiones europeas se detectan y gestionan a nivel territorial; que el uso reiterado de la política de cohesión para responder a crisis y emergencias pone en peligro la viabilidad de esta política; que el Tribunal de Cuentas ha señalado que deben analizarse atentamente los efectos de esta erosión constante de los recursos para la cohesión en los objetivos a largo plazo de la política</w:t>
      </w:r>
      <w:r w:rsidRPr="00B3557D">
        <w:rPr>
          <w:vertAlign w:val="superscript"/>
        </w:rPr>
        <w:footnoteReference w:id="22"/>
      </w:r>
      <w:r w:rsidRPr="00B3557D">
        <w:t>;</w:t>
      </w:r>
    </w:p>
    <w:p w:rsidR="00F54608" w:rsidRPr="00B3557D" w:rsidRDefault="00F54608" w:rsidP="00F54608">
      <w:pPr>
        <w:pStyle w:val="NormalHanging12a"/>
        <w:rPr>
          <w:szCs w:val="24"/>
        </w:rPr>
      </w:pPr>
      <w:r w:rsidRPr="00B3557D">
        <w:t>I.</w:t>
      </w:r>
      <w:r w:rsidRPr="00B3557D">
        <w:tab/>
        <w:t>Considerando que la política de cohesión es una política de inversión a largo plazo y no debe convertirse en la fuente de financiación de emergencia preferida a la hora de hacer frente a cualquier reto o acontecimiento imprevisto, ya que ello socava el enfoque estratégico de la política; que deben establecerse normas claras sobre el uso de los fondos de la política de cohesión al objeto de garantizar tanto un enfoque estructural como la necesidad de hacer frente a acontecimientos imprevistos;</w:t>
      </w:r>
    </w:p>
    <w:p w:rsidR="00F54608" w:rsidRPr="00B3557D" w:rsidRDefault="00F54608" w:rsidP="00F54608">
      <w:pPr>
        <w:pStyle w:val="NormalHanging12a"/>
        <w:rPr>
          <w:szCs w:val="24"/>
        </w:rPr>
      </w:pPr>
      <w:r w:rsidRPr="00B3557D">
        <w:t>J.</w:t>
      </w:r>
      <w:r w:rsidRPr="00B3557D">
        <w:tab/>
        <w:t>Considerando que existe un número cada vez mayor de fondos e instrumentos diseminados en diferentes marcos jurídicos y estratégicos, en particular el Mecanismo de Recuperación y Resiliencia (MRR), que acomete las prioridades de cohesión en virtud de un marco jurídico y un modelo de aplicación diferentes, y el Fondo Europeo Agrícola de Desarrollo Rural (Feader), que ya no forma parte de los Fondos Estructurales y de Inversión Europeos (Fondos EIE);</w:t>
      </w:r>
    </w:p>
    <w:p w:rsidR="00F54608" w:rsidRPr="00B3557D" w:rsidRDefault="00F54608" w:rsidP="00F54608">
      <w:pPr>
        <w:pStyle w:val="NormalHanging12a"/>
        <w:rPr>
          <w:szCs w:val="24"/>
        </w:rPr>
      </w:pPr>
      <w:r w:rsidRPr="00B3557D">
        <w:t>K.</w:t>
      </w:r>
      <w:r w:rsidRPr="00B3557D">
        <w:tab/>
        <w:t>Considerando que se está produciendo una erosión cada vez mayor de esta política, con la aparición de fondos temáticos e iniciativas que apoyan sectores u objetivos concretos y dependen de las contribuciones de la política de cohesión, como la Plataforma de Tecnologías Estratégicas para Europa, la Ley de Apoyo a la Producción de Municiones, la Ayuda a la Recuperación para la Cohesión y los Territorios de Europa (REACT</w:t>
      </w:r>
      <w:r w:rsidRPr="00B3557D">
        <w:noBreakHyphen/>
        <w:t>UE) y REPowerEU; que esta situación diluye el enfoque territorial de la política;</w:t>
      </w:r>
    </w:p>
    <w:p w:rsidR="00F54608" w:rsidRPr="00B3557D" w:rsidRDefault="00F54608" w:rsidP="00F54608">
      <w:pPr>
        <w:pStyle w:val="NormalHanging12a"/>
        <w:rPr>
          <w:szCs w:val="24"/>
        </w:rPr>
      </w:pPr>
      <w:r w:rsidRPr="00B3557D">
        <w:t>L.</w:t>
      </w:r>
      <w:r w:rsidRPr="00B3557D">
        <w:tab/>
        <w:t>Considerando que la gestión eficiente de los fondos de la política de cohesión es crucial para satisfacer los objetivos y las necesidades de desarrollo regional y local;</w:t>
      </w:r>
    </w:p>
    <w:p w:rsidR="00F54608" w:rsidRPr="00B3557D" w:rsidRDefault="00F54608" w:rsidP="00F54608">
      <w:pPr>
        <w:pStyle w:val="NormalHanging12a"/>
      </w:pPr>
      <w:r w:rsidRPr="00B3557D">
        <w:t>M.</w:t>
      </w:r>
      <w:r w:rsidRPr="00B3557D">
        <w:tab/>
        <w:t>Considerando que el sistema de control de los fondos de la política de cohesión se diseñó principalmente con el fin de detectar errores, pero que no detecta los fraudes con facilidad;</w:t>
      </w:r>
    </w:p>
    <w:p w:rsidR="00F54608" w:rsidRPr="00B3557D" w:rsidRDefault="00F54608" w:rsidP="00F54608">
      <w:pPr>
        <w:pStyle w:val="NormalHanging12a"/>
      </w:pPr>
      <w:r w:rsidRPr="00B3557D">
        <w:t>N.</w:t>
      </w:r>
      <w:r w:rsidRPr="00B3557D">
        <w:tab/>
        <w:t>Considerando que la lucha contra el fraude debe basarse en una cooperación intensificada y directa entre los servicios de la Comisión y la Fiscalía Europea; que la falta de una distinción clara entre error, anomalía y fraude complica de forma notable la gestión y la aplicación de la política de cohesión;</w:t>
      </w:r>
    </w:p>
    <w:p w:rsidR="00F54608" w:rsidRPr="00B3557D" w:rsidRDefault="00F54608" w:rsidP="00F54608">
      <w:pPr>
        <w:pStyle w:val="NormalHanging12a"/>
        <w:rPr>
          <w:szCs w:val="24"/>
        </w:rPr>
      </w:pPr>
      <w:r w:rsidRPr="00B3557D">
        <w:t>O.</w:t>
      </w:r>
      <w:r w:rsidRPr="00B3557D">
        <w:tab/>
        <w:t>Considerando que el retraso en la adopción del MFP 2021</w:t>
      </w:r>
      <w:r w:rsidRPr="00B3557D">
        <w:noBreakHyphen/>
        <w:t>2027, las múltiples crisis recientes y la introducción de los instrumentos NextGenerationEU obstaculizaron la rápida aplicación de la política de cohesión en toda la Unión, originaron problemas de programación y aplicación y generaron incertidumbre en las inversiones regionales y locales de la Unión previstas;</w:t>
      </w:r>
    </w:p>
    <w:p w:rsidR="00F54608" w:rsidRPr="00B3557D" w:rsidRDefault="00F54608" w:rsidP="00F54608">
      <w:pPr>
        <w:pStyle w:val="NormalHanging12a"/>
        <w:rPr>
          <w:szCs w:val="24"/>
        </w:rPr>
      </w:pPr>
      <w:r w:rsidRPr="00B3557D">
        <w:t>P.</w:t>
      </w:r>
      <w:r w:rsidRPr="00B3557D">
        <w:tab/>
        <w:t xml:space="preserve">Considerando que, dado que la base jurídica del MRR es el artículo 175 del TFUE, los Estados miembros y la Comisión deberían haber perseguido los objetivos de cohesión económica, social y territorial y haberlo coordinado eficazmente con la política de </w:t>
      </w:r>
      <w:r w:rsidRPr="00B3557D">
        <w:lastRenderedPageBreak/>
        <w:t>cohesión;</w:t>
      </w:r>
    </w:p>
    <w:p w:rsidR="00F54608" w:rsidRPr="00B3557D" w:rsidRDefault="00F54608" w:rsidP="00F54608">
      <w:pPr>
        <w:pStyle w:val="NormalHanging12a"/>
        <w:rPr>
          <w:szCs w:val="24"/>
        </w:rPr>
      </w:pPr>
      <w:r w:rsidRPr="00B3557D">
        <w:t>Q.</w:t>
      </w:r>
      <w:r w:rsidRPr="00B3557D">
        <w:tab/>
        <w:t>Considerando que, en muchos casos, los Estados han ejecutado el MRR de forma concurrente con la política de cohesión, a menudo sin consultar ni cooperar con las autoridades regionales y locales, incluso a la hora de evaluar lo que se ha ejecutado; que las regiones de la Unión suelen estar más dispuestas y capacitadas que los Gobiernos de los Estados miembros a la hora de ejecutar esta financiación;</w:t>
      </w:r>
    </w:p>
    <w:p w:rsidR="00F54608" w:rsidRPr="00B3557D" w:rsidRDefault="00F54608" w:rsidP="00F54608">
      <w:pPr>
        <w:pStyle w:val="NormalHanging12a"/>
        <w:rPr>
          <w:szCs w:val="24"/>
        </w:rPr>
      </w:pPr>
      <w:r w:rsidRPr="00B3557D">
        <w:t>R.</w:t>
      </w:r>
      <w:r w:rsidRPr="00B3557D">
        <w:tab/>
        <w:t>Considerando que la última fase de ejecución del MFP 2014</w:t>
      </w:r>
      <w:r w:rsidRPr="00B3557D">
        <w:noBreakHyphen/>
        <w:t>2020 fue especialmente exigente, ya que el final del período de programación, la financiación adicional proporcionada en respuesta a las recientes crisis, también a través de NextGenerationEU, y el inicio del período de programación 2021-2027 coincidieron en el tiempo y ejercieron una presión adicional sobre las administraciones nacionales, regionales y locales, lo que ralentizó el ritmo de ejecución y afectó negativamente a sus capacidades de seguimiento y auditoría; que, según el Tribunal de Cuentas Europeo, la presión de gastar grandes importes en un período de tiempo muy corto ha contribuido lamentablemente a un aumento del gasto irregular</w:t>
      </w:r>
      <w:r w:rsidRPr="00B3557D">
        <w:rPr>
          <w:vertAlign w:val="superscript"/>
        </w:rPr>
        <w:footnoteReference w:id="23"/>
      </w:r>
      <w:r w:rsidRPr="00B3557D">
        <w:t>;</w:t>
      </w:r>
    </w:p>
    <w:p w:rsidR="00F54608" w:rsidRPr="00B3557D" w:rsidRDefault="00F54608" w:rsidP="00F54608">
      <w:pPr>
        <w:pStyle w:val="NormalHanging12a"/>
        <w:rPr>
          <w:szCs w:val="24"/>
        </w:rPr>
      </w:pPr>
      <w:r w:rsidRPr="00B3557D">
        <w:t>S.</w:t>
      </w:r>
      <w:r w:rsidRPr="00B3557D">
        <w:tab/>
        <w:t>Considerando que los porcentajes de aplicación de la política de cohesión difieren significativamente entre los Estados miembros y entre los programas de financiación; que algunos Estados miembros y regiones tienen porcentajes de aplicación sistemáticamente bajos, lo que requiere que se preste más atención a la eficacia de la gestión de estos programas;</w:t>
      </w:r>
    </w:p>
    <w:p w:rsidR="00F54608" w:rsidRPr="00B3557D" w:rsidRDefault="00F54608" w:rsidP="00F54608">
      <w:pPr>
        <w:pStyle w:val="NormalHanging12a"/>
        <w:rPr>
          <w:szCs w:val="24"/>
        </w:rPr>
      </w:pPr>
      <w:r w:rsidRPr="00B3557D">
        <w:t>T.</w:t>
      </w:r>
      <w:r w:rsidRPr="00B3557D">
        <w:tab/>
        <w:t>Considerando que, a pesar de las mejoras normativas introducidas en el período de programación de 2014</w:t>
      </w:r>
      <w:r w:rsidRPr="00B3557D">
        <w:noBreakHyphen/>
        <w:t>2020 y de las mejoras en el marco regulador en 2021</w:t>
      </w:r>
      <w:r w:rsidRPr="00B3557D">
        <w:noBreakHyphen/>
        <w:t>2027, todavía persisten varios retos; que la aplicación de la política de cohesión ha demostrado ser muy compleja para las autoridades de gestión, las entidades regionales y locales competentes y los beneficiarios finales;</w:t>
      </w:r>
    </w:p>
    <w:p w:rsidR="00F54608" w:rsidRPr="00B3557D" w:rsidRDefault="00F54608" w:rsidP="00F54608">
      <w:pPr>
        <w:pStyle w:val="NormalHanging12a"/>
        <w:rPr>
          <w:szCs w:val="24"/>
        </w:rPr>
      </w:pPr>
      <w:r w:rsidRPr="00B3557D">
        <w:t>U.</w:t>
      </w:r>
      <w:r w:rsidRPr="00B3557D">
        <w:tab/>
        <w:t>Considerando que las normas de contratación pública en muchos Estados miembros, junto con la auditoría y el seguimiento nacionales correspondientes, generan una carga adicional para las autoridades de gestión y los beneficiarios;</w:t>
      </w:r>
    </w:p>
    <w:p w:rsidR="00F54608" w:rsidRPr="00B3557D" w:rsidRDefault="00F54608" w:rsidP="00F54608">
      <w:pPr>
        <w:pStyle w:val="NormalHanging12a"/>
        <w:rPr>
          <w:szCs w:val="24"/>
        </w:rPr>
      </w:pPr>
      <w:r w:rsidRPr="00B3557D">
        <w:t>V.</w:t>
      </w:r>
      <w:r w:rsidRPr="00B3557D">
        <w:tab/>
        <w:t>Considerando que, si bien reviste suma importancia que se siga un enfoque estratégico a lo largo de todo el período de programación, debe ser posible reevaluar y ajustar este enfoque a mitad del período; que, no obstante, es necesario un grado suficiente de flexibilidad en la programación de la política de cohesión al objeto de hacer frente a acontecimientos imprevistos que se produzcan durante el período de programación;</w:t>
      </w:r>
    </w:p>
    <w:p w:rsidR="00F54608" w:rsidRPr="00B3557D" w:rsidRDefault="00F54608" w:rsidP="00F54608">
      <w:pPr>
        <w:pStyle w:val="NormalHanging12a"/>
        <w:rPr>
          <w:szCs w:val="24"/>
        </w:rPr>
      </w:pPr>
      <w:r w:rsidRPr="00B3557D">
        <w:t>W.</w:t>
      </w:r>
      <w:r w:rsidRPr="00B3557D">
        <w:tab/>
        <w:t>Considerando que la financiación de la política de cohesión debe respetar la Carta de los Derechos Fundamentales de la Unión Europea, los principios del Estado de Derecho y el Código de Conducta Europeo sobre las asociaciones</w:t>
      </w:r>
      <w:r w:rsidRPr="00B3557D">
        <w:rPr>
          <w:rStyle w:val="FootnoteReference"/>
        </w:rPr>
        <w:footnoteReference w:id="24"/>
      </w:r>
      <w:r w:rsidRPr="00B3557D">
        <w:t>;</w:t>
      </w:r>
    </w:p>
    <w:p w:rsidR="00F54608" w:rsidRPr="00B3557D" w:rsidRDefault="00F54608" w:rsidP="00F54608">
      <w:pPr>
        <w:pStyle w:val="NormalHanging12a"/>
        <w:rPr>
          <w:szCs w:val="24"/>
        </w:rPr>
      </w:pPr>
      <w:r w:rsidRPr="00B3557D">
        <w:t>X.</w:t>
      </w:r>
      <w:r w:rsidRPr="00B3557D">
        <w:tab/>
        <w:t xml:space="preserve">Considerando que los principios de gobernanza multinivel y asociación han de reforzarse de forma significativa a fin de involucrar eficazmente al nivel regional y local </w:t>
      </w:r>
      <w:r w:rsidRPr="00B3557D">
        <w:lastRenderedPageBreak/>
        <w:t>en los procesos de programación, reprogramación y ejecución de los fondos europeos;</w:t>
      </w:r>
    </w:p>
    <w:p w:rsidR="00F54608" w:rsidRPr="00B3557D" w:rsidRDefault="00F54608" w:rsidP="00F54608">
      <w:pPr>
        <w:pStyle w:val="NormalHanging12a"/>
        <w:rPr>
          <w:szCs w:val="24"/>
        </w:rPr>
      </w:pPr>
      <w:r w:rsidRPr="00B3557D">
        <w:t>Y.</w:t>
      </w:r>
      <w:r w:rsidRPr="00B3557D">
        <w:tab/>
        <w:t>Considerando que la política de cohesión ha contribuido eficazmente a reducir las disparidades a lo largo de los años, pero que, como se desprende claramente del octavo informe sobre la cohesión, persisten algunas desigualdades entre Estados miembros, entre regiones y dentro de ellas, entre diferentes tipos de zonas (a que se refieren los artículos 174 y 349 del TFUE) y dentro de las zonas urbanas más ricas; que también han surgido nuevas disparidades, como la brecha regional en materia de innovación;</w:t>
      </w:r>
    </w:p>
    <w:p w:rsidR="00F54608" w:rsidRPr="00B3557D" w:rsidRDefault="00F54608" w:rsidP="00F54608">
      <w:pPr>
        <w:pStyle w:val="NormalHanging12a"/>
      </w:pPr>
      <w:r w:rsidRPr="00B3557D">
        <w:t>Z.</w:t>
      </w:r>
      <w:r w:rsidRPr="00B3557D">
        <w:tab/>
        <w:t>Considerando que las regiones ultraperiféricas y los territorios insulares con el estatuto de países y territorios de ultramar se enfrentan a un número significativo de limitaciones estructurales y están menos desarrollados que las regiones continentales de sus Estados miembros; que un entorno reglamentario estable y predecible es especialmente importante para una gestión eficiente de los fondos de cohesión en esas regiones;</w:t>
      </w:r>
    </w:p>
    <w:p w:rsidR="00F54608" w:rsidRPr="00B3557D" w:rsidRDefault="00F54608" w:rsidP="00F54608">
      <w:pPr>
        <w:pStyle w:val="NormalHanging12a"/>
        <w:rPr>
          <w:szCs w:val="24"/>
        </w:rPr>
      </w:pPr>
      <w:r w:rsidRPr="00B3557D">
        <w:t>AA.</w:t>
      </w:r>
      <w:r w:rsidRPr="00B3557D">
        <w:tab/>
        <w:t>Considerando que las transiciones ecológica y digital están evolucionando a velocidades muy diferentes en toda la Unión y deben gestionarse adecuadamente para evitar efectos adversos en determinadas regiones e incluso mayores disparidades;</w:t>
      </w:r>
    </w:p>
    <w:p w:rsidR="00F54608" w:rsidRPr="00B3557D" w:rsidRDefault="00F54608" w:rsidP="00F54608">
      <w:pPr>
        <w:pStyle w:val="NormalHanging12a"/>
        <w:rPr>
          <w:szCs w:val="24"/>
        </w:rPr>
      </w:pPr>
      <w:r w:rsidRPr="00B3557D">
        <w:t>AB.</w:t>
      </w:r>
      <w:r w:rsidRPr="00B3557D">
        <w:tab/>
        <w:t>Considerando que, mientras que las regiones orientales de la Unión se han puesto al día, otras regiones, en especial del sur de Europa, se han estancado; que determinadas regiones están cayendo en una trampa de desarrollo, caracterizada por largos períodos de crecimiento lento o negativo, baja productividad y bajos niveles de creación de empleo;</w:t>
      </w:r>
    </w:p>
    <w:p w:rsidR="00F54608" w:rsidRPr="00B3557D" w:rsidRDefault="00F54608" w:rsidP="00F54608">
      <w:pPr>
        <w:pStyle w:val="NormalHanging12a"/>
        <w:rPr>
          <w:szCs w:val="24"/>
        </w:rPr>
      </w:pPr>
      <w:r w:rsidRPr="00B3557D">
        <w:t>AC.</w:t>
      </w:r>
      <w:r w:rsidRPr="00B3557D">
        <w:tab/>
        <w:t>Considerando que la guerra de agresión rusa contra Ucrania ha afectado especialmente a las zonas fronterizas orientales de la Unión;</w:t>
      </w:r>
    </w:p>
    <w:p w:rsidR="00F54608" w:rsidRPr="00B3557D" w:rsidRDefault="00F54608" w:rsidP="00F54608">
      <w:pPr>
        <w:pStyle w:val="NormalHanging12a"/>
        <w:rPr>
          <w:szCs w:val="24"/>
        </w:rPr>
      </w:pPr>
      <w:r w:rsidRPr="00B3557D">
        <w:t>AD.</w:t>
      </w:r>
      <w:r w:rsidRPr="00B3557D">
        <w:tab/>
        <w:t>Considerando que el envejecimiento demográfico en la Unión en su conjunto ha redundado en una reducción de la población en edad de trabajar; que algunas regiones de la Unión se enfrentan a una salida continua de sus trabajadores jóvenes y cualificados; que las regiones rurales, periféricas, ultraperiféricas y en transición industrial de la Unión se ven especialmente afectadas por estas preocupantes tendencias demográficas; que estas tendencias, si no se abordan, tendrán a largo plazo efectos no deseados en la Unión;</w:t>
      </w:r>
    </w:p>
    <w:p w:rsidR="00F54608" w:rsidRPr="00B3557D" w:rsidRDefault="00F54608" w:rsidP="00F54608">
      <w:pPr>
        <w:pStyle w:val="NormalHanging12a"/>
      </w:pPr>
      <w:r w:rsidRPr="00B3557D">
        <w:t>AE.</w:t>
      </w:r>
      <w:r w:rsidRPr="00B3557D">
        <w:tab/>
        <w:t>Considerando que los procesos de preadhesión y ampliación de la Unión requieren un papel bien equilibrado y orientado del desarrollo regional y la política de cohesión;</w:t>
      </w:r>
    </w:p>
    <w:p w:rsidR="00F54608" w:rsidRPr="00B3557D" w:rsidRDefault="00F54608" w:rsidP="00F54608">
      <w:pPr>
        <w:pStyle w:val="NormalHanging12a"/>
        <w:rPr>
          <w:b/>
          <w:i/>
        </w:rPr>
      </w:pPr>
      <w:r w:rsidRPr="00B3557D">
        <w:rPr>
          <w:b/>
          <w:i/>
        </w:rPr>
        <w:t>Resultados</w:t>
      </w:r>
    </w:p>
    <w:p w:rsidR="00F54608" w:rsidRPr="00B3557D" w:rsidRDefault="00F54608" w:rsidP="00F54608">
      <w:pPr>
        <w:pStyle w:val="NormalHanging12a"/>
        <w:rPr>
          <w:szCs w:val="24"/>
        </w:rPr>
      </w:pPr>
      <w:r w:rsidRPr="00B3557D">
        <w:t>1.</w:t>
      </w:r>
      <w:r w:rsidRPr="00B3557D">
        <w:tab/>
        <w:t>Observa que las evaluaciones llevadas a cabo por los Estados miembros sobre los resultados de las inversiones de la política de cohesión 2014</w:t>
      </w:r>
      <w:r w:rsidRPr="00B3557D">
        <w:noBreakHyphen/>
        <w:t xml:space="preserve">2020 muestran que, en general, la política de cohesión produjo resultados positivos en los ámbitos que </w:t>
      </w:r>
      <w:r w:rsidRPr="00B3557D">
        <w:lastRenderedPageBreak/>
        <w:t>respaldó</w:t>
      </w:r>
      <w:r w:rsidRPr="00B3557D">
        <w:rPr>
          <w:vertAlign w:val="superscript"/>
        </w:rPr>
        <w:footnoteReference w:id="25"/>
      </w:r>
      <w:r w:rsidRPr="00B3557D">
        <w:rPr>
          <w:vertAlign w:val="superscript"/>
        </w:rPr>
        <w:t xml:space="preserve">, </w:t>
      </w:r>
      <w:r w:rsidRPr="00B3557D">
        <w:rPr>
          <w:rStyle w:val="FootnoteReference"/>
        </w:rPr>
        <w:footnoteReference w:id="26"/>
      </w:r>
      <w:r w:rsidRPr="00B3557D">
        <w:t>; reconoce que estas inversiones han contribuido al objetivo de la Estrategia Europa 2020 de un crecimiento inteligente, sostenible e integrador;</w:t>
      </w:r>
    </w:p>
    <w:p w:rsidR="00F54608" w:rsidRPr="00B3557D" w:rsidRDefault="00F54608" w:rsidP="00F54608">
      <w:pPr>
        <w:pStyle w:val="NormalHanging12a"/>
        <w:rPr>
          <w:szCs w:val="24"/>
        </w:rPr>
      </w:pPr>
      <w:r w:rsidRPr="00B3557D">
        <w:t>2.</w:t>
      </w:r>
      <w:r w:rsidRPr="00B3557D">
        <w:tab/>
        <w:t>Acoge con agrado la contribución de la política de cohesión a la investigación y la innovación, ya que, entre otras actuaciones, refuerza la cooperación entre la comunidad investigadora y las empresas y contribuye a convertir la investigación en productos o servicios comercializables; señala que, según las cifras de la Comisión, a finales de 2022 más de 75 000 empresas habían cooperado con institutos de investigación y en torno a 37 000 habían introducido nuevos productos en el mercado gracias al apoyo del Fondo Europeo de Desarrollo Regional (FEDER)</w:t>
      </w:r>
      <w:r w:rsidRPr="00B3557D">
        <w:rPr>
          <w:vertAlign w:val="superscript"/>
        </w:rPr>
        <w:footnoteReference w:id="27"/>
      </w:r>
      <w:r w:rsidRPr="00B3557D">
        <w:t>; señala además que, en torno a la misma fecha, más de 72 000 investigadores trabajaban en instalaciones mejores</w:t>
      </w:r>
      <w:r w:rsidRPr="00B3557D">
        <w:rPr>
          <w:vertAlign w:val="superscript"/>
        </w:rPr>
        <w:footnoteReference w:id="28"/>
      </w:r>
      <w:r w:rsidRPr="00B3557D">
        <w:t>; pone de relieve que la política de cohesión ha contribuido también a colmar la brecha digital entre regiones al apoyar el desarrollo de la infraestructura de tecnologías de la información y la comunicación en regiones menos desarrolladas; se felicita por que, como consecuencia de ello, a finales de 2022 se haya facilitado un mejor acceso a la banda ancha a 7,8 millones de hogares</w:t>
      </w:r>
      <w:r w:rsidRPr="00B3557D">
        <w:rPr>
          <w:vertAlign w:val="superscript"/>
        </w:rPr>
        <w:footnoteReference w:id="29"/>
      </w:r>
      <w:r w:rsidRPr="00B3557D">
        <w:t>;</w:t>
      </w:r>
    </w:p>
    <w:p w:rsidR="00F54608" w:rsidRPr="00B3557D" w:rsidRDefault="00F54608" w:rsidP="00F54608">
      <w:pPr>
        <w:pStyle w:val="NormalHanging12a"/>
        <w:rPr>
          <w:szCs w:val="24"/>
        </w:rPr>
      </w:pPr>
      <w:r w:rsidRPr="00B3557D">
        <w:t>3.</w:t>
      </w:r>
      <w:r w:rsidRPr="00B3557D">
        <w:tab/>
        <w:t>Señala que la ayuda de la política de cohesión ha logrado también beneficios tangibles para miles de pymes; destaca que este ha sido uno de los ámbitos con mejores resultados del apoyo del FEDER; resalta que, a finales de 2022, el FEDER había prestado ayuda a más de 2,2 millones de empresas, que crearon en torno a 370 000 puestos de trabajo</w:t>
      </w:r>
      <w:r w:rsidRPr="00B3557D">
        <w:rPr>
          <w:vertAlign w:val="superscript"/>
        </w:rPr>
        <w:footnoteReference w:id="30"/>
      </w:r>
      <w:r w:rsidRPr="00B3557D">
        <w:t>; observa que las evaluaciones llevadas a cabo en Chequia, Polonia, Alemania, los Países Bajos y Austria contienen ejemplos de pymes que se hicieron más competitivas e innovadoras, aumentaron su productividad y mejoraron su acceso a los mercados internacionales</w:t>
      </w:r>
      <w:r w:rsidRPr="00B3557D">
        <w:rPr>
          <w:vertAlign w:val="superscript"/>
        </w:rPr>
        <w:footnoteReference w:id="31"/>
      </w:r>
      <w:r w:rsidRPr="00B3557D">
        <w:t>;</w:t>
      </w:r>
    </w:p>
    <w:p w:rsidR="00F54608" w:rsidRPr="00B3557D" w:rsidRDefault="00F54608" w:rsidP="00F54608">
      <w:pPr>
        <w:pStyle w:val="NormalHanging12a"/>
        <w:rPr>
          <w:szCs w:val="24"/>
        </w:rPr>
      </w:pPr>
      <w:r w:rsidRPr="00B3557D">
        <w:t>4.</w:t>
      </w:r>
      <w:r w:rsidRPr="00B3557D">
        <w:tab/>
        <w:t>Subraya que la política de cohesión ha desempeñado también un papel esencial en la transición a una economía con bajas emisiones de carbono; señala que la reducción del consumo de energía en los edificios es un componente importante de este cambio, y que el apoyo de la política de cohesión ya haya dado sus frutos; acoge con satisfacción que las evaluaciones de los Estados miembros muestren la eficacia de las medidas de mejora de la eficiencia energética en toda la Unión</w:t>
      </w:r>
      <w:r w:rsidRPr="00B3557D">
        <w:rPr>
          <w:vertAlign w:val="superscript"/>
        </w:rPr>
        <w:footnoteReference w:id="32"/>
      </w:r>
      <w:r w:rsidRPr="00B3557D">
        <w:t xml:space="preserve">; observa que, a finales de 2022, el FEDER había ayudado a mejorar la eficiencia energética de 550 000 hogares; resalta que hay pruebas de que la política de cohesión ha respaldado inversiones en varias regiones </w:t>
      </w:r>
      <w:r w:rsidRPr="00B3557D">
        <w:lastRenderedPageBreak/>
        <w:t xml:space="preserve">carboníferas que contribuyeron a la descarbonización; observa que en Asturias (España) los esfuerzos se centraron en el empleo juvenil y femenino en las zonas rurales, con el objetivo de incentivar el emprendimiento y la inclusión social; observa, asimismo, que en la región de </w:t>
      </w:r>
      <w:proofErr w:type="spellStart"/>
      <w:r w:rsidRPr="00B3557D">
        <w:t>Yugoiztochen</w:t>
      </w:r>
      <w:proofErr w:type="spellEnd"/>
      <w:r w:rsidRPr="00B3557D">
        <w:t xml:space="preserve"> (Bulgaria) los fondos de la política de cohesión se han centrado en la eficiencia energética, la modernización de las pymes y la promoción del desarrollo de capacidades</w:t>
      </w:r>
      <w:r w:rsidRPr="00B3557D">
        <w:rPr>
          <w:vertAlign w:val="superscript"/>
        </w:rPr>
        <w:footnoteReference w:id="33"/>
      </w:r>
      <w:r w:rsidRPr="00B3557D">
        <w:t>; reconoce que, a finales de 2022, las medidas destinadas a la producción de energías renovables habían incrementado la capacidad de producción de renovables en la Unión en 6 000 MW, con un objetivo de 8 700 MW para finales de 2023</w:t>
      </w:r>
      <w:r w:rsidRPr="00B3557D">
        <w:rPr>
          <w:vertAlign w:val="superscript"/>
        </w:rPr>
        <w:footnoteReference w:id="34"/>
      </w:r>
      <w:r w:rsidRPr="00B3557D">
        <w:t>; toma nota de que se han comunicado resultados positivos en este ámbito, por ejemplo, en Estonia y regiones de Francia</w:t>
      </w:r>
      <w:r w:rsidRPr="00B3557D">
        <w:rPr>
          <w:vertAlign w:val="superscript"/>
        </w:rPr>
        <w:footnoteReference w:id="35"/>
      </w:r>
      <w:r w:rsidRPr="00B3557D">
        <w:t>;</w:t>
      </w:r>
    </w:p>
    <w:p w:rsidR="00F54608" w:rsidRPr="00B3557D" w:rsidRDefault="00F54608" w:rsidP="00F54608">
      <w:pPr>
        <w:pStyle w:val="NormalHanging12a"/>
        <w:rPr>
          <w:szCs w:val="24"/>
        </w:rPr>
      </w:pPr>
      <w:r w:rsidRPr="00B3557D">
        <w:t>5.</w:t>
      </w:r>
      <w:r w:rsidRPr="00B3557D">
        <w:tab/>
        <w:t>Subraya que las evaluaciones de los esfuerzos relacionados con la adaptación al cambio climático y la prevención de riesgos han mostrado la necesidad de la cooperación transfronteriza para que sean realmente eficaces las medidas financiadas por la política de cohesión; hace hincapié en que algunos países ya han aplicado medidas conjuntas de prevención de riesgos y protección civil; observa que esta cooperación se ha producido entre Italia y Francia, Chequia y Polonia, e Italia y Austria</w:t>
      </w:r>
      <w:r w:rsidRPr="00B3557D">
        <w:rPr>
          <w:vertAlign w:val="superscript"/>
        </w:rPr>
        <w:footnoteReference w:id="36"/>
      </w:r>
      <w:r w:rsidRPr="00B3557D">
        <w:t>; resalta que, en lo que atañe a la adaptación al cambio climático, las inversiones de la política de cohesión han permitido que 29 millones de personas estén ahora menos expuestas a inundaciones</w:t>
      </w:r>
      <w:r w:rsidRPr="00B3557D">
        <w:rPr>
          <w:vertAlign w:val="superscript"/>
        </w:rPr>
        <w:footnoteReference w:id="37"/>
      </w:r>
      <w:r w:rsidRPr="00B3557D">
        <w:t>;</w:t>
      </w:r>
    </w:p>
    <w:p w:rsidR="00F54608" w:rsidRPr="00B3557D" w:rsidRDefault="00F54608" w:rsidP="00F54608">
      <w:pPr>
        <w:pStyle w:val="NormalHanging12a"/>
        <w:rPr>
          <w:szCs w:val="24"/>
        </w:rPr>
      </w:pPr>
      <w:r w:rsidRPr="00B3557D">
        <w:t>6.</w:t>
      </w:r>
      <w:r w:rsidRPr="00B3557D">
        <w:tab/>
        <w:t>Observa que la ayuda de cohesión del FEDER y el Fondo de Cohesión ha permitido también incrementar el número de personas que gozan de un mejor suministro de agua (8,3 millones de personas a finales de 2022</w:t>
      </w:r>
      <w:r w:rsidRPr="00B3557D">
        <w:rPr>
          <w:vertAlign w:val="superscript"/>
        </w:rPr>
        <w:footnoteReference w:id="38"/>
      </w:r>
      <w:r w:rsidRPr="00B3557D">
        <w:t>) y de una mejor gestión de los residuos municipales; señala que la mayoría de los beneficiarios objetivo (70 %) de las medidas para mejorar el suministro de agua viven en Italia, Rumanía, Grecia, Portugal, Bulgaria y Chequia; señala asimismo que, en Francia y Bélgica, proyectos financiados por la política de cohesión han ayudado a impulsar la economía circular</w:t>
      </w:r>
      <w:r w:rsidRPr="00B3557D">
        <w:rPr>
          <w:vertAlign w:val="superscript"/>
        </w:rPr>
        <w:footnoteReference w:id="39"/>
      </w:r>
      <w:r w:rsidRPr="00B3557D">
        <w:t>;</w:t>
      </w:r>
    </w:p>
    <w:p w:rsidR="00F54608" w:rsidRPr="00B3557D" w:rsidRDefault="00F54608" w:rsidP="00F54608">
      <w:pPr>
        <w:pStyle w:val="NormalHanging12a"/>
        <w:rPr>
          <w:szCs w:val="24"/>
        </w:rPr>
      </w:pPr>
      <w:r w:rsidRPr="00B3557D">
        <w:t>7.</w:t>
      </w:r>
      <w:r w:rsidRPr="00B3557D">
        <w:tab/>
        <w:t>Resalta que las redes de energía y de transporte han recibido importantes inversiones del FEDER y el Fondo de Cohesión; señala que, si bien el impacto de este tipo de proyectos de infraestructura solo puede evaluarse adecuadamente a largo plazo, según las evaluaciones llevadas a cabo en Polonia y Chequia, algunas de las inversiones en infraestructuras viarias y ferroviarias ya han redundado en un descenso del número de accidentes, una reducción de los tiempos de viaje y una disminución de la contaminación</w:t>
      </w:r>
      <w:r w:rsidRPr="00B3557D">
        <w:rPr>
          <w:vertAlign w:val="superscript"/>
        </w:rPr>
        <w:footnoteReference w:id="40"/>
      </w:r>
      <w:r w:rsidRPr="00B3557D">
        <w:t xml:space="preserve">; acoge con satisfacción el hecho de que, en Eslovaquia, la modernización de las líneas de tranvía haya mejorado las conexiones, reducido el </w:t>
      </w:r>
      <w:r w:rsidRPr="00B3557D">
        <w:lastRenderedPageBreak/>
        <w:t>tiempo de viaje, mejorado la seguridad y contribuido a reducir el ruido y las vibraciones</w:t>
      </w:r>
      <w:r w:rsidRPr="00B3557D">
        <w:rPr>
          <w:vertAlign w:val="superscript"/>
        </w:rPr>
        <w:footnoteReference w:id="41"/>
      </w:r>
      <w:r w:rsidRPr="00B3557D">
        <w:t>; señala asimismo que, en Estados miembros como Polonia y Bulgaria, los proyectos de gas natural financiados han contribuido al objetivo estratégico de diversificar el suministro energético</w:t>
      </w:r>
      <w:r w:rsidRPr="00B3557D">
        <w:rPr>
          <w:vertAlign w:val="superscript"/>
        </w:rPr>
        <w:footnoteReference w:id="42"/>
      </w:r>
      <w:r w:rsidRPr="00B3557D">
        <w:t>; celebra que el interconector de gas Grecia-Bulgaria, apoyado por el FEDER, en Bulgaria haya entrado en funcionamiento en octubre de 2022 y contribuya a los objetivos estratégicos de la Unión de autonomía del suministro energético y diversificación de las fuentes</w:t>
      </w:r>
      <w:r w:rsidRPr="00B3557D">
        <w:rPr>
          <w:vertAlign w:val="superscript"/>
        </w:rPr>
        <w:footnoteReference w:id="43"/>
      </w:r>
      <w:r w:rsidRPr="00B3557D">
        <w:t>;</w:t>
      </w:r>
    </w:p>
    <w:p w:rsidR="00F54608" w:rsidRPr="00B3557D" w:rsidRDefault="00F54608" w:rsidP="00F54608">
      <w:pPr>
        <w:pStyle w:val="NormalHanging12a"/>
        <w:rPr>
          <w:szCs w:val="24"/>
        </w:rPr>
      </w:pPr>
      <w:r w:rsidRPr="00B3557D">
        <w:t>8.</w:t>
      </w:r>
      <w:r w:rsidRPr="00B3557D">
        <w:tab/>
        <w:t>Reconoce que la cohesión, en especial a través del Fondo Social Europeo (FSE) y la Iniciativa de Empleo Juvenil (IEJ), ha respaldado exitosas medidas de empleo, inclusión social, educación y formación profesional; resalta que, a finales de 2022, 6,8 millones de personas habían encontrado un trabajo gracias a medidas apoyadas por el FSE y la IEJ, y que 10,2 millones de personas habían obtenido una cualificación</w:t>
      </w:r>
      <w:r w:rsidRPr="00B3557D">
        <w:rPr>
          <w:vertAlign w:val="superscript"/>
        </w:rPr>
        <w:footnoteReference w:id="44"/>
      </w:r>
      <w:r w:rsidRPr="00B3557D">
        <w:t>;</w:t>
      </w:r>
    </w:p>
    <w:p w:rsidR="00F54608" w:rsidRPr="00B3557D" w:rsidRDefault="00F54608" w:rsidP="00F54608">
      <w:pPr>
        <w:pStyle w:val="NormalHanging12a"/>
        <w:rPr>
          <w:szCs w:val="24"/>
        </w:rPr>
      </w:pPr>
      <w:r w:rsidRPr="00B3557D">
        <w:t>9.</w:t>
      </w:r>
      <w:r w:rsidRPr="00B3557D">
        <w:tab/>
        <w:t>Subraya que evaluaciones de Estados miembros como Italia, Alemania, Polonia e Irlanda han mostrado que las personas, en especial jóvenes, que participaron en medidas de formación, aprendizajes y períodos de prácticas apoyadas por los fondos de cohesión incrementaron de forma significativa sus oportunidades de encontrar un empleo</w:t>
      </w:r>
      <w:r w:rsidRPr="00B3557D">
        <w:rPr>
          <w:vertAlign w:val="superscript"/>
        </w:rPr>
        <w:footnoteReference w:id="45"/>
      </w:r>
      <w:r w:rsidRPr="00B3557D">
        <w:t>; señala que Polonia e Irlanda lograron buenos resultados con proyectos dirigidos a los desempleados de larga duración; señala, asimismo, que una evaluación</w:t>
      </w:r>
      <w:r w:rsidRPr="00B3557D">
        <w:rPr>
          <w:vertAlign w:val="superscript"/>
        </w:rPr>
        <w:footnoteReference w:id="46"/>
      </w:r>
      <w:r w:rsidRPr="00B3557D">
        <w:t xml:space="preserve"> de la Iniciativa de Empleo Juvenil 2014</w:t>
      </w:r>
      <w:r w:rsidRPr="00B3557D">
        <w:noBreakHyphen/>
        <w:t>2020 efectuada en Hungría concluyó que el programa había elevado de forma significativa a la probabilidad de que los participantes encontraran empleo a corto plazo, aunque este impacto fue disminuyendo con el tiempo; destaca que otra evaluación</w:t>
      </w:r>
      <w:r w:rsidR="00EF3068" w:rsidRPr="00B3557D">
        <w:rPr>
          <w:rStyle w:val="FootnoteReference"/>
        </w:rPr>
        <w:footnoteReference w:id="47"/>
      </w:r>
      <w:r w:rsidRPr="00B3557D">
        <w:t xml:space="preserve"> de Hungría concluyó que los regímenes de apoyo a la integración en el mercado de trabajo financiados a través del FSE habían tenido un efecto positivo y sustancial a la hora de encontrar empleo; observa que una evaluación de la Iniciativa de Empleo Juvenil realizada en Suecia</w:t>
      </w:r>
      <w:r w:rsidRPr="00B3557D">
        <w:rPr>
          <w:vertAlign w:val="superscript"/>
        </w:rPr>
        <w:footnoteReference w:id="48"/>
      </w:r>
      <w:r w:rsidRPr="00B3557D">
        <w:t xml:space="preserve"> halló efectos generales positivos para los participantes en cuanto al empleo, en especial para aquellos de procedencia extranjera; destaca que las medidas de formación para alumnos y profesores han tenido un impacto favorable en las tasas de abandono escolar prematuro, por ejemplo en Alemania, </w:t>
      </w:r>
      <w:r w:rsidRPr="00B3557D">
        <w:lastRenderedPageBreak/>
        <w:t>Portugal y España</w:t>
      </w:r>
      <w:r w:rsidRPr="00B3557D">
        <w:rPr>
          <w:vertAlign w:val="superscript"/>
        </w:rPr>
        <w:footnoteReference w:id="49"/>
      </w:r>
      <w:r w:rsidRPr="00B3557D">
        <w:t>;</w:t>
      </w:r>
    </w:p>
    <w:p w:rsidR="00F54608" w:rsidRPr="00B3557D" w:rsidRDefault="00F54608" w:rsidP="00F54608">
      <w:pPr>
        <w:pStyle w:val="NormalHanging12a"/>
        <w:rPr>
          <w:szCs w:val="24"/>
        </w:rPr>
      </w:pPr>
      <w:r w:rsidRPr="00B3557D">
        <w:t>10.</w:t>
      </w:r>
      <w:r w:rsidRPr="00B3557D">
        <w:tab/>
        <w:t>Señala que el FSE ha ayudado a emprendedores a lanzar nuevos negocios y les ha facilitado formación, de manera que las empresas puedan adaptarse mejor a los cambios en el mercado; resalta que el programa del FSE</w:t>
      </w:r>
      <w:r w:rsidRPr="00B3557D">
        <w:rPr>
          <w:vertAlign w:val="superscript"/>
        </w:rPr>
        <w:footnoteReference w:id="50"/>
      </w:r>
      <w:r w:rsidRPr="00B3557D">
        <w:t xml:space="preserve"> en Turingia (Alemania) consagrado al refuerzo del emprendimiento ha respaldado, entre otros proyectos, el Centro de Turingia para Empresas Emergentes y el Emprendimiento; reconoce que, hasta finales de 2021, el Centro había ayudado a unas 2 900 personas a iniciar un nuevo negocio en la región; observa que los refugiados y migrantes llegados a Luxemburgo tuvieron acceso a un programa específico de emprendimiento apoyado por el FSE</w:t>
      </w:r>
      <w:r w:rsidRPr="00B3557D">
        <w:rPr>
          <w:vertAlign w:val="superscript"/>
        </w:rPr>
        <w:footnoteReference w:id="51"/>
      </w:r>
      <w:r w:rsidRPr="00B3557D">
        <w:t>;</w:t>
      </w:r>
    </w:p>
    <w:p w:rsidR="00F54608" w:rsidRPr="00B3557D" w:rsidRDefault="00F54608" w:rsidP="00F54608">
      <w:pPr>
        <w:pStyle w:val="NormalHanging12a"/>
        <w:rPr>
          <w:szCs w:val="24"/>
        </w:rPr>
      </w:pPr>
      <w:r w:rsidRPr="00B3557D">
        <w:t>11.</w:t>
      </w:r>
      <w:r w:rsidRPr="00B3557D">
        <w:tab/>
        <w:t>Pone de relieve que, a través del apoyo financiero de la política de cohesión a proyectos en el sector sanitario, principalmente a través de inversiones del FSE y del FEDER, 58,3 millones de personas tenían acceso a servicios sanitarios mejorados en toda la Unión a finales de 2022</w:t>
      </w:r>
      <w:r w:rsidRPr="00B3557D">
        <w:rPr>
          <w:vertAlign w:val="superscript"/>
        </w:rPr>
        <w:footnoteReference w:id="52"/>
      </w:r>
      <w:r w:rsidRPr="00B3557D">
        <w:t>; destaca que en Lituania, por ejemplo, proyectos financiados por la política de cohesión han conseguido reducir el riesgo de enfermedades cardiovasculares y la tasa de suicidios</w:t>
      </w:r>
      <w:r w:rsidRPr="00B3557D">
        <w:rPr>
          <w:vertAlign w:val="superscript"/>
        </w:rPr>
        <w:footnoteReference w:id="53"/>
      </w:r>
      <w:r w:rsidRPr="00B3557D">
        <w:t>;</w:t>
      </w:r>
    </w:p>
    <w:p w:rsidR="00F54608" w:rsidRPr="00B3557D" w:rsidRDefault="00F54608" w:rsidP="00F54608">
      <w:pPr>
        <w:pStyle w:val="NormalHanging12a"/>
        <w:rPr>
          <w:szCs w:val="24"/>
        </w:rPr>
      </w:pPr>
      <w:r w:rsidRPr="00B3557D">
        <w:t>12.</w:t>
      </w:r>
      <w:r w:rsidRPr="00B3557D">
        <w:tab/>
        <w:t>Celebra la contribución de la política de cohesión a la cooperación territorial; señala que este objetivo específico del FEDER contribuyó a la financiación de proyectos transfronterizos transnacionales e interregionales en ámbitos como la investigación, el desarrollo y la innovación y el medio ambiente; subraya que, tal como ha comunicado la Comisión, sin este apoyo específico de la política de cohesión, la mayoría de esos proyectos de cooperación no habrían tenido lugar; destaca que, a finales de 2022, habían participado en proyectos de investigación transfronterizos transnacionales o interregionales más de 40 000 empresas, y unas 178 000 personas se habían beneficiado de iniciativas de movilidad transfronteriza</w:t>
      </w:r>
      <w:r w:rsidRPr="00B3557D">
        <w:rPr>
          <w:vertAlign w:val="superscript"/>
        </w:rPr>
        <w:footnoteReference w:id="54"/>
      </w:r>
      <w:r w:rsidRPr="00B3557D">
        <w:t>; señala que, según evaluaciones recientes recopiladas por la Comisión, existen ejemplos de cooperación fructífera en cuestiones temáticas, como proyectos de tecnologías de la información y la comunicación relacionados con ciudades inteligentes en Grecia y Chipre</w:t>
      </w:r>
      <w:r w:rsidRPr="00B3557D">
        <w:rPr>
          <w:vertAlign w:val="superscript"/>
        </w:rPr>
        <w:footnoteReference w:id="55"/>
      </w:r>
      <w:r w:rsidRPr="00B3557D">
        <w:t xml:space="preserve">; observa, además, que el programa Suecia-Finlandia-Noruega </w:t>
      </w:r>
      <w:proofErr w:type="spellStart"/>
      <w:r w:rsidRPr="00B3557D">
        <w:t>Botnia-Atlantica</w:t>
      </w:r>
      <w:proofErr w:type="spellEnd"/>
      <w:r w:rsidRPr="00B3557D">
        <w:t xml:space="preserve"> ha aumentado los conocimientos sobre la protección de las zonas marítimas y costeras</w:t>
      </w:r>
      <w:r w:rsidRPr="00B3557D">
        <w:rPr>
          <w:vertAlign w:val="superscript"/>
        </w:rPr>
        <w:footnoteReference w:id="56"/>
      </w:r>
      <w:r w:rsidRPr="00B3557D">
        <w:t>; destaca que la evaluación de impacto del programa Interreg para Europa Central 2014</w:t>
      </w:r>
      <w:r w:rsidRPr="00B3557D">
        <w:noBreakHyphen/>
        <w:t>2020</w:t>
      </w:r>
      <w:r w:rsidRPr="00B3557D">
        <w:rPr>
          <w:vertAlign w:val="superscript"/>
        </w:rPr>
        <w:footnoteReference w:id="57"/>
      </w:r>
      <w:r w:rsidRPr="00B3557D">
        <w:t xml:space="preserve">, que englobó a </w:t>
      </w:r>
      <w:r w:rsidRPr="00B3557D">
        <w:lastRenderedPageBreak/>
        <w:t>Alemania, Austria, Chequia, Croacia, Eslovaquia, Eslovenia, Hungría, Italia y Polonia, demostró que, a finales de 2021, el programa había obtenido resultados positivos en los ámbitos de la innovación, la reducción de las emisiones de carbono, el medio ambiente, la cultura y el transporte; celebra que el programa Interreg para Rumanía-Serbia haya contribuido también a reforzar la cooperación entre ambos países en todos los ámbitos relevantes</w:t>
      </w:r>
      <w:r w:rsidRPr="00B3557D">
        <w:rPr>
          <w:vertAlign w:val="superscript"/>
        </w:rPr>
        <w:footnoteReference w:id="58"/>
      </w:r>
      <w:r w:rsidRPr="00B3557D">
        <w:t>, y que el programa Interreg Croacia-Serbia haya respaldado la producción de electricidad renovable e incrementado la eficiencia energética</w:t>
      </w:r>
      <w:r w:rsidRPr="00B3557D">
        <w:rPr>
          <w:vertAlign w:val="superscript"/>
        </w:rPr>
        <w:footnoteReference w:id="59"/>
      </w:r>
      <w:r w:rsidRPr="00B3557D">
        <w:t>; llama la atención sobre los resultados positivos del programa Interreg de Suecia, Dinamarca y Noruega en el ámbito de la economía verde</w:t>
      </w:r>
      <w:r w:rsidRPr="00B3557D">
        <w:rPr>
          <w:vertAlign w:val="superscript"/>
        </w:rPr>
        <w:footnoteReference w:id="60"/>
      </w:r>
      <w:r w:rsidRPr="00B3557D">
        <w:t>;</w:t>
      </w:r>
    </w:p>
    <w:p w:rsidR="00F54608" w:rsidRPr="00B3557D" w:rsidRDefault="00F54608" w:rsidP="00F54608">
      <w:pPr>
        <w:widowControl/>
        <w:sectPr w:rsidR="00F54608" w:rsidRPr="00B3557D" w:rsidSect="006A2A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pPr>
    </w:p>
    <w:p w:rsidR="00F54608" w:rsidRPr="00B3557D" w:rsidRDefault="00F54608" w:rsidP="00F54608">
      <w:pPr>
        <w:pStyle w:val="NormalHanging12a"/>
        <w:rPr>
          <w:szCs w:val="24"/>
        </w:rPr>
      </w:pPr>
      <w:r w:rsidRPr="00B3557D">
        <w:lastRenderedPageBreak/>
        <w:t>13.</w:t>
      </w:r>
      <w:r w:rsidRPr="00B3557D">
        <w:tab/>
        <w:t>Celebra la respuesta de la política de cohesión a las últimas crisis; observa que se adoptaron más de 300 modificaciones de programa para las iniciativas IIRC e IIRC+, lo que condujo a la reorientación de casi 28 000 millones EUR</w:t>
      </w:r>
      <w:r w:rsidR="0057032A" w:rsidRPr="00B3557D">
        <w:rPr>
          <w:rStyle w:val="FootnoteReference"/>
        </w:rPr>
        <w:footnoteReference w:id="61"/>
      </w:r>
      <w:r w:rsidRPr="00B3557D">
        <w:t xml:space="preserve"> para abordar las consecuencias de la crisis de la COVID-19; destaca que se reorientaron 13 000 millones EUR para prestar apoyo a las empresas más afectadas por la crisis de la COVID-19</w:t>
      </w:r>
      <w:r w:rsidR="003176C6" w:rsidRPr="00B3557D">
        <w:rPr>
          <w:rStyle w:val="FootnoteReference"/>
        </w:rPr>
        <w:footnoteReference w:id="62"/>
      </w:r>
      <w:r w:rsidRPr="00B3557D">
        <w:t>; señala que, hasta la fecha, solo se han llevado a cabo unas pocas evaluaciones en el ámbito; observa, sin embargo, que, con arreglo a las evaluaciones disponibles</w:t>
      </w:r>
      <w:r w:rsidR="003176C6" w:rsidRPr="00B3557D">
        <w:rPr>
          <w:rStyle w:val="FootnoteReference"/>
        </w:rPr>
        <w:footnoteReference w:id="63"/>
      </w:r>
      <w:r w:rsidRPr="00B3557D">
        <w:t>, se consideró que las medidas financiadas en los Países Bajos, Malta y Francia (región del Gran Este) se adecuaban a las necesidades de las personas y las empresas; observa también que hay pruebas de que el apoyo empresarial del FEDER en Hungría, que fue posible gracias a esta flexibilidad, tuvo un efecto positivo en las empresas objetivo</w:t>
      </w:r>
      <w:r w:rsidR="003176C6" w:rsidRPr="00B3557D">
        <w:rPr>
          <w:rStyle w:val="FootnoteReference"/>
        </w:rPr>
        <w:footnoteReference w:id="64"/>
      </w:r>
      <w:r w:rsidRPr="00B3557D">
        <w:t>; señala que la evaluación preliminar de la Comisión</w:t>
      </w:r>
      <w:r w:rsidR="003176C6" w:rsidRPr="00B3557D">
        <w:rPr>
          <w:rStyle w:val="FootnoteReference"/>
        </w:rPr>
        <w:footnoteReference w:id="65"/>
      </w:r>
      <w:r w:rsidRPr="00B3557D">
        <w:t xml:space="preserve"> del apoyo proporcionado por el FSE y el Fondo de Ayuda Europea para las Personas Más Desfavorecidas a través de las iniciativas IIRC e IIRC+ arroja también un resultado principalmente positivo; destaca que las iniciativas IIRC e IIRC+ alcanzaron sus objetivos en la mayoría de los Estados miembros, ya que utilizaron esta flexibilidad para reasignar de forma eficiente los recursos restantes para financiar acuerdos de trabajo a corto plazo, medidas de inclusión social y sus sistemas sanitarios, dependiendo de los contextos nacionales; resalta que, gracias a las iniciativas IIRC e IIRC+, los Gobiernos pudieron mantener su nivel de adjudicación de contratos y gasto durante este difícil período; observa que el apoyo de REACT-EU se centró en medidas de recuperación impulsadas por prioridades orientadas al futuro, como las transiciones ecológica y digital; subraya que un ejemplo de ese apoyo es el proyecto Green </w:t>
      </w:r>
      <w:proofErr w:type="spellStart"/>
      <w:r w:rsidRPr="00B3557D">
        <w:t>Change</w:t>
      </w:r>
      <w:proofErr w:type="spellEnd"/>
      <w:r w:rsidRPr="00B3557D">
        <w:t xml:space="preserve"> </w:t>
      </w:r>
      <w:proofErr w:type="spellStart"/>
      <w:r w:rsidRPr="00B3557D">
        <w:t>Zealand</w:t>
      </w:r>
      <w:proofErr w:type="spellEnd"/>
      <w:r w:rsidRPr="00B3557D">
        <w:t>, que ayudó a veinte pymes de Dinamarca a reducir su consumo de energía y materiales mediante planes de conversión ecológica;</w:t>
      </w:r>
    </w:p>
    <w:p w:rsidR="00F54608" w:rsidRPr="00B3557D" w:rsidRDefault="00F54608" w:rsidP="00F54608">
      <w:pPr>
        <w:pStyle w:val="NormalHanging12a"/>
        <w:rPr>
          <w:b/>
          <w:i/>
        </w:rPr>
      </w:pPr>
      <w:r w:rsidRPr="00B3557D">
        <w:rPr>
          <w:b/>
          <w:i/>
        </w:rPr>
        <w:t>Futura política de cohesión</w:t>
      </w:r>
    </w:p>
    <w:p w:rsidR="00F54608" w:rsidRPr="00B3557D" w:rsidRDefault="00F54608" w:rsidP="00F54608">
      <w:pPr>
        <w:pStyle w:val="NormalHanging12a"/>
        <w:rPr>
          <w:i/>
        </w:rPr>
      </w:pPr>
      <w:r w:rsidRPr="00B3557D">
        <w:rPr>
          <w:i/>
        </w:rPr>
        <w:t>Principios generales</w:t>
      </w:r>
    </w:p>
    <w:p w:rsidR="00F54608" w:rsidRPr="00B3557D" w:rsidRDefault="00F54608" w:rsidP="00F54608">
      <w:pPr>
        <w:pStyle w:val="NormalHanging12a"/>
        <w:rPr>
          <w:szCs w:val="24"/>
        </w:rPr>
      </w:pPr>
      <w:r w:rsidRPr="00B3557D">
        <w:t>14.</w:t>
      </w:r>
      <w:r w:rsidRPr="00B3557D">
        <w:tab/>
        <w:t>Insiste en que, debido a su enfoque regional, su enfoque de base local, su planificación estratégica y su modelo de ejecución eficaz, la política de cohesión debe seguir siendo el principal instrumento de inversión de la Unión para reducir las disparidades, garantizar la cohesión económica, social y territorial y estimular el crecimiento regional y local sostenible, y ha de continuar contribuyendo de manera fundamental a apoyar una transición socialmente justa y la recuperación de las crisis simétricas y asimétricas, así como la lucha contra el cambio climático;</w:t>
      </w:r>
    </w:p>
    <w:p w:rsidR="00F54608" w:rsidRPr="00B3557D" w:rsidRDefault="00F54608" w:rsidP="00F54608">
      <w:pPr>
        <w:pStyle w:val="NormalHanging12a"/>
        <w:rPr>
          <w:szCs w:val="24"/>
        </w:rPr>
      </w:pPr>
      <w:r w:rsidRPr="00B3557D">
        <w:t>15.</w:t>
      </w:r>
      <w:r w:rsidRPr="00B3557D">
        <w:tab/>
        <w:t>Lamenta la reducción del porcentaje del MFP 2021</w:t>
      </w:r>
      <w:r w:rsidRPr="00B3557D">
        <w:noBreakHyphen/>
        <w:t xml:space="preserve">2027 dedicado a la cohesión, en comparación con el período de programación anterior; recuerda que la pandemia de </w:t>
      </w:r>
      <w:r w:rsidRPr="00B3557D">
        <w:lastRenderedPageBreak/>
        <w:t>COVID</w:t>
      </w:r>
      <w:r w:rsidRPr="00B3557D">
        <w:noBreakHyphen/>
        <w:t>19 y la guerra de agresión rusa contra Ucrania han creado nuevas disparidades entre regiones; cree que debe producirse un aumento en términos reales del presupuesto general de cohesión y de la parte de la política correspondiente al MFP en comparación con el período de programación 2021</w:t>
      </w:r>
      <w:r w:rsidRPr="00B3557D">
        <w:noBreakHyphen/>
        <w:t>2027;</w:t>
      </w:r>
    </w:p>
    <w:p w:rsidR="00F54608" w:rsidRPr="00B3557D" w:rsidRDefault="00F54608" w:rsidP="00F54608">
      <w:pPr>
        <w:pStyle w:val="NormalHanging12a"/>
        <w:rPr>
          <w:szCs w:val="24"/>
        </w:rPr>
      </w:pPr>
      <w:r w:rsidRPr="00B3557D">
        <w:t>16.</w:t>
      </w:r>
      <w:r w:rsidRPr="00B3557D">
        <w:tab/>
        <w:t>Considera que las inversiones de cohesión deben mantenerse bajo una gestión compartida para la programación y la ejecución, con el fin de poder responder a las necesidades de los Estados miembros, las regiones y las zonas urbanas, rurales y remotas; reconoce que la coprogramación, la cofinanciación, la corresponsabilidad y la cotitularidad constituyen los métodos más eficaces para la ejecución satisfactoria de una política de inversión de la Unión a largo plazo y de los proyectos financiados por la Unión;</w:t>
      </w:r>
    </w:p>
    <w:p w:rsidR="00F54608" w:rsidRPr="00B3557D" w:rsidRDefault="00F54608" w:rsidP="00F54608">
      <w:pPr>
        <w:pStyle w:val="NormalHanging12a"/>
        <w:rPr>
          <w:szCs w:val="24"/>
        </w:rPr>
      </w:pPr>
      <w:r w:rsidRPr="00B3557D">
        <w:t>17.</w:t>
      </w:r>
      <w:r w:rsidRPr="00B3557D">
        <w:tab/>
        <w:t>Destaca que la aparición de instrumentos de apoyo presupuestario basados en la gestión directa y un modelo de aplicación más sencillo podrían conducir a una renacionalización de la política de cohesión y poner en peligro uno de sus principios básicos: la gobernanza multinivel; rechaza, por tanto, cualquier renacionalización de la política de cohesión;</w:t>
      </w:r>
    </w:p>
    <w:p w:rsidR="00F54608" w:rsidRPr="00B3557D" w:rsidRDefault="00F54608" w:rsidP="00F54608">
      <w:pPr>
        <w:pStyle w:val="NormalHanging12a"/>
        <w:rPr>
          <w:szCs w:val="24"/>
        </w:rPr>
      </w:pPr>
      <w:r w:rsidRPr="00B3557D">
        <w:t>18.</w:t>
      </w:r>
      <w:r w:rsidRPr="00B3557D">
        <w:tab/>
        <w:t>Insiste en que todas las regiones de la Unión deben seguir siendo admisibles para la financiación de la política de cohesión; destaca que es el único modo de abordar los retos regionales a fin de lograr un patrón de desarrollo más equilibrado en toda la Unión y de atajar los problemas particulares de desarrollo regional sobre el terreno;</w:t>
      </w:r>
    </w:p>
    <w:p w:rsidR="00F54608" w:rsidRPr="00B3557D" w:rsidRDefault="00F54608" w:rsidP="00F54608">
      <w:pPr>
        <w:pStyle w:val="NormalHanging12a"/>
        <w:rPr>
          <w:szCs w:val="24"/>
        </w:rPr>
      </w:pPr>
      <w:r w:rsidRPr="00B3557D">
        <w:t>19.</w:t>
      </w:r>
      <w:r w:rsidRPr="00B3557D">
        <w:tab/>
        <w:t>Resalta que la futura política de cohesión debe seguir prestando atención a las regiones que padecen limitaciones naturales y demográficas graves y permanentes, como las zonas escasamente pobladas, las islas, las zonas de montaña y las regiones transfronterizas, en pleno cumplimiento del artículo 174 de TFUE; señala, en este contexto, que la Unión ha creado una agenda urbana y rural y espera la publicación de una agenda insular;</w:t>
      </w:r>
    </w:p>
    <w:p w:rsidR="00F54608" w:rsidRPr="00B3557D" w:rsidRDefault="00F54608" w:rsidP="00F54608">
      <w:pPr>
        <w:pStyle w:val="NormalHanging12a"/>
      </w:pPr>
      <w:r w:rsidRPr="00B3557D">
        <w:t>20.</w:t>
      </w:r>
      <w:r w:rsidRPr="00B3557D">
        <w:tab/>
        <w:t>Pide al Consejo que desbloquee el expediente del Mecanismo Transfronterizo Europeo y comience su trabajo al respecto;</w:t>
      </w:r>
    </w:p>
    <w:p w:rsidR="00F54608" w:rsidRPr="00B3557D" w:rsidRDefault="00F54608" w:rsidP="00F54608">
      <w:pPr>
        <w:pStyle w:val="NormalHanging12a"/>
        <w:rPr>
          <w:szCs w:val="24"/>
        </w:rPr>
      </w:pPr>
      <w:r w:rsidRPr="00B3557D">
        <w:t>21.</w:t>
      </w:r>
      <w:r w:rsidRPr="00B3557D">
        <w:tab/>
        <w:t>Resalta la importancia de la aplicación del artículo 349 del TFUE en todas las políticas de la Unión, a fin de alcanzar los objetivos consagrados en él; recuerda el papel fundamental que desempeña la política de cohesión en las regiones ultraperiféricas; hace hincapié en la importancia de diseñar y mantener programas y medidas adaptados a esas regiones, ya que la mayoría de las regiones ultraperiféricas siguen figurando entre las regiones menos desarrolladas y deben ser tratadas como tal; pide a la Comisión que garantice unos porcentajes elevados de cofinanciación, especialmente para las regiones ultraperiféricas, y, a tal efecto, designe el conjunto de esas regiones como regiones menos desarrolladas;</w:t>
      </w:r>
    </w:p>
    <w:p w:rsidR="00F54608" w:rsidRPr="00B3557D" w:rsidRDefault="00F54608" w:rsidP="00F54608">
      <w:pPr>
        <w:pStyle w:val="NormalHanging12a"/>
        <w:rPr>
          <w:szCs w:val="24"/>
        </w:rPr>
      </w:pPr>
      <w:r w:rsidRPr="00B3557D">
        <w:t>22.</w:t>
      </w:r>
      <w:r w:rsidRPr="00B3557D">
        <w:tab/>
        <w:t>Subraya que las cargas desproporcionadas, como las desventajas estructurales inherentes a que se enfrentan todas las regiones fronterizas, deben compensarse con un sistema particular de ayuda regional diseñado específicamente para las regiones fronterizas; pide que el 0,26 % del presupuesto de la política de cohesión de la Unión se reserve exclusivamente para el desarrollo de las regiones fronterizas («</w:t>
      </w:r>
      <w:proofErr w:type="spellStart"/>
      <w:r w:rsidRPr="00B3557D">
        <w:t>borderland</w:t>
      </w:r>
      <w:proofErr w:type="spellEnd"/>
      <w:r w:rsidRPr="00B3557D">
        <w:t xml:space="preserve"> </w:t>
      </w:r>
      <w:proofErr w:type="spellStart"/>
      <w:r w:rsidRPr="00B3557D">
        <w:t>billion</w:t>
      </w:r>
      <w:proofErr w:type="spellEnd"/>
      <w:r w:rsidRPr="00B3557D">
        <w:t>») al principio de cada nuevo período de programación, empezando por el período 2028</w:t>
      </w:r>
      <w:r w:rsidRPr="00B3557D">
        <w:noBreakHyphen/>
        <w:t>2034;</w:t>
      </w:r>
    </w:p>
    <w:p w:rsidR="00F54608" w:rsidRPr="00B3557D" w:rsidRDefault="00F54608" w:rsidP="00F54608">
      <w:pPr>
        <w:pStyle w:val="NormalHanging12a"/>
        <w:rPr>
          <w:szCs w:val="24"/>
        </w:rPr>
      </w:pPr>
      <w:r w:rsidRPr="00B3557D">
        <w:lastRenderedPageBreak/>
        <w:t>23.</w:t>
      </w:r>
      <w:r w:rsidRPr="00B3557D">
        <w:tab/>
        <w:t>Cree que el principio de «no causar un perjuicio significativo» debe prevenir las medidas perjudiciales para el medio ambiente a fin de alcanzar el objetivo de una Europa neutra en carbono a más tardar en 2050; pide a la Comisión que introduzca criterios rigurosos en el próximo marco jurídico para la política de cohesión posterior a 2027 con el objetivo de mejorar la aplicación del principio de «no causar un perjuicio significativo»; pide, además, que en el nuevo marco se mantenga el mismo nivel de gasto relacionado con el clima a fin de alcanzar los objetivos climáticos establecidos por el Acuerdo de París, y en consonancia con los Objetivos de Desarrollo Sostenible de las Naciones Unidas y el Pacto Verde Europeo;</w:t>
      </w:r>
    </w:p>
    <w:p w:rsidR="00F54608" w:rsidRPr="00B3557D" w:rsidRDefault="00F54608" w:rsidP="00F54608">
      <w:pPr>
        <w:pStyle w:val="NormalHanging12a"/>
        <w:rPr>
          <w:szCs w:val="24"/>
        </w:rPr>
      </w:pPr>
      <w:r w:rsidRPr="00B3557D">
        <w:t>24.</w:t>
      </w:r>
      <w:r w:rsidRPr="00B3557D">
        <w:tab/>
        <w:t>Destaca que el principal propósito de la política de cohesión de la Unión es reducir las disparidades entre Estados miembros y, en especial, entre regiones de los Estados miembros y dentro de ellas; subraya que el presupuesto de la política de cohesión debe dedicarse principalmente a los objetivos de la política de cohesión y no a nuevos instrumentos y programas no relacionados con la política de cohesión, ni en el marco del MFP ni al margen de este, incluidas las transferencias opcionales;</w:t>
      </w:r>
    </w:p>
    <w:p w:rsidR="00F54608" w:rsidRPr="00B3557D" w:rsidRDefault="00F54608" w:rsidP="00F54608">
      <w:pPr>
        <w:pStyle w:val="NormalHanging12a"/>
        <w:rPr>
          <w:szCs w:val="24"/>
        </w:rPr>
      </w:pPr>
      <w:r w:rsidRPr="00B3557D">
        <w:t>25.</w:t>
      </w:r>
      <w:r w:rsidRPr="00B3557D">
        <w:tab/>
        <w:t>Reconoce la necesidad de integrar una flexibilidad de crisis; propone la creación de un eje específico para que las autoridades locales y regionales puedan abordar prioridades emergentes; destaca, no obstante, que la reorientación de los fondos de cohesión no debe ser puesta en marcha por nuevas iniciativas legislativas de la Comisión, sino por una autoridad de gestión en un proceso ascendente, previa consulta obligatoria con las autoridades regionales y locales y con la participación adecuada de la sociedad civil, según se establece en el Reglamento sobre disposiciones comunes y el Código de Conducta sobre las asociaciones; subraya que esto no erosionará la orientación plurianual de la política, sino que ayudará a adaptarla mejor a la naturaleza rápidamente cambiante de nuestros tiempos;</w:t>
      </w:r>
    </w:p>
    <w:p w:rsidR="00F54608" w:rsidRPr="00B3557D" w:rsidRDefault="00F54608" w:rsidP="00F54608">
      <w:pPr>
        <w:pStyle w:val="NormalHanging12a"/>
        <w:rPr>
          <w:szCs w:val="24"/>
        </w:rPr>
      </w:pPr>
      <w:r w:rsidRPr="00B3557D">
        <w:t>26.</w:t>
      </w:r>
      <w:r w:rsidRPr="00B3557D">
        <w:tab/>
        <w:t>Lamenta que los retrasos en la negociación del MFP hayan conducido a considerables retrasos en el período de programación 2021</w:t>
      </w:r>
      <w:r w:rsidRPr="00B3557D">
        <w:noBreakHyphen/>
        <w:t>2027, lo que ha afectado a los beneficiarios y en especial a las autoridades de gestión, que se enfrentaron a una enorme carga derivada tanto de la finalización del período de financiación 2014</w:t>
      </w:r>
      <w:r w:rsidRPr="00B3557D">
        <w:noBreakHyphen/>
        <w:t>2020 como del inicio del actual período de financiación; pide, por tanto, a la Comisión que evalúe si jurídicamente es posible crear dos partes diferenciadas dentro del Reglamento sobre disposiciones comunes, a saber, una parte relativa al contenido (política) y otra relativa al MFP (recursos financieros), para el período de programación posterior a 2027; considera que la parte relativa al contenido debe negociarse y concluirse antes que la parte relativa al MFP, para permitir a las autoridades de gestión iniciar los preparativos de forma oportuna a fin de garantizar el principio de la auténtica asociación y un uso eficiente de los instrumentos de la política de cohesión;</w:t>
      </w:r>
    </w:p>
    <w:p w:rsidR="00F54608" w:rsidRPr="00B3557D" w:rsidRDefault="00F54608" w:rsidP="00F54608">
      <w:pPr>
        <w:pStyle w:val="NormalHanging12a"/>
        <w:rPr>
          <w:szCs w:val="24"/>
        </w:rPr>
      </w:pPr>
      <w:r w:rsidRPr="00B3557D">
        <w:t>27.</w:t>
      </w:r>
      <w:r w:rsidRPr="00B3557D">
        <w:tab/>
        <w:t>Advierte de que la existencia de múltiples fondos con objetivos de cohesión, a veces con prioridades superpuestas, puede obstaculizar la ejecución eficaz de la política de cohesión; aboga por una delimitación clara, y por la armonización y la complementariedad, entre la política de cohesión y otros instrumentos para evitar solapamientos y competencia entre instrumentos de la Unión; insiste en la necesidad de mejorar esa complementariedad impulsando la posibilidad de financiar proyectos conjuntos;</w:t>
      </w:r>
    </w:p>
    <w:p w:rsidR="00F54608" w:rsidRPr="00B3557D" w:rsidRDefault="00F54608" w:rsidP="00F54608">
      <w:pPr>
        <w:pStyle w:val="NormalHanging12a"/>
        <w:rPr>
          <w:szCs w:val="24"/>
        </w:rPr>
      </w:pPr>
      <w:r w:rsidRPr="00B3557D">
        <w:t>28.</w:t>
      </w:r>
      <w:r w:rsidRPr="00B3557D">
        <w:tab/>
        <w:t xml:space="preserve">Llama la atención sobre las dificultades de las autoridades locales, regionales y nacionales para contratar trabajadores cualificados para ejecutar, gestionar y auditar los </w:t>
      </w:r>
      <w:r w:rsidRPr="00B3557D">
        <w:lastRenderedPageBreak/>
        <w:t>fondos de la política de cohesión como una de las razones de los retrasos en la ejecución de dichos fondos; pide a los Estados miembros y a sus regiones que desplieguen esfuerzos para formar y contratar personal especializado para optimizar la ejecución, la gestión y la auditoría de los fondos de la Unión en el futuro, con el fin de que dichos fondos sean lo más eficaces y eficientes posible;</w:t>
      </w:r>
    </w:p>
    <w:p w:rsidR="00F54608" w:rsidRPr="00B3557D" w:rsidRDefault="00F54608" w:rsidP="00F54608">
      <w:pPr>
        <w:pStyle w:val="NormalHanging12a"/>
        <w:rPr>
          <w:szCs w:val="24"/>
        </w:rPr>
      </w:pPr>
      <w:r w:rsidRPr="00B3557D">
        <w:t>29.</w:t>
      </w:r>
      <w:r w:rsidRPr="00B3557D">
        <w:tab/>
        <w:t>Observa que, tal como han puesto de manifiesto los análisis de rendimiento de los fondos de la política de cohesión, incluidos los realizados por el Tribunal de Cuentas Europeo, hay margen para mejorar la eficacia de las intervenciones de la política de cohesión en respuesta a los retos territoriales y las prioridades generales de la Unión, como la competitividad y la ecologización de la economía; considera que una respuesta más amplia, en la que intervengan más políticas de la Unión, y una asignación eficaz de los fondos serán esenciales, por tanto, para combatir la geografía del descontento;</w:t>
      </w:r>
    </w:p>
    <w:p w:rsidR="00F54608" w:rsidRPr="00B3557D" w:rsidRDefault="00F54608" w:rsidP="00F54608">
      <w:pPr>
        <w:pStyle w:val="NormalHanging12a"/>
      </w:pPr>
      <w:r w:rsidRPr="00B3557D">
        <w:t>30.</w:t>
      </w:r>
      <w:r w:rsidRPr="00B3557D">
        <w:tab/>
        <w:t>Considera que solo se debe lanzar la propuesta legislativa para la futura política de cohesión tras haber tenido en cuenta los resultados de un importante esfuerzo de consulta y una variedad de eventos a escala de la Unión y formatos sobre el terreno que reúnan todos los niveles de gobernanza y a todas las demás partes interesadas;</w:t>
      </w:r>
    </w:p>
    <w:p w:rsidR="00F54608" w:rsidRPr="00B3557D" w:rsidRDefault="00F54608" w:rsidP="00F54608">
      <w:pPr>
        <w:pStyle w:val="NormalHanging12a"/>
        <w:rPr>
          <w:szCs w:val="24"/>
        </w:rPr>
      </w:pPr>
      <w:r w:rsidRPr="00B3557D">
        <w:t>31.</w:t>
      </w:r>
      <w:r w:rsidRPr="00B3557D">
        <w:tab/>
        <w:t>Subraya la necesidad de una evaluación exhaustiva del impacto de los Fondos EIE en los Estados miembros y en las regiones y municipios beneficiarios, centrada no solo en el nivel de ejecución de los fondos asignados, sino también en el carácter transformador de las inversiones y su impacto en la economía y el empleo de la zona;</w:t>
      </w:r>
    </w:p>
    <w:p w:rsidR="00F54608" w:rsidRPr="00B3557D" w:rsidRDefault="00F54608" w:rsidP="00F54608">
      <w:pPr>
        <w:pStyle w:val="NormalHanging12a"/>
        <w:rPr>
          <w:szCs w:val="24"/>
        </w:rPr>
      </w:pPr>
      <w:r w:rsidRPr="00B3557D">
        <w:t>32.</w:t>
      </w:r>
      <w:r w:rsidRPr="00B3557D">
        <w:tab/>
        <w:t>Toma nota de que el marco regulador de 2021</w:t>
      </w:r>
      <w:r w:rsidRPr="00B3557D">
        <w:noBreakHyphen/>
        <w:t>2027 ya introdujo medidas para simplificar la ejecución y la gestión de la política de cohesión; señala que, aunque se han logrado avances reales, todavía queda mucho por hacer en materia de simplificación de los procedimientos para los beneficiarios finales y de garantía de seguridad jurídica para las autoridades de gestión; subraya que debe evitarse la superposición de controles y auditorías; señala que una mayor simplificación debe hacer posible también una ejecución y un ritmo de absorción acelerados;</w:t>
      </w:r>
    </w:p>
    <w:p w:rsidR="00F54608" w:rsidRPr="00B3557D" w:rsidRDefault="00F54608" w:rsidP="00F54608">
      <w:pPr>
        <w:pStyle w:val="NormalHanging12a"/>
        <w:rPr>
          <w:szCs w:val="24"/>
        </w:rPr>
      </w:pPr>
      <w:r w:rsidRPr="00B3557D">
        <w:t>33.</w:t>
      </w:r>
      <w:r w:rsidRPr="00B3557D">
        <w:tab/>
        <w:t>Subraya, por tanto, que la simplificación debe ser uno de los motores clave de la futura política de cohesión; considera necesario racionalizar los procedimientos de contratación pública, mejorar la articulación de la política de cohesión con las normas sobre ayudas estatales, aumentar el uso de las opciones de costes simplificados, aplicar el principio de auditoría única e identificar «ventanillas únicas» para los beneficiarios potenciales; considera que la aplicación de las normas de extrapolación del porcentaje de error genera una carga administrativa desproporcionada para las autoridades de gestión y pide a la Comisión que estudie la posibilidad de revisarlas; pide a los Estados miembros que eviten la sobrerregulación a fin de garantizar la seguridad jurídica para los beneficiarios;</w:t>
      </w:r>
    </w:p>
    <w:p w:rsidR="00F54608" w:rsidRPr="00B3557D" w:rsidRDefault="00F54608" w:rsidP="00F54608">
      <w:pPr>
        <w:pStyle w:val="NormalHanging12a"/>
        <w:rPr>
          <w:szCs w:val="24"/>
        </w:rPr>
      </w:pPr>
      <w:r w:rsidRPr="00B3557D">
        <w:t>34.</w:t>
      </w:r>
      <w:r w:rsidRPr="00B3557D">
        <w:tab/>
        <w:t xml:space="preserve">Considera que debe lograrse una mayor racionalización de la arquitectura de los instrumentos de financiación de la Unión en el Fondo de Cohesión, el FEDER, el FSE+ y el Fondo de Transición Justa, y posiblemente el Feader, que debe estar cubierto por el Reglamento sobre disposiciones comunes; reconoce que esta racionalización simplificaría aún más la programación y la ejecución de la política, aumentaría su visibilidad y eficacia y mejoraría la accesibilidad de los beneficiarios a los fondos; subraya la importancia de racionalizar los reglamentos específicos para fondos concretos a fin de minimizar el aumento de los plazos de ejecución y la complejidad de </w:t>
      </w:r>
      <w:r w:rsidRPr="00B3557D">
        <w:lastRenderedPageBreak/>
        <w:t>la programación; observa que toda racionalización de fondos debe preservar su orientación temática y los flujos financieros para los respectivos ámbitos;</w:t>
      </w:r>
    </w:p>
    <w:p w:rsidR="00F54608" w:rsidRPr="00B3557D" w:rsidRDefault="00F54608" w:rsidP="00F54608">
      <w:pPr>
        <w:pStyle w:val="NormalHanging12a"/>
        <w:rPr>
          <w:szCs w:val="24"/>
        </w:rPr>
      </w:pPr>
      <w:r w:rsidRPr="00B3557D">
        <w:t>35.</w:t>
      </w:r>
      <w:r w:rsidRPr="00B3557D">
        <w:tab/>
        <w:t>Reconoce que el marco de rendimiento introducido en el período 2014</w:t>
      </w:r>
      <w:r w:rsidRPr="00B3557D">
        <w:noBreakHyphen/>
        <w:t>2020 representó un intento de mejorar la orientación a los resultados de la política; pide, a este respecto, una modernización profunda del modelo de aplicación, pasando de un ciclo de actividad-pago a una ejecución basada en el rendimiento, en hitos tangibles, junto con una vinculación a reformas regionales y locales de mejora del crecimiento que hagan hincapié en los fundamentos de la política de cohesión; pone de relieve que un enfoque basado en el rendimiento no funcionará a menos que los niveles regional y local participen en la definición de los objetivos que servirán para medir el éxito de la política;</w:t>
      </w:r>
    </w:p>
    <w:p w:rsidR="00F54608" w:rsidRPr="00B3557D" w:rsidRDefault="00F54608" w:rsidP="00F54608">
      <w:pPr>
        <w:pStyle w:val="NormalHanging12a"/>
        <w:rPr>
          <w:szCs w:val="24"/>
        </w:rPr>
      </w:pPr>
      <w:r w:rsidRPr="00B3557D">
        <w:t>36.</w:t>
      </w:r>
      <w:r w:rsidRPr="00B3557D">
        <w:tab/>
        <w:t>Subraya que esta transición hacia una ejecución basada en el rendimiento no debe afectar a la transparencia, la rendición de cuentas ni la protección de los intereses financieros de la Unión; observa que los sistemas de autoría y control deben adaptarse, con todo, al marco basado en el rendimiento;</w:t>
      </w:r>
    </w:p>
    <w:p w:rsidR="00F54608" w:rsidRPr="00B3557D" w:rsidRDefault="00F54608" w:rsidP="00F54608">
      <w:pPr>
        <w:pStyle w:val="NormalHanging12a"/>
        <w:rPr>
          <w:szCs w:val="24"/>
        </w:rPr>
      </w:pPr>
      <w:r w:rsidRPr="00B3557D">
        <w:t>37.</w:t>
      </w:r>
      <w:r w:rsidRPr="00B3557D">
        <w:tab/>
        <w:t>Pide un uso más amplio de tecnologías y soluciones digitales en los Estados miembros para simplificar la ejecución, el seguimiento y la presentación de informes, contribuyendo así a una administración más eficiente y a una menor documentación física;</w:t>
      </w:r>
    </w:p>
    <w:p w:rsidR="00F54608" w:rsidRPr="00B3557D" w:rsidRDefault="00F54608" w:rsidP="00F54608">
      <w:pPr>
        <w:pStyle w:val="NormalHanging12a"/>
        <w:rPr>
          <w:szCs w:val="24"/>
        </w:rPr>
      </w:pPr>
      <w:r w:rsidRPr="00B3557D">
        <w:t>38.</w:t>
      </w:r>
      <w:r w:rsidRPr="00B3557D">
        <w:tab/>
        <w:t>Señala que el dinero público procedente de los contribuyentes no debe malversarse; pide a la Comisión, a los Estados miembros y a las autoridades regionales que utilicen y mejoren los mecanismos existentes para detectar y combatir las irregularidades, los casos de fraude y la corrupción en la financiación de la política de cohesión;</w:t>
      </w:r>
    </w:p>
    <w:p w:rsidR="00F54608" w:rsidRPr="00B3557D" w:rsidRDefault="00F54608" w:rsidP="00F54608">
      <w:pPr>
        <w:pStyle w:val="NormalHanging12a"/>
        <w:rPr>
          <w:szCs w:val="24"/>
        </w:rPr>
      </w:pPr>
      <w:r w:rsidRPr="00B3557D">
        <w:t>39.</w:t>
      </w:r>
      <w:r w:rsidRPr="00B3557D">
        <w:tab/>
        <w:t>Pide a la Comisión que garantice que todos los Estados miembros dispongan de un mecanismo eficaz para notificar irregularidades, de conformidad con el Reglamento Delegado (UE) 2015/1970 de la Comisión</w:t>
      </w:r>
      <w:r w:rsidR="003176C6" w:rsidRPr="00B3557D">
        <w:rPr>
          <w:rStyle w:val="FootnoteReference"/>
        </w:rPr>
        <w:footnoteReference w:id="66"/>
      </w:r>
      <w:r w:rsidRPr="00B3557D">
        <w:t>; recomienda que las irregularidades se consideren cerradas en el Sistema de gestión de irregularidades (IMS) únicamente cuando los importes faltantes se hayan recuperado también a escala nacional, y no solo después de que los importes irregulares hayan sido devueltos a la Comisión; recomienda que los Estados miembros garanticen, a través de herramientas de extracción de datos como ARACHNE, que los datos del informe oficial de irregularidades y fraude en el IMS se cotejen con los datos de los proyectos aprobados;</w:t>
      </w:r>
    </w:p>
    <w:p w:rsidR="00F54608" w:rsidRPr="00B3557D" w:rsidRDefault="00F54608" w:rsidP="00F54608">
      <w:pPr>
        <w:pStyle w:val="NormalHanging12a"/>
        <w:rPr>
          <w:szCs w:val="24"/>
        </w:rPr>
      </w:pPr>
      <w:r w:rsidRPr="00B3557D">
        <w:t>40.</w:t>
      </w:r>
      <w:r w:rsidRPr="00B3557D">
        <w:tab/>
        <w:t>Pide a la Comisión que mejore la coordinación de los poderes de la Oficina Europea de Lucha contra el Fraude (OLAF) y la Fiscalía Europea para investigar las irregularidades y el fraude relacionados con los fondos de la política de cohesión;</w:t>
      </w:r>
    </w:p>
    <w:p w:rsidR="00F54608" w:rsidRPr="00B3557D" w:rsidRDefault="00F54608" w:rsidP="00F54608">
      <w:pPr>
        <w:pStyle w:val="NormalHanging12a"/>
        <w:ind w:left="570" w:hanging="570"/>
        <w:rPr>
          <w:szCs w:val="24"/>
        </w:rPr>
      </w:pPr>
      <w:r w:rsidRPr="00B3557D">
        <w:t>41.</w:t>
      </w:r>
      <w:r w:rsidRPr="00B3557D">
        <w:tab/>
        <w:t>Pide que los Estados miembros restantes se adhieran a la Fiscalía Europea para mejorar la lucha contra la corrupción y la malversación de fondos de la Unión;</w:t>
      </w:r>
    </w:p>
    <w:p w:rsidR="00F54608" w:rsidRPr="00B3557D" w:rsidRDefault="00F54608" w:rsidP="00F54608">
      <w:pPr>
        <w:pStyle w:val="NormalHanging12a"/>
        <w:rPr>
          <w:szCs w:val="24"/>
        </w:rPr>
      </w:pPr>
      <w:r w:rsidRPr="00B3557D">
        <w:t>42.</w:t>
      </w:r>
      <w:r w:rsidRPr="00B3557D">
        <w:tab/>
        <w:t xml:space="preserve">Apoya firmemente la aplicación de la condicionalidad del Estado de Derecho en todos </w:t>
      </w:r>
      <w:r w:rsidRPr="00B3557D">
        <w:lastRenderedPageBreak/>
        <w:t>los Estados miembros; espera, por tanto, que la Comisión tenga debidamente en cuenta los aspectos relativos al Estado de Derecho al aprobar los acuerdos de asociación y los programas de la política de cohesión, y garantice que cumplan plenamente las condiciones favorecedoras para la aplicación y ejecución efectiva de la Carta de los Derechos Fundamentales según se establece en el anexo III del Reglamento sobre disposiciones comunes; espera también que la Comisión no apruebe ningún acuerdo de asociación o programa hasta que el análisis exhaustivo de estos aspectos específicos ofrezca un alto nivel de garantía de ausencia de riesgos;</w:t>
      </w:r>
    </w:p>
    <w:p w:rsidR="00F54608" w:rsidRPr="00B3557D" w:rsidRDefault="00F54608" w:rsidP="00F54608">
      <w:pPr>
        <w:pStyle w:val="NormalHanging12a"/>
        <w:rPr>
          <w:szCs w:val="24"/>
        </w:rPr>
      </w:pPr>
      <w:r w:rsidRPr="00B3557D">
        <w:t>43.</w:t>
      </w:r>
      <w:r w:rsidRPr="00B3557D">
        <w:tab/>
        <w:t>Reitera la importancia de garantías que eviten que se penalice injustamente a los beneficiarios situados en países que puedan estar sujetos a la activación del mecanismo del Estado de Derecho; pide a la Comisión que estudie vías que le permitan hacer llevar los fondos a los beneficiarios finales;</w:t>
      </w:r>
    </w:p>
    <w:p w:rsidR="00F54608" w:rsidRPr="00B3557D" w:rsidRDefault="00F54608" w:rsidP="00F54608">
      <w:pPr>
        <w:pStyle w:val="NormalHanging12a"/>
        <w:rPr>
          <w:szCs w:val="24"/>
        </w:rPr>
      </w:pPr>
      <w:r w:rsidRPr="00B3557D">
        <w:t>44.</w:t>
      </w:r>
      <w:r w:rsidRPr="00B3557D">
        <w:tab/>
        <w:t>Hace hincapié en que la política de cohesión debe adaptarse mejor a los retos planteados por las transiciones ecológica, digital e industrial, y a las consecuencias sociales que suponen para que siga siendo pertinente y logre los objetivos establecidos en los Tratados; considera que, a tal fin, es importante aprender no solo del período de financiación 2014</w:t>
      </w:r>
      <w:r w:rsidRPr="00B3557D">
        <w:noBreakHyphen/>
        <w:t>2020, sino también de otros instrumentos como el MRR, para abordar los retos socioeconómicos relacionados con las crisis recientes y prestar el apoyo adecuado a las zonas y comunidades desfavorecidas;</w:t>
      </w:r>
    </w:p>
    <w:p w:rsidR="00F54608" w:rsidRPr="00B3557D" w:rsidRDefault="00F54608" w:rsidP="00F54608">
      <w:pPr>
        <w:pStyle w:val="NormalHanging12a"/>
        <w:rPr>
          <w:szCs w:val="24"/>
        </w:rPr>
      </w:pPr>
      <w:r w:rsidRPr="00B3557D">
        <w:t>45.</w:t>
      </w:r>
      <w:r w:rsidRPr="00B3557D">
        <w:tab/>
        <w:t>Pide a la Comisión que, en los reglamentos de la política de cohesión posteriores a 2027, continúe subrayando la importancia de, entre otros aspectos, abordar la mitigación del cambio climático y la adaptación a este, la pérdida de la biodiversidad y la protección del medio ambiente, incluida una mejor gestión del agua y los residuos, la eficiencia energética y de los recursos, la resiliencia a las catástrofes y la prevención y gestión de riesgos; considera, en este contexto, que la integración de la dimensión climática y los mecanismos de adaptación al cambio climático deben ser parte integrante de la programación y la ejecución, en particular para la selección de proyectos; recuerda asimismo a la Comisión que un apoyo adecuado, en particular a las autoridades regionales y locales, para abordar los retos socioeconómicos relacionados con las crisis recientes y ayudar a las zonas y comunidades desfavorecidas, debe ser un elemento importante en la ejecución de los fondos;</w:t>
      </w:r>
    </w:p>
    <w:p w:rsidR="00F54608" w:rsidRPr="00B3557D" w:rsidRDefault="00F54608" w:rsidP="00F54608">
      <w:pPr>
        <w:pStyle w:val="NormalHanging12a"/>
        <w:rPr>
          <w:szCs w:val="24"/>
        </w:rPr>
      </w:pPr>
      <w:r w:rsidRPr="00B3557D">
        <w:t>46.</w:t>
      </w:r>
      <w:r w:rsidRPr="00B3557D">
        <w:tab/>
        <w:t>Subraya la importancia de unas soluciones de movilidad más sostenibles en todos los territorios de la Unión, como la política de la red transeuropea de transporte (RTE-T); opina que las soluciones de movilidad inteligentes y sostenibles deben tener prioridad a la hora de obtener financiación de la Unión;</w:t>
      </w:r>
    </w:p>
    <w:p w:rsidR="00F54608" w:rsidRPr="00B3557D" w:rsidRDefault="00F54608" w:rsidP="00F54608">
      <w:pPr>
        <w:pStyle w:val="NormalHanging12a"/>
        <w:rPr>
          <w:szCs w:val="24"/>
        </w:rPr>
      </w:pPr>
      <w:r w:rsidRPr="00B3557D">
        <w:t>47.</w:t>
      </w:r>
      <w:r w:rsidRPr="00B3557D">
        <w:tab/>
        <w:t>Pide a la Comisión y a los Estados miembros que hagan todo lo posible por garantizar que todas las regiones de la Unión tengan acceso a banda ancha de alta velocidad, de forma que se encuentren en pie de igualdad para lograr la transición digital;</w:t>
      </w:r>
    </w:p>
    <w:p w:rsidR="00F54608" w:rsidRPr="00B3557D" w:rsidRDefault="00F54608" w:rsidP="00F54608">
      <w:pPr>
        <w:pStyle w:val="NormalHanging12a"/>
        <w:rPr>
          <w:szCs w:val="24"/>
        </w:rPr>
      </w:pPr>
      <w:r w:rsidRPr="00B3557D">
        <w:t>48.</w:t>
      </w:r>
      <w:r w:rsidRPr="00B3557D">
        <w:tab/>
        <w:t>Destaca la necesidad de fomentar la participación del sector privado, junto con el sector público, en inversiones de desarrollo sostenible; resalta a este respecto el papel que pueden desempeñar las pymes en términos de innovación; pide a los Estados miembros y a la Comisión que propongan medidas para mejorar la adopción de innovaciones directamente comercializables por parte de las pymes;</w:t>
      </w:r>
    </w:p>
    <w:p w:rsidR="00F54608" w:rsidRPr="00B3557D" w:rsidRDefault="00F54608" w:rsidP="00F54608">
      <w:pPr>
        <w:pStyle w:val="NormalHanging12a"/>
        <w:rPr>
          <w:szCs w:val="24"/>
        </w:rPr>
      </w:pPr>
      <w:r w:rsidRPr="00B3557D">
        <w:t>49.</w:t>
      </w:r>
      <w:r w:rsidRPr="00B3557D">
        <w:tab/>
        <w:t xml:space="preserve">Pide un mejor acceso a la financiación para las autoridades locales y regionales, así </w:t>
      </w:r>
      <w:r w:rsidRPr="00B3557D">
        <w:lastRenderedPageBreak/>
        <w:t>como para las regiones transfronterizas y las regiones menos desarrolladas, que permita realizar inversiones en la transición energética local y regional, que incluya la eficiencia energética, la distribución descentralizada de energía y un enfoque muy centrado en la energía renovable y una economía circular sostenible;</w:t>
      </w:r>
    </w:p>
    <w:p w:rsidR="00F54608" w:rsidRPr="00B3557D" w:rsidRDefault="00F54608" w:rsidP="00F54608">
      <w:pPr>
        <w:pStyle w:val="NormalHanging12a"/>
        <w:rPr>
          <w:szCs w:val="24"/>
        </w:rPr>
      </w:pPr>
      <w:r w:rsidRPr="00B3557D">
        <w:t>50.</w:t>
      </w:r>
      <w:r w:rsidRPr="00B3557D">
        <w:tab/>
        <w:t>Manifiesta su convencimiento de que, habida cuenta de los cambios estructurales asociados a la doble transición ecológica y digital y su desigual impacto económico y social en las regiones de la Unión, el próximo período de programación de la política de cohesión debe estar orientado por el principio de transición justa, sin dejar a ningún territorio ni a ninguna persona atrás;</w:t>
      </w:r>
    </w:p>
    <w:p w:rsidR="00F54608" w:rsidRPr="00B3557D" w:rsidRDefault="00F54608" w:rsidP="00F54608">
      <w:pPr>
        <w:pStyle w:val="NormalHanging12a"/>
        <w:rPr>
          <w:szCs w:val="24"/>
        </w:rPr>
      </w:pPr>
      <w:r w:rsidRPr="00B3557D">
        <w:t>51.</w:t>
      </w:r>
      <w:r w:rsidRPr="00B3557D">
        <w:tab/>
        <w:t>Reconoce la importancia de prestar especial atención a las regiones afectadas por la transición industrial; celebra, en este sentido, los esfuerzos de la Comisión por abordar esta cuestión con el Fondo de Transición Justa, el primer pilar del Mecanismo para una Transición Justa; pide a la Comisión que saque conclusiones de la ejecución de este fondo y aclare aún más sus objetivos;</w:t>
      </w:r>
    </w:p>
    <w:p w:rsidR="00F54608" w:rsidRPr="00B3557D" w:rsidRDefault="00F54608" w:rsidP="00F54608">
      <w:pPr>
        <w:pStyle w:val="NormalHanging12a"/>
        <w:rPr>
          <w:szCs w:val="24"/>
        </w:rPr>
      </w:pPr>
      <w:r w:rsidRPr="00B3557D">
        <w:t>52.</w:t>
      </w:r>
      <w:r w:rsidRPr="00B3557D">
        <w:tab/>
        <w:t>Pide garantizar la continuación de la financiación para una transición justa, que debe integrarse plenamente en el Reglamento sobre disposiciones comunes y ser dotada con recursos financieros adecuados para el período de programación posterior a 2027, y que se apliquen los principios de gestión compartida y asociación; opina que la ampliación del Fondo de Transición Justa debe centrarse en el nivel adecuado de la nomenclatura común de unidades territoriales estadísticas (NUTS), tener en cuenta las especificidades regionales, ampliar su ámbito de aplicación con respecto al Fondo de Transición Justa actual y diseñarse de tal modo que permita dar una respuesta rápida a los nuevos retos que surjan en los distintos sectores e industrias; solicita que esta nueva generación de fondos distinga entre mitigación del cambio climático y adaptación a este; resalta que una parte de la financiación debe dedicarse a la transición socialmente justa y a reducir la huella de carbono de la Unión;</w:t>
      </w:r>
    </w:p>
    <w:p w:rsidR="00F54608" w:rsidRPr="00B3557D" w:rsidRDefault="00F54608" w:rsidP="00F54608">
      <w:pPr>
        <w:pStyle w:val="NormalHanging12a"/>
        <w:rPr>
          <w:szCs w:val="24"/>
        </w:rPr>
      </w:pPr>
      <w:r w:rsidRPr="00B3557D">
        <w:t>53.</w:t>
      </w:r>
      <w:r w:rsidRPr="00B3557D">
        <w:tab/>
        <w:t>Pide que se mantenga un objetivo estratégico específico que aborde las desigualdades sociales, habida cuenta de la desaceleración de la convergencia regional y la aparición de nuevos factores de desigualdad;</w:t>
      </w:r>
    </w:p>
    <w:p w:rsidR="00F54608" w:rsidRPr="00B3557D" w:rsidRDefault="00F54608" w:rsidP="00F54608">
      <w:pPr>
        <w:pStyle w:val="NormalHanging12a"/>
        <w:rPr>
          <w:szCs w:val="24"/>
        </w:rPr>
      </w:pPr>
      <w:r w:rsidRPr="00B3557D">
        <w:t>54.</w:t>
      </w:r>
      <w:r w:rsidRPr="00B3557D">
        <w:tab/>
        <w:t>Destaca el papel fundamental que desempeñan las inversiones de la política de cohesión en servicios públicos de alta calidad a la hora de generar resiliencia social y hacer frente a las crisis económicas, sanitarias y sociales;</w:t>
      </w:r>
    </w:p>
    <w:p w:rsidR="00F54608" w:rsidRPr="00B3557D" w:rsidRDefault="00F54608" w:rsidP="00F54608">
      <w:pPr>
        <w:pStyle w:val="NormalHanging12a"/>
        <w:rPr>
          <w:szCs w:val="24"/>
        </w:rPr>
      </w:pPr>
      <w:r w:rsidRPr="00B3557D">
        <w:t>55.</w:t>
      </w:r>
      <w:r w:rsidRPr="00B3557D">
        <w:tab/>
        <w:t>Subraya que el ámbito de apoyo de la política de cohesión abarca la integración y la inclusión de más de tres millones de personas en riesgo de exclusión social, incluido el apoyo a 600 000 personas de grupos marginados, como la población romaní, que viven en regiones menos desarrolladas de la Unión, en particular; deplora la falta de voluntad de los Gobiernos locales de algunos Estados miembros de utilizar eficazmente los fondos de la política de cohesión para garantizar a esas personas el acceso a unos servicios de calidad, como el acceso al agua y a unas condiciones de vida dignas; insta a los Estados miembros a que aborden estos acuciantes problemas, que contribuirán de forma significativa a reducir las disparidades regionales;</w:t>
      </w:r>
    </w:p>
    <w:p w:rsidR="00F54608" w:rsidRPr="00B3557D" w:rsidRDefault="00F54608" w:rsidP="00F54608">
      <w:pPr>
        <w:pStyle w:val="NormalHanging12a"/>
      </w:pPr>
      <w:r w:rsidRPr="00B3557D">
        <w:t>56.</w:t>
      </w:r>
      <w:r w:rsidRPr="00B3557D">
        <w:tab/>
        <w:t xml:space="preserve">Llama la atención sobre la difícil situación en que se encuentran las regiones que comparten frontera con Rusia y Bielorrusia tras la suspensión de la cooperación a raíz de la guerra de agresión rusa contra Ucrania; pide a la Comisión que trabaje </w:t>
      </w:r>
      <w:r w:rsidRPr="00B3557D">
        <w:lastRenderedPageBreak/>
        <w:t>estrechamente con los Estados miembros afectados para encontrar soluciones sostenibles a fin de abordar los retos sociales y económicos de dichas regiones;</w:t>
      </w:r>
    </w:p>
    <w:p w:rsidR="00F54608" w:rsidRPr="00B3557D" w:rsidRDefault="00F54608" w:rsidP="00F54608">
      <w:pPr>
        <w:pStyle w:val="NormalHanging12a"/>
        <w:rPr>
          <w:szCs w:val="24"/>
        </w:rPr>
      </w:pPr>
      <w:r w:rsidRPr="00B3557D">
        <w:t>57.</w:t>
      </w:r>
      <w:r w:rsidRPr="00B3557D">
        <w:tab/>
        <w:t>Subraya el carácter pluridimensional del desarrollo rural, que va más allá de la agricultura propiamente dicha; señala que solo el 11,5 % de las personas que viven en zonas rurales trabaja en los sectores de la agricultura, la silvicultura y la pesca;</w:t>
      </w:r>
    </w:p>
    <w:p w:rsidR="00F54608" w:rsidRPr="00B3557D" w:rsidRDefault="00F54608" w:rsidP="00F54608">
      <w:pPr>
        <w:pStyle w:val="NormalHanging12a"/>
        <w:rPr>
          <w:szCs w:val="24"/>
        </w:rPr>
      </w:pPr>
      <w:r w:rsidRPr="00B3557D">
        <w:t>58.</w:t>
      </w:r>
      <w:r w:rsidRPr="00B3557D">
        <w:tab/>
        <w:t>Recuerda que, en la actualidad, el Feader está vinculado al marco de la política de cohesión y que debe asociarse más estrechamente con el Reglamento sobre disposiciones comunes, pues es necesario para el pleno desarrollo de las regiones rurales; hace hincapié en la necesidad de una mayor racionalización de los fondos, incluido el Feader, en el desarrollo regional, ya que podría garantizar que se logren sinergias y asociaciones más sólidas entre el campo y la ciudad para la realización de inversiones en zonas rurales más allá de la agricultura; insiste en que el Feader debe gestionarse a nivel regional o con una participación regional y local decisiva, prestando más atención que hasta ahora a las medidas de política estructural en zonas escasamente pobladas;</w:t>
      </w:r>
    </w:p>
    <w:p w:rsidR="00F54608" w:rsidRPr="00B3557D" w:rsidRDefault="00F54608" w:rsidP="00F54608">
      <w:pPr>
        <w:pStyle w:val="NormalHanging12a"/>
        <w:rPr>
          <w:szCs w:val="24"/>
        </w:rPr>
      </w:pPr>
      <w:r w:rsidRPr="00B3557D">
        <w:t>59.</w:t>
      </w:r>
      <w:r w:rsidRPr="00B3557D">
        <w:tab/>
        <w:t>Insiste en la necesidad de aplicar un mecanismo de verificación rural para evaluar los efectos de las iniciativas legislativas de la Unión en las zonas rurales;</w:t>
      </w:r>
    </w:p>
    <w:p w:rsidR="00F54608" w:rsidRPr="00B3557D" w:rsidRDefault="00F54608" w:rsidP="00F54608">
      <w:pPr>
        <w:pStyle w:val="NormalHanging12a"/>
        <w:rPr>
          <w:szCs w:val="24"/>
        </w:rPr>
      </w:pPr>
      <w:r w:rsidRPr="00B3557D">
        <w:t>60.</w:t>
      </w:r>
      <w:r w:rsidRPr="00B3557D">
        <w:tab/>
        <w:t>Señala que cualquier ampliación futura de la Unión tendrá repercusiones en el nivel de cohesión en la Unión; señala que esto probablemente afecte a la clasificación actual de las diferentes regiones, dado que el PIB medio per cápita disminuirá significativamente como consecuencia del efecto estadístico;</w:t>
      </w:r>
    </w:p>
    <w:p w:rsidR="00F54608" w:rsidRPr="00B3557D" w:rsidRDefault="00F54608" w:rsidP="00F54608">
      <w:pPr>
        <w:pStyle w:val="NormalHanging12a"/>
        <w:rPr>
          <w:szCs w:val="24"/>
        </w:rPr>
      </w:pPr>
      <w:r w:rsidRPr="00B3557D">
        <w:t>61.</w:t>
      </w:r>
      <w:r w:rsidRPr="00B3557D">
        <w:tab/>
        <w:t>Pide, por tanto, a la Comisión que lleve a cabo una evaluación exhaustiva antes de proponer un nuevo reglamento para el marco cohesión posterior a 2027 que garantice que la política de cohesión esté equipada para seguir apoyando a todas las regiones y se pueda resolver debidamente cualquier consecuencia desfavorable para las regiones ocasionada por un efecto estadístico en la admisibilidad a la política de cohesión; pide asimismo a la Comisión que incluya en su evaluación una estimación de las necesidades adicionales de cooperación transfronteriza que pueda ocasionar una ampliación; pide consultas y un trabajo estructurado entre la Comisión y el Parlamento sobre estas cuestiones antes de la publicación de una nueva propuesta legislativa; pide una política de cohesión preparada para la ampliación en 2030 a más tardar;</w:t>
      </w:r>
    </w:p>
    <w:p w:rsidR="00F54608" w:rsidRPr="00B3557D" w:rsidRDefault="00F54608" w:rsidP="00F54608">
      <w:pPr>
        <w:pStyle w:val="NormalHanging12a"/>
        <w:rPr>
          <w:szCs w:val="24"/>
        </w:rPr>
      </w:pPr>
      <w:r w:rsidRPr="00B3557D">
        <w:t>62.</w:t>
      </w:r>
      <w:r w:rsidRPr="00B3557D">
        <w:tab/>
        <w:t>Subraya que el presupuesto existente de la política de cohesión se centra en los objetivos de convergencia; resalta que, en el caso de Ucrania, el presupuesto de la política de cohesión no puede ni debe atender las demandas de financiación previstas para la reconstrucción; subraya que los objetivos de reconstrucción deben alcanzarse a través de otros mecanismos financieros, fuera del ámbito de aplicación del MFP, mediante la contribución presupuestaria directa de los Estados miembros, el sector privado y recursos externos;</w:t>
      </w:r>
    </w:p>
    <w:p w:rsidR="00F54608" w:rsidRPr="00B3557D" w:rsidRDefault="00F54608" w:rsidP="00F54608">
      <w:pPr>
        <w:pStyle w:val="NormalHanging12a"/>
        <w:rPr>
          <w:szCs w:val="24"/>
        </w:rPr>
      </w:pPr>
      <w:r w:rsidRPr="00B3557D">
        <w:t>63.</w:t>
      </w:r>
      <w:r w:rsidRPr="00B3557D">
        <w:tab/>
        <w:t>Pide a la Comisión que considere la posibilidad de que el gasto público en el marco de la política de cohesión por parte de los Estados miembros y las autoridades regionales y locales como parte de los Fondos EIE no se considere gasto estructural nacional o asimilable según se define en las nuevas normas de gobernanza económica, especialmente si no se aparta del cumplimiento de los objetivos del Acuerdo de París;</w:t>
      </w:r>
    </w:p>
    <w:p w:rsidR="00F54608" w:rsidRPr="00B3557D" w:rsidRDefault="00F54608" w:rsidP="00F54608">
      <w:pPr>
        <w:pStyle w:val="NormalHanging12a"/>
        <w:rPr>
          <w:szCs w:val="24"/>
        </w:rPr>
      </w:pPr>
      <w:r w:rsidRPr="00B3557D">
        <w:lastRenderedPageBreak/>
        <w:t>64.</w:t>
      </w:r>
      <w:r w:rsidRPr="00B3557D">
        <w:tab/>
        <w:t>Subraya la necesidad de mejorar la relación entre la política de cohesión y la gobernanza económica de la Unión evitando, al mismo tiempo, la adopción de un enfoque punitivo; destaca que el Semestre Europeo debe cumplir los objetivos estratégicos de cohesión contemplados en los artículos 174 y 175 del TFUE y en el pilar europeo de derechos sociales; pide la participación de las regiones en la consecución de las recomendaciones específicas por país (REP) y un enfoque territorial más sólido; pide que se reconsidere el concepto de condicionalidad macroeconómica y que se explore la posibilidad de sustituir este concepto con nuevas formas de condicionalidad para reflejar mejor los nuevos desafíos que se nos plantean;</w:t>
      </w:r>
    </w:p>
    <w:p w:rsidR="00F54608" w:rsidRPr="00B3557D" w:rsidRDefault="00F54608" w:rsidP="00F54608">
      <w:pPr>
        <w:pStyle w:val="NormalHanging12a"/>
        <w:rPr>
          <w:szCs w:val="24"/>
        </w:rPr>
      </w:pPr>
      <w:r w:rsidRPr="00B3557D">
        <w:t>65.</w:t>
      </w:r>
      <w:r w:rsidRPr="00B3557D">
        <w:tab/>
        <w:t>Recuerda el principio de «no perjudicar a la cohesión» introducido en el octavo informe sobre la cohesión, que significa que ninguna acción debe obstaculizar el proceso de convergencia ni contribuir a las disparidades regionales; pide una integración más contundente de este principio como principio transversal en todas las políticas de la Unión, para que apoyen los objetivos de cohesión social, económica y territorial, tal como se indica en los artículos 3 y 174 del TFUE; insiste en que el fomento de la cohesión debe considerarse también un modo de impulsar la solidaridad y el apoyo mutuo entre los Estados miembros y sus regiones;</w:t>
      </w:r>
    </w:p>
    <w:p w:rsidR="00F54608" w:rsidRPr="00B3557D" w:rsidRDefault="00F54608" w:rsidP="00F54608">
      <w:pPr>
        <w:pStyle w:val="NormalHanging12a"/>
        <w:rPr>
          <w:szCs w:val="24"/>
        </w:rPr>
      </w:pPr>
      <w:r w:rsidRPr="00B3557D">
        <w:t>66.</w:t>
      </w:r>
      <w:r w:rsidRPr="00B3557D">
        <w:tab/>
        <w:t>Pide a la Comisión que refuerce y desarrolle este principio como parte del Semestre Europeo y procure la participación de las autoridades locales y regionales en todas las fases de los procedimientos relacionados con el Semestre Europeo y sus REP;</w:t>
      </w:r>
    </w:p>
    <w:p w:rsidR="00F54608" w:rsidRPr="00B3557D" w:rsidRDefault="00F54608" w:rsidP="00F54608">
      <w:pPr>
        <w:pStyle w:val="NormalHanging12a"/>
        <w:rPr>
          <w:szCs w:val="24"/>
        </w:rPr>
      </w:pPr>
      <w:r w:rsidRPr="00B3557D">
        <w:t>67.</w:t>
      </w:r>
      <w:r w:rsidRPr="00B3557D">
        <w:tab/>
        <w:t>Cree firmemente en la importancia de los principios horizontales de la gobernanza multinivel y la asociación, que deben seguir siendo los principios rectores de la política de cohesión posterior a 2027;</w:t>
      </w:r>
    </w:p>
    <w:p w:rsidR="00F54608" w:rsidRPr="00B3557D" w:rsidRDefault="00F54608" w:rsidP="00F54608">
      <w:pPr>
        <w:pStyle w:val="NormalHanging12a"/>
        <w:rPr>
          <w:szCs w:val="24"/>
        </w:rPr>
      </w:pPr>
      <w:r w:rsidRPr="00B3557D">
        <w:t>68.</w:t>
      </w:r>
      <w:r w:rsidRPr="00B3557D">
        <w:tab/>
        <w:t xml:space="preserve">Pide a la Comisión, a los Estados miembros, a las regiones y a las autoridades locales que apliquen rigurosa y eficazmente el principio de la gobernanza multinivel; </w:t>
      </w:r>
    </w:p>
    <w:p w:rsidR="00F54608" w:rsidRPr="00B3557D" w:rsidRDefault="00F54608" w:rsidP="00F54608">
      <w:pPr>
        <w:pStyle w:val="NormalHanging12a"/>
        <w:rPr>
          <w:szCs w:val="24"/>
        </w:rPr>
      </w:pPr>
      <w:r w:rsidRPr="00B3557D">
        <w:t>69.</w:t>
      </w:r>
      <w:r w:rsidRPr="00B3557D">
        <w:tab/>
        <w:t>Destaca la importancia de respetar el principio de asociación en toda la programación, ejecución y supervisión de la política de cohesión de la Unión y de establecer una cooperación sólida entre las autoridades regionales y locales, las organizaciones no gubernamentales y otras partes interesadas; pide que el principio de asociación siga siendo vinculante y se incluya en el Semestre Europeo; pide a la Comisión y al Tribunal de Cuentas Europeo que realicen un seguimiento escrupuloso, lleven a cabo controles y formulen recomendaciones correctivas;</w:t>
      </w:r>
    </w:p>
    <w:p w:rsidR="00F54608" w:rsidRPr="00B3557D" w:rsidRDefault="00F54608" w:rsidP="00F54608">
      <w:pPr>
        <w:pStyle w:val="NormalHanging12a"/>
        <w:rPr>
          <w:szCs w:val="24"/>
        </w:rPr>
      </w:pPr>
      <w:r w:rsidRPr="00B3557D">
        <w:t>70.</w:t>
      </w:r>
      <w:r w:rsidRPr="00B3557D">
        <w:tab/>
        <w:t>Celebra la decisión de la Comisión de ampliar la validez del Código de Conducta Europeo sobre las asociaciones en el marco de los Fondos EIE (Reglamento Delegado </w:t>
      </w:r>
      <w:r w:rsidR="00676D25">
        <w:t xml:space="preserve">(UE) </w:t>
      </w:r>
      <w:r w:rsidRPr="00B3557D">
        <w:t>n.º 240/2014); considera que esas directrices contribuyen de forma significativa a una mayor participación de las autoridades locales y regionales y de otras partes interesadas, pero deben ser revisadas para seguir mejorando su eficacia y garantizar una participación aún mayor de los socios a fin de promover las acciones de base local;</w:t>
      </w:r>
    </w:p>
    <w:p w:rsidR="00F54608" w:rsidRPr="00B3557D" w:rsidRDefault="00F54608" w:rsidP="00F54608">
      <w:pPr>
        <w:pStyle w:val="NormalHanging12a"/>
        <w:rPr>
          <w:szCs w:val="24"/>
        </w:rPr>
      </w:pPr>
      <w:r w:rsidRPr="00B3557D">
        <w:t>71.</w:t>
      </w:r>
      <w:r w:rsidRPr="00B3557D">
        <w:tab/>
        <w:t>Recuerda que, en el marco de la política de cohesión 2021</w:t>
      </w:r>
      <w:r w:rsidRPr="00B3557D">
        <w:noBreakHyphen/>
        <w:t xml:space="preserve">2027, la igualdad de género y la perspectiva de género se incluyen y se promueven en todas las fases del proceso de preparación, ejecución, seguimiento y evaluación de los programas de cohesión; pone de relieve, además, el papel específico de las mujeres, particularmente en zonas remotas y rurales, ya que desempeñan un papel muy importante en la sociedad civil y en el </w:t>
      </w:r>
      <w:r w:rsidRPr="00B3557D">
        <w:lastRenderedPageBreak/>
        <w:t>crecimiento económico sostenible; observa, sin embargo, que suelen tener dificultades para acceder al mercado laboral, los servicios públicos, la asistencia sanitaria, la atención infantil y la igualdad de retribución;</w:t>
      </w:r>
    </w:p>
    <w:p w:rsidR="00F54608" w:rsidRPr="00B3557D" w:rsidRDefault="00F54608" w:rsidP="00F54608">
      <w:pPr>
        <w:pStyle w:val="NormalHanging12a"/>
        <w:rPr>
          <w:szCs w:val="24"/>
        </w:rPr>
      </w:pPr>
      <w:r w:rsidRPr="00B3557D">
        <w:t>72.</w:t>
      </w:r>
      <w:r w:rsidRPr="00B3557D">
        <w:tab/>
        <w:t>Destaca, asimismo, la especial importancia de incorporar la dimensión juvenil en la política de cohesión;</w:t>
      </w:r>
    </w:p>
    <w:p w:rsidR="00F54608" w:rsidRPr="00B3557D" w:rsidRDefault="00F54608" w:rsidP="00F54608">
      <w:pPr>
        <w:pStyle w:val="NormalHanging12a"/>
      </w:pPr>
      <w:r w:rsidRPr="00B3557D">
        <w:t>73.</w:t>
      </w:r>
      <w:r w:rsidRPr="00B3557D">
        <w:tab/>
        <w:t>Pide a la Comisión y a los Estados miembros que hagan más esfuerzos por avanzar en la materialización de los derechos de la infancia utilizando el FSE+ para apoyar intervenciones efectivas que contribuyan a este objetivo;</w:t>
      </w:r>
    </w:p>
    <w:p w:rsidR="00F54608" w:rsidRPr="00B3557D" w:rsidRDefault="00F54608" w:rsidP="00F54608">
      <w:pPr>
        <w:pStyle w:val="NormalHanging12a"/>
      </w:pPr>
      <w:r w:rsidRPr="00B3557D">
        <w:t>74.</w:t>
      </w:r>
      <w:r w:rsidRPr="00B3557D">
        <w:tab/>
        <w:t>Pide que se sigan reforzando la comunicación y la visibilidad de los programas y los proyectos financiados por la Unión en todos los Estados miembros, mediante la definición de sus objetivos, el público objetivo, los canales de comunicación, la difusión en redes sociales, el presupuesto planificado y los indicadores pertinentes para el seguimiento y la evaluación;</w:t>
      </w:r>
    </w:p>
    <w:p w:rsidR="00F54608" w:rsidRPr="00B3557D" w:rsidRDefault="00F54608" w:rsidP="00F54608">
      <w:pPr>
        <w:pStyle w:val="NormalHanging12a"/>
        <w:rPr>
          <w:i/>
        </w:rPr>
      </w:pPr>
      <w:r w:rsidRPr="00B3557D">
        <w:rPr>
          <w:i/>
        </w:rPr>
        <w:t>Enfoque local y regional</w:t>
      </w:r>
    </w:p>
    <w:p w:rsidR="00F54608" w:rsidRPr="00B3557D" w:rsidRDefault="00F54608" w:rsidP="00F54608">
      <w:pPr>
        <w:pStyle w:val="NormalHanging12a"/>
        <w:rPr>
          <w:szCs w:val="24"/>
        </w:rPr>
      </w:pPr>
      <w:r w:rsidRPr="00B3557D">
        <w:t>75.</w:t>
      </w:r>
      <w:r w:rsidRPr="00B3557D">
        <w:tab/>
        <w:t>Aboga por que se garanticen las inversiones en adaptación al cambio climático y prevención y preparación ante catástrofes, ya sea mediante un objetivo estratégico específico, una concentración temática o una condición habilitadora específica para garantizar las inversiones sostenibles en infraestructura local y regional y la gestión de riesgos en las zonas urbanas y rurales menos desarrolladas, incluidas las regiones fronterizas, las islas y las regiones ultraperiféricas; cree que la financiación específica debe centrarse en la reducción de riesgos y la preparación para un amplio espectro de catástrofes (relacionadas con el clima. biológicas, sanitarias, antropogénicas); cree que se debe prestar especial atención a la mitigación del cambio climático y a la adaptación a este para ayudar a las autoridades locales y regionales a gestionar mejor los riesgos y prepararse para responder a los efectos locales del cambio climático, desde fenómenos de inicio lento a fenómenos meteorológicos extremos, incluidos la erosión costera, la desertización, el aumento del nivel del mar, los incendios forestales, las inundaciones, los corrimientos de tierra, las olas de calor y otros desastres naturales;</w:t>
      </w:r>
    </w:p>
    <w:p w:rsidR="00F54608" w:rsidRPr="00B3557D" w:rsidRDefault="00F54608" w:rsidP="00F54608">
      <w:pPr>
        <w:pStyle w:val="NormalHanging12a"/>
        <w:rPr>
          <w:szCs w:val="24"/>
        </w:rPr>
      </w:pPr>
      <w:r w:rsidRPr="00B3557D">
        <w:t>76.</w:t>
      </w:r>
      <w:r w:rsidRPr="00B3557D">
        <w:tab/>
        <w:t>Cree que los fondos de cohesión deben beneficiar tanto a las zonas urbanas como a las rurales de un modo equilibrado; pide que la política de cohesión haga mayor hincapié en la dimensión urbana y rural mediante inversiones designadas tanto en zonas urbanas como rurales, así como vínculos más sólidos entre las inversiones sostenibles y los proyectos urbanos y rurales, a fin de abordar el reto demográfico, la trampa del desarrollo y la brecha urbana-rural que afecta a las regiones de la Unión;</w:t>
      </w:r>
    </w:p>
    <w:p w:rsidR="00F54608" w:rsidRPr="00B3557D" w:rsidRDefault="00F54608" w:rsidP="00F54608">
      <w:pPr>
        <w:pStyle w:val="NormalHanging12a"/>
        <w:rPr>
          <w:szCs w:val="24"/>
        </w:rPr>
      </w:pPr>
      <w:r w:rsidRPr="00B3557D">
        <w:t>77.</w:t>
      </w:r>
      <w:r w:rsidRPr="00B3557D">
        <w:tab/>
        <w:t>Aboga por que se eleve la proporción de las asignaciones nacionales del FEDER para el desarrollo urbano; pide a los Estados miembros que garanticen que los municipios pequeños también puedan acceder a los fondos del FEDER dedicados a financiar proyectos de desarrollo urbano sostenible e integrado; pide, asimismo, que los fondos se reserven para las zonas y regiones rurales que padecen desventajas naturales o demográficas graves y permanentes; pide que esta financiación se programe conjuntamente con las autoridades locales y regionales y en beneficio de las comunidades locales y las regiones respectivas;</w:t>
      </w:r>
    </w:p>
    <w:p w:rsidR="00F54608" w:rsidRPr="00B3557D" w:rsidRDefault="00F54608" w:rsidP="00F54608">
      <w:pPr>
        <w:pStyle w:val="NormalHanging12a"/>
        <w:rPr>
          <w:szCs w:val="24"/>
        </w:rPr>
      </w:pPr>
      <w:r w:rsidRPr="00B3557D">
        <w:t>78.</w:t>
      </w:r>
      <w:r w:rsidRPr="00B3557D">
        <w:tab/>
        <w:t xml:space="preserve">Pide que se establezca una auténtica política estructural para las zonas rurales, con </w:t>
      </w:r>
      <w:r w:rsidRPr="00B3557D">
        <w:lastRenderedPageBreak/>
        <w:t>objetivos temáticos adecuados que respondan a los retos específicos de estas zonas, como la desertización rural, el envejecimiento de la población, la despoblación y el abandono de las zonas rurales, el declive de las comunidades en general y la insuficiencia de la asistencia sanitaria y las oportunidades de educación;</w:t>
      </w:r>
    </w:p>
    <w:p w:rsidR="00F54608" w:rsidRPr="00B3557D" w:rsidRDefault="00F54608" w:rsidP="00F54608">
      <w:pPr>
        <w:pStyle w:val="NormalHanging12a"/>
        <w:rPr>
          <w:szCs w:val="24"/>
        </w:rPr>
      </w:pPr>
      <w:r w:rsidRPr="00B3557D">
        <w:t>79.</w:t>
      </w:r>
      <w:r w:rsidRPr="00B3557D">
        <w:tab/>
        <w:t>Promueve las sinergias entre los proyectos conjuntos y los acuerdos de colaboración entre los diferentes niveles de gobernanza con el fin de aprovechar las capacidades mancomunadas y las economías de escala en las inversiones de la Unión en infraestructuras, innovación, mitigación del cambio climático y adaptación a este, y transición ecológica y digital; cree que este proceso debe dar lugar a una mayor sensación de que los proyectos son algo propio y a la consolidación de las inversiones sostenibles, en lugar de a la fragmentación y la ausencia de sinergias;</w:t>
      </w:r>
    </w:p>
    <w:p w:rsidR="00F54608" w:rsidRPr="00B3557D" w:rsidRDefault="00F54608" w:rsidP="00F54608">
      <w:pPr>
        <w:pStyle w:val="NormalHanging12a"/>
        <w:rPr>
          <w:szCs w:val="24"/>
        </w:rPr>
      </w:pPr>
      <w:r w:rsidRPr="00B3557D">
        <w:t>80.</w:t>
      </w:r>
      <w:r w:rsidRPr="00B3557D">
        <w:tab/>
        <w:t>Destaca el valor añadido de la cooperación territorial en general y de la cooperación transfronteriza en particular; pide que se incremente el presupuesto para los programas de cooperación territorial europea, ya que aportan un marco único para la cooperación interregional, transfronteriza y transnacional y ayudan a abordar retos comunes, impulsando las asociaciones y promoviendo el desarrollo económico, la cohesión social y la sostenibilidad medioambiental; sugiere que el «</w:t>
      </w:r>
      <w:proofErr w:type="spellStart"/>
      <w:r w:rsidRPr="00B3557D">
        <w:t>borderland</w:t>
      </w:r>
      <w:proofErr w:type="spellEnd"/>
      <w:r w:rsidRPr="00B3557D">
        <w:t xml:space="preserve"> </w:t>
      </w:r>
      <w:proofErr w:type="spellStart"/>
      <w:r w:rsidRPr="00B3557D">
        <w:t>billion</w:t>
      </w:r>
      <w:proofErr w:type="spellEnd"/>
      <w:r w:rsidRPr="00B3557D">
        <w:t>» se confíe directamente a la Agrupación Europea de Cooperación Territorial, que se encargará de su gestión independiente y su distribución entre proyectos;</w:t>
      </w:r>
    </w:p>
    <w:p w:rsidR="00F54608" w:rsidRPr="00B3557D" w:rsidRDefault="00F54608" w:rsidP="00F54608">
      <w:pPr>
        <w:pStyle w:val="NormalHanging12a"/>
        <w:rPr>
          <w:szCs w:val="24"/>
        </w:rPr>
      </w:pPr>
      <w:r w:rsidRPr="00B3557D">
        <w:t>81.</w:t>
      </w:r>
      <w:r w:rsidRPr="00B3557D">
        <w:tab/>
        <w:t>Considera que la Agenda Territorial 2030 es un instrumento real y adecuado que garantiza la cohesión de la Unión a través de la gestión de cada una de sus regiones y sus particularidades; pide a la Comisión que considere la posibilidad de modificar el papel de la Agenda Territorial 2030 más allá del de una guía de gestión territorial; pide a los Estados miembros que elaboren sus agendas territoriales en consonancia con la Agenda Territorial 2030 como base para programar sus estrategias territoriales, teniendo en cuenta las especificidades de cada una de sus regiones y a modo de incentivo, y con el fin de estimular el proceso de toma de decisiones y el diseño de las políticas territoriales y urbanas;</w:t>
      </w:r>
    </w:p>
    <w:p w:rsidR="00F54608" w:rsidRPr="00B3557D" w:rsidRDefault="00F54608" w:rsidP="00F54608">
      <w:pPr>
        <w:pStyle w:val="NormalHanging12a"/>
        <w:rPr>
          <w:szCs w:val="24"/>
        </w:rPr>
      </w:pPr>
      <w:r w:rsidRPr="00B3557D">
        <w:t>82.</w:t>
      </w:r>
      <w:r w:rsidRPr="00B3557D">
        <w:tab/>
        <w:t>Reconoce que las herramientas de desarrollo territorial integrado desempeñan un papel fundamental en la calidad de la ejecución y la absorción de recursos; pide que una proporción de los fondos de la política de cohesión se reserve para desarrollar enfoques territoriales en zonas rurales o enfoques territoriales urbanos-rurales a través de las inversiones territoriales integradas, el desarrollo local participativo u otros mecanismos destinados al desarrollo rural no agrícola, a fin de complementar las acciones apoyadas en virtud del enfoque LEADER de la política agrícola común, lo que será también un modo fundamental de abordar la geografía del descontento;</w:t>
      </w:r>
    </w:p>
    <w:p w:rsidR="00F54608" w:rsidRPr="00B3557D" w:rsidRDefault="00F54608" w:rsidP="00F54608">
      <w:pPr>
        <w:pStyle w:val="NormalHanging12a"/>
      </w:pPr>
      <w:r w:rsidRPr="00B3557D">
        <w:t>83.</w:t>
      </w:r>
      <w:r w:rsidRPr="00B3557D">
        <w:tab/>
        <w:t>Opina que el uso de liberaciones de compromisos en materia de cohesión para los márgenes de reserva en el marco de la política de cohesión ayudaría, entre otras cosas, a absorber situaciones inflacionistas futuras o de perturbación de la cadena de suministro; considera que este uso debe funcionar de manera continua en función de las necesidades y tras los ciclos de liberación anual y plurianual;</w:t>
      </w:r>
    </w:p>
    <w:p w:rsidR="00F54608" w:rsidRPr="00B3557D" w:rsidRDefault="00F54608" w:rsidP="00F54608">
      <w:pPr>
        <w:pStyle w:val="NormalHanging12a"/>
        <w:rPr>
          <w:szCs w:val="24"/>
        </w:rPr>
      </w:pPr>
      <w:r w:rsidRPr="00B3557D">
        <w:t>84.</w:t>
      </w:r>
      <w:r w:rsidRPr="00B3557D">
        <w:tab/>
        <w:t xml:space="preserve">Considera que el equilibrio entre la necesaria orientación de base local y el apoyo a las prioridades temáticas de la Unión podría alcanzarse con una flexibilidad mayor y un menú seleccionable de objetivos temáticos y retos, accesible a las regiones y municipios en función de sus necesidades y su nivel de desarrollo, y respetando, al mismo tiempo, </w:t>
      </w:r>
      <w:r w:rsidRPr="00B3557D">
        <w:lastRenderedPageBreak/>
        <w:t>la concentración temática a escala nacional; destaca que un modelo de este tipo reduce la complejidad del proceso de programación y tiene en cuenta las características regionales; resalta que la política de cohesión debe continuar siguiendo el panorama local de necesidades a fin de abordarlas eficazmente en el contexto de la reducción de las disparidades regionales en toda la Unión;</w:t>
      </w:r>
    </w:p>
    <w:p w:rsidR="00F54608" w:rsidRPr="00B3557D" w:rsidRDefault="00F54608" w:rsidP="00F54608">
      <w:pPr>
        <w:pStyle w:val="NormalHanging12a"/>
        <w:rPr>
          <w:szCs w:val="24"/>
        </w:rPr>
      </w:pPr>
      <w:r w:rsidRPr="00B3557D">
        <w:t>85.</w:t>
      </w:r>
      <w:r w:rsidRPr="00B3557D">
        <w:tab/>
        <w:t>Subraya que la concentración temática sigue siendo la piedra angular para lograr la transición a una Europa más competitiva, inteligente, más social y resiliente, así como una economía de cero emisiones netas de carbono; señala, sin embargo, que debe adaptarse a las necesidades reales de las regiones y ciudades, y al modo en que actúan en términos prácticos, desde la programación y la reprogramación hasta la ejecución y el cierre; está seguro de que el principio fundamental debe consistir en un enfoque de inversión a medida orientado a las necesidades específicas sobre el terreno;</w:t>
      </w:r>
    </w:p>
    <w:p w:rsidR="00F54608" w:rsidRPr="00B3557D" w:rsidRDefault="00F54608" w:rsidP="00F54608">
      <w:pPr>
        <w:pStyle w:val="NormalHanging12a"/>
        <w:rPr>
          <w:szCs w:val="24"/>
        </w:rPr>
      </w:pPr>
      <w:r w:rsidRPr="00B3557D">
        <w:t>86.</w:t>
      </w:r>
      <w:r w:rsidRPr="00B3557D">
        <w:tab/>
        <w:t>Pide a la Comisión que, en el momento de determinar el nivel de apoyo de cada región, tenga en cuenta características adicionales, como las zonas de la región con potencial de crecimiento, la intensidad de los retos concretos a que se enfrentan, su grado de exposición a los efectos de las transiciones en curso, como las transiciones industrial y digital o su nivel de progreso social, para definir mejor el itinerario de cada región hacia la convergencia; resalta que el PIB como único indicador del desarrollo no tiene en cuenta todos los aspectos de este y pide que se complemente con nuevos criterios, como el Índice de Progreso Social de la UE y el Índice de Vulnerabilidad al Cambio Climático; subraya la importancia de prestar especial atención al apoyo de las regiones que se enfrentan a una trampa de desarrollo, como pone de relieve el octavo informe sobre la cohesión;</w:t>
      </w:r>
    </w:p>
    <w:p w:rsidR="00F54608" w:rsidRPr="00B3557D" w:rsidRDefault="00F54608" w:rsidP="00F54608">
      <w:pPr>
        <w:pStyle w:val="NormalHanging12a"/>
        <w:rPr>
          <w:szCs w:val="24"/>
        </w:rPr>
      </w:pPr>
      <w:r w:rsidRPr="00B3557D">
        <w:t>87.</w:t>
      </w:r>
      <w:r w:rsidRPr="00B3557D">
        <w:tab/>
        <w:t>Pide que se aborden las disparidades interregionales prestando más atención a la diversidad de territorios; pide a la Comisión que considere la posibilidad de evaluar las asignaciones iniciales y los porcentajes de cofinanciación sobre la base de NUTS 3 con el fin de que la financiación se dirija hacia donde sea más necesaria y para evitar que surjan bolsas de pobreza y subdesarrollo; subraya que tal cambio debería tener en cuenta los posibles efectos negativos sobre la financiación de la Unión para las grandes zonas urbanas, como las áreas metropolitanas;</w:t>
      </w:r>
    </w:p>
    <w:p w:rsidR="00F54608" w:rsidRPr="00B3557D" w:rsidRDefault="00F54608" w:rsidP="00F54608">
      <w:pPr>
        <w:pStyle w:val="NormalHanging12a"/>
        <w:rPr>
          <w:szCs w:val="24"/>
        </w:rPr>
      </w:pPr>
      <w:r w:rsidRPr="00B3557D">
        <w:t>88.</w:t>
      </w:r>
      <w:r w:rsidRPr="00B3557D">
        <w:tab/>
        <w:t>Considera que, a la hora de asignar fondos para proyectos locales en zonas rurales y urbanas, la atención debe centrarse en proyectos conjuntos de interés común, al tiempo que se anima la participación de las pymes; pide que los instrumentos financieros regionales de menor tamaño se combinen con iniciativas regionales de mayor tamaño para mejorar su eficiencia e impacto estratégico; pide a la Comisión que facilite orientación y apoyo a la planificación, en particular para los proyectos pequeños y territoriales integrados, con el fin de evitar liberalizaciones y readaptaciones; destaca la importancia de reforzar el enfoque ascendente del desarrollo territorial, que es un vehículo para la innovación social y el desarrollo de capacidades;</w:t>
      </w:r>
    </w:p>
    <w:p w:rsidR="00F54608" w:rsidRPr="00B3557D" w:rsidRDefault="00F54608" w:rsidP="00F54608">
      <w:pPr>
        <w:pStyle w:val="NormalHanging12a"/>
        <w:rPr>
          <w:szCs w:val="24"/>
        </w:rPr>
      </w:pPr>
      <w:r w:rsidRPr="00B3557D">
        <w:t>89.</w:t>
      </w:r>
      <w:r w:rsidRPr="00B3557D">
        <w:tab/>
        <w:t>Destaca la importancia de la buena gobernanza a todos los niveles en la gestión de la política de cohesión; destaca que la calidad de las estructuras de gobernanza puede determinar la combinación óptima de prioridades de inversión con el fin de lograr la coordinación vertical y horizontal multinivel necesaria para diseñar y aplicar estrategias de desarrollo integradas;</w:t>
      </w:r>
    </w:p>
    <w:p w:rsidR="00F54608" w:rsidRPr="00B3557D" w:rsidRDefault="00F54608" w:rsidP="00F54608">
      <w:pPr>
        <w:pStyle w:val="NormalHanging12a"/>
        <w:rPr>
          <w:szCs w:val="24"/>
        </w:rPr>
      </w:pPr>
      <w:r w:rsidRPr="00B3557D">
        <w:t>90.</w:t>
      </w:r>
      <w:r w:rsidRPr="00B3557D">
        <w:tab/>
        <w:t xml:space="preserve">Pide que se refuerce la representación de las autoridades rurales y urbanas en los </w:t>
      </w:r>
      <w:r w:rsidRPr="00B3557D">
        <w:lastRenderedPageBreak/>
        <w:t xml:space="preserve">comités de seguimiento, que podrían </w:t>
      </w:r>
      <w:proofErr w:type="spellStart"/>
      <w:r w:rsidRPr="00B3557D">
        <w:t>coevaluar</w:t>
      </w:r>
      <w:proofErr w:type="spellEnd"/>
      <w:r w:rsidRPr="00B3557D">
        <w:t xml:space="preserve"> la eficacia de la gestión de los fondos; reitera que estos representantes deben compartir las tareas de programación y reprogramación, entre otras, a fin de respetar la gobernanza multinivel;</w:t>
      </w:r>
    </w:p>
    <w:p w:rsidR="00F54608" w:rsidRPr="00B3557D" w:rsidRDefault="00F54608" w:rsidP="00F54608">
      <w:pPr>
        <w:pStyle w:val="NormalHanging12a"/>
        <w:rPr>
          <w:szCs w:val="24"/>
        </w:rPr>
      </w:pPr>
      <w:r w:rsidRPr="00B3557D">
        <w:t>91.</w:t>
      </w:r>
      <w:r w:rsidRPr="00B3557D">
        <w:tab/>
        <w:t>Pide a la Comisión que adopte las medidas necesarias para abordar las deficiencias observadas en la gestión de los fondos de la política de cohesión por las autoridades de gestión, simplificando al mismo tiempo el acceso a la asistencia técnica, a fin de mejorar las capacidades administrativas y de gestión de las entidades competentes;</w:t>
      </w:r>
    </w:p>
    <w:p w:rsidR="00F54608" w:rsidRPr="00B3557D" w:rsidRDefault="00F54608" w:rsidP="00F54608">
      <w:pPr>
        <w:pStyle w:val="NormalHanging12a"/>
      </w:pPr>
      <w:r w:rsidRPr="00B3557D">
        <w:t>92.</w:t>
      </w:r>
      <w:r w:rsidRPr="00B3557D">
        <w:tab/>
        <w:t>Pide una mayor participación de iniciativas de la Comisión, como el Pacto de las Alcaldías para el Clima y la Energía, en el proceso de diseño y aplicación de la próxima generación de normas de la política de cohesión; cree que las redes de ciudades desempeñan un papel indispensable a la hora de cerrar la brecha entre la elaboración de políticas y su aplicación sobre el terreno; reconoce que el apoyo normativo y de ejecución, orientado a los alcaldes y las autoridades locales, genera resultados significativamente mejores en el contexto de la ejecución de la política;</w:t>
      </w:r>
    </w:p>
    <w:p w:rsidR="00F54608" w:rsidRPr="00B3557D" w:rsidRDefault="00F54608" w:rsidP="00F54608">
      <w:pPr>
        <w:pStyle w:val="NormalHanging12a"/>
        <w:rPr>
          <w:szCs w:val="24"/>
        </w:rPr>
      </w:pPr>
      <w:r w:rsidRPr="00B3557D">
        <w:t>93.</w:t>
      </w:r>
      <w:r w:rsidRPr="00B3557D">
        <w:tab/>
        <w:t>Resalta las diferencias existentes entre Estados miembros en lo que atañe a las competencias de las autoridades regionales y locales; pide un enfoque mejorado de base local a fin de acercar la gestión de la política de cohesión a la escala regional y local; subraya que el trabajo preparatorio, la capacidad administrativa y el respaldo institucional adecuados son indispensables para garantizar la eficacia de la política, reducir el número de irregularidades y el fraude, y evitar cargas administrativas adicionales para las autoridades de gestión, los contratistas y los beneficiarios finales;</w:t>
      </w:r>
    </w:p>
    <w:p w:rsidR="00F54608" w:rsidRPr="00B3557D" w:rsidRDefault="00F54608" w:rsidP="00F54608">
      <w:pPr>
        <w:pStyle w:val="NormalHanging12a"/>
        <w:rPr>
          <w:szCs w:val="24"/>
        </w:rPr>
      </w:pPr>
      <w:r w:rsidRPr="00B3557D">
        <w:t>94.</w:t>
      </w:r>
      <w:r w:rsidRPr="00B3557D">
        <w:tab/>
        <w:t>Está convencido de que el fomento de una mayor sensación de responsabilización local y regional a largo plazo, así como la durabilidad de los proyectos de la Unión y un mayor efecto multiplicador de la cofinanciación pueden lograrse mediante el incremento de la capacidad presupuestaria de las regiones y los municipios; reconoce que tal vía mejoraría la capacidad de endeudamiento de las regiones y municipios vinculada a los instrumentos financieros facilitados por el presupuesto de la Unión; subraya que los presupuestos locales y regionales deben poder compensar los efectos de las perturbaciones inflacionistas y posibles crisis sobre los proyectos cofinanciados de la Unión;</w:t>
      </w:r>
    </w:p>
    <w:p w:rsidR="00F54608" w:rsidRPr="00B3557D" w:rsidRDefault="00F54608" w:rsidP="00F54608">
      <w:pPr>
        <w:pStyle w:val="NormalHanging12a"/>
        <w:rPr>
          <w:szCs w:val="24"/>
        </w:rPr>
      </w:pPr>
      <w:r w:rsidRPr="00B3557D">
        <w:t>95.</w:t>
      </w:r>
      <w:r w:rsidRPr="00B3557D">
        <w:tab/>
        <w:t>Pide una mayor participación del Grupo del Banco Europeo de Inversiones (BEI) en las inversiones de la política de cohesión, especialmente en las regiones menos desarrolladas, mediante el apoyo a las ciudades sostenibles, la energía sostenible, la economía circular, el empleo verde y los proyectos de innovación local y regional, así como mediante un mayor uso de los instrumentos y el apoyo financieros para inversiones del sector privado; aboga por que se amplíe la ayuda local y regional a los proyectos y los instrumentos financieros que complementan e impulsan las subvenciones de la Unión; reconoce que en muchos Estados miembros la financiación del BEI, como los préstamos para programas estructurales, contribuye de forma significativa a las obligaciones nacionales de cofinanciación de la política de cohesión, lo que a su vez facilita y acelera la ejecución de los programas;</w:t>
      </w:r>
    </w:p>
    <w:p w:rsidR="00F54608" w:rsidRPr="00B3557D" w:rsidRDefault="00F54608" w:rsidP="00F54608">
      <w:pPr>
        <w:pStyle w:val="NormalHanging12a"/>
        <w:rPr>
          <w:szCs w:val="24"/>
        </w:rPr>
      </w:pPr>
      <w:r w:rsidRPr="00B3557D">
        <w:t>96.</w:t>
      </w:r>
      <w:r w:rsidRPr="00B3557D">
        <w:tab/>
        <w:t xml:space="preserve">Subraya que la capacidad técnica, financiera y administrativa es esencial para garantizar que los órganos de gestión y las autoridades locales y regionales adquieran conocimientos técnicos, en especial sobre el cambio climático, que puedan utilizar para la planificación y la gestión urbanas y rurales; está convencido de que esto conducirá a </w:t>
      </w:r>
      <w:r w:rsidRPr="00B3557D">
        <w:lastRenderedPageBreak/>
        <w:t>un mejor diseño y una mejor evaluación de las propuestas de proyecto, una asignación más eficaz de los recursos y una ejecución presupuestaria satisfactoria sin riesgo significativo de liberaciones;</w:t>
      </w:r>
    </w:p>
    <w:p w:rsidR="00F54608" w:rsidRPr="00B3557D" w:rsidRDefault="00F54608" w:rsidP="00F54608">
      <w:pPr>
        <w:pStyle w:val="NormalHanging12a"/>
        <w:rPr>
          <w:szCs w:val="24"/>
        </w:rPr>
      </w:pPr>
      <w:r w:rsidRPr="00B3557D">
        <w:t>97.</w:t>
      </w:r>
      <w:r w:rsidRPr="00B3557D">
        <w:tab/>
        <w:t>Aboga por que los programas de asistencia técnica y asesoramiento existentes se dirijan específicamente a los municipios de menor tamaño y a las zonas transfronterizas, remotas y rurales, así como a las regiones insulares y ultraperiféricas, para que puedan enfrentarse a nuevos retos, como la transición ecológica y el cambio climático; resalta, en este sentido, la importancia de que el BEI y la Comisión colaboren en el desarrollo de los instrumentos de asistencia técnica, también en materia de eficiencia energética; pide un apoyo específico en forma de una financiación del 100 % de la Unión para la creación de capacidades técnicas, financieras y administrativas, el diseño y la preparación de proyectos, la identificación y la creación de una reserva de proyectos, así como las capacidades de planificación estratégica, incluidos los instrumentos de planificación; considera que la plataforma URBIS debe seguir desarrollándose como punto de contacto único para los municipios;</w:t>
      </w:r>
    </w:p>
    <w:p w:rsidR="00F54608" w:rsidRPr="00B3557D" w:rsidRDefault="00F54608" w:rsidP="00F54608">
      <w:pPr>
        <w:pStyle w:val="NormalHanging12a"/>
        <w:rPr>
          <w:szCs w:val="24"/>
        </w:rPr>
      </w:pPr>
      <w:r w:rsidRPr="00B3557D">
        <w:t>98.</w:t>
      </w:r>
      <w:r w:rsidRPr="00B3557D">
        <w:tab/>
        <w:t xml:space="preserve">Insiste en una revisión crítica de las iniciativas </w:t>
      </w:r>
      <w:r w:rsidRPr="00B3557D">
        <w:rPr>
          <w:i/>
          <w:iCs/>
        </w:rPr>
        <w:t>ad hoc</w:t>
      </w:r>
      <w:r w:rsidRPr="00B3557D">
        <w:t xml:space="preserve"> de la Comisión y en la revisión exhaustiva de las nuevas iniciativas en cuanto a su calidad y cantidad; exige que este proceso se gestione conjuntamente y en régimen de asociación, con una representación garantizada a escala local, tanto de las ciudades como de las zonas rurales, así como de las regiones y de las organizaciones de la sociedad civil; advierte de que la proliferación de las iniciativas </w:t>
      </w:r>
      <w:r w:rsidRPr="00B3557D">
        <w:rPr>
          <w:i/>
          <w:iCs/>
        </w:rPr>
        <w:t>ad hoc</w:t>
      </w:r>
      <w:r w:rsidRPr="00B3557D">
        <w:t xml:space="preserve"> de la Comisión financiadas por fondos de la política de cohesión que no tengan valor añadido para la escala local y regional podría socavar la eficacia de los créditos globales de cohesión previstos con antelación; insiste en que toda nueva iniciativa de la Comisión vaya acompañada de un complemento presupuestario correspondiente;</w:t>
      </w:r>
    </w:p>
    <w:p w:rsidR="00F54608" w:rsidRPr="00B3557D" w:rsidRDefault="00F54608" w:rsidP="00F54608">
      <w:pPr>
        <w:pStyle w:val="NormalHanging12a"/>
        <w:jc w:val="center"/>
      </w:pPr>
      <w:r w:rsidRPr="00B3557D">
        <w:t>°</w:t>
      </w:r>
    </w:p>
    <w:p w:rsidR="00F54608" w:rsidRPr="00B3557D" w:rsidRDefault="00F54608" w:rsidP="00F54608">
      <w:pPr>
        <w:pStyle w:val="NormalHanging12a"/>
        <w:jc w:val="center"/>
      </w:pPr>
      <w:r w:rsidRPr="00B3557D">
        <w:t>°</w:t>
      </w:r>
      <w:r w:rsidRPr="00B3557D">
        <w:tab/>
        <w:t>°</w:t>
      </w:r>
    </w:p>
    <w:p w:rsidR="00E365E1" w:rsidRPr="00B3557D" w:rsidRDefault="00F54608" w:rsidP="0057032A">
      <w:pPr>
        <w:pStyle w:val="NormalHanging12a"/>
      </w:pPr>
      <w:r w:rsidRPr="00B3557D">
        <w:t>99.</w:t>
      </w:r>
      <w:r w:rsidRPr="00B3557D">
        <w:tab/>
        <w:t>Encarga a su presidenta que transmita la presente Resolución al Consejo, a la Comisión, al Comité Económico y Social Europeo y al Comité de las Regiones, así como a los Parlamentos nacionales y regionales de los Estados miembros.</w:t>
      </w:r>
      <w:bookmarkStart w:id="9" w:name="TextBodyEnd"/>
      <w:bookmarkEnd w:id="9"/>
    </w:p>
    <w:sectPr w:rsidR="00E365E1" w:rsidRPr="00B3557D" w:rsidSect="006A2AE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113" w:rsidRPr="006A2AE3" w:rsidRDefault="00FD2113">
      <w:r w:rsidRPr="006A2AE3">
        <w:separator/>
      </w:r>
    </w:p>
  </w:endnote>
  <w:endnote w:type="continuationSeparator" w:id="0">
    <w:p w:rsidR="00FD2113" w:rsidRPr="006A2AE3" w:rsidRDefault="00FD2113">
      <w:r w:rsidRPr="006A2A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AE3" w:rsidRPr="006A2AE3" w:rsidRDefault="006A2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AE3" w:rsidRPr="006A2AE3" w:rsidRDefault="006A2A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AE3" w:rsidRPr="006A2AE3" w:rsidRDefault="006A2A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A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AE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A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113" w:rsidRPr="006A2AE3" w:rsidRDefault="00FD2113">
      <w:r w:rsidRPr="006A2AE3">
        <w:separator/>
      </w:r>
    </w:p>
  </w:footnote>
  <w:footnote w:type="continuationSeparator" w:id="0">
    <w:p w:rsidR="00FD2113" w:rsidRPr="006A2AE3" w:rsidRDefault="00FD2113">
      <w:r w:rsidRPr="006A2AE3">
        <w:continuationSeparator/>
      </w:r>
    </w:p>
  </w:footnote>
  <w:footnote w:id="1">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347 de 20.12.2013, p. 320.</w:t>
      </w:r>
    </w:p>
  </w:footnote>
  <w:footnote w:id="2">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347 de 20.12.2013, p. 289.</w:t>
      </w:r>
    </w:p>
  </w:footnote>
  <w:footnote w:id="3">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347 de 20.12.2013, p. 281.</w:t>
      </w:r>
    </w:p>
  </w:footnote>
  <w:footnote w:id="4">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347 de 20.12.2013, p. 259.</w:t>
      </w:r>
    </w:p>
  </w:footnote>
  <w:footnote w:id="5">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347 de 20.12.2013, p. 470.</w:t>
      </w:r>
    </w:p>
  </w:footnote>
  <w:footnote w:id="6">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99 de 31.3.2020, p. 5.</w:t>
      </w:r>
    </w:p>
  </w:footnote>
  <w:footnote w:id="7">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130 de 24.4.2020, p. 1.</w:t>
      </w:r>
    </w:p>
  </w:footnote>
  <w:footnote w:id="8">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109 de 8.4.2022, p. 1.</w:t>
      </w:r>
    </w:p>
  </w:footnote>
  <w:footnote w:id="9">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L 275 de 25.10.2022, p. 23.</w:t>
      </w:r>
    </w:p>
  </w:footnote>
  <w:footnote w:id="10">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Textos Aprobados, P9_TA(2023)0439.</w:t>
      </w:r>
    </w:p>
  </w:footnote>
  <w:footnote w:id="11">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C/2023/1061, 15.12.2023, ELI: http://data.europa.eu/eli/C/2023/1061/oj.</w:t>
      </w:r>
    </w:p>
  </w:footnote>
  <w:footnote w:id="12">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125 de 5.4.2023, p. 100.</w:t>
      </w:r>
    </w:p>
  </w:footnote>
  <w:footnote w:id="13">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125 de 5.4.2023, p. 114.</w:t>
      </w:r>
    </w:p>
  </w:footnote>
  <w:footnote w:id="14">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342 de 6.9.2022, p. 2.</w:t>
      </w:r>
    </w:p>
  </w:footnote>
  <w:footnote w:id="15">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117 de 11.3.2022, p. 18.</w:t>
      </w:r>
    </w:p>
  </w:footnote>
  <w:footnote w:id="16">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15 de 12.1.2022, p. 125.</w:t>
      </w:r>
    </w:p>
  </w:footnote>
  <w:footnote w:id="17">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494 de 8.12.2021, p. 26.</w:t>
      </w:r>
    </w:p>
  </w:footnote>
  <w:footnote w:id="18">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28 de 27.1.2020, p. 40.</w:t>
      </w:r>
    </w:p>
  </w:footnote>
  <w:footnote w:id="19">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162 de 10.5.2019, p. 24.</w:t>
      </w:r>
    </w:p>
  </w:footnote>
  <w:footnote w:id="20">
    <w:p w:rsidR="00F54608" w:rsidRPr="00B3557D" w:rsidRDefault="00F54608" w:rsidP="006A2AE3">
      <w:pPr>
        <w:pStyle w:val="FootnoteText"/>
        <w:ind w:left="567" w:hanging="567"/>
        <w:rPr>
          <w:sz w:val="24"/>
          <w:lang w:val="pt-PT"/>
        </w:rPr>
      </w:pPr>
      <w:r w:rsidRPr="006A2AE3">
        <w:rPr>
          <w:rStyle w:val="FootnoteReference"/>
          <w:sz w:val="24"/>
          <w:lang w:val="es-ES_tradnl"/>
        </w:rPr>
        <w:footnoteRef/>
      </w:r>
      <w:r w:rsidR="006A2AE3" w:rsidRPr="00B3557D">
        <w:rPr>
          <w:sz w:val="24"/>
          <w:lang w:val="pt-PT"/>
        </w:rPr>
        <w:t xml:space="preserve"> </w:t>
      </w:r>
      <w:r w:rsidR="006A2AE3" w:rsidRPr="00B3557D">
        <w:rPr>
          <w:sz w:val="24"/>
          <w:lang w:val="pt-PT"/>
        </w:rPr>
        <w:tab/>
      </w:r>
      <w:r w:rsidRPr="00B3557D">
        <w:rPr>
          <w:sz w:val="24"/>
          <w:lang w:val="pt-PT"/>
        </w:rPr>
        <w:t>DO C, C/2024/1041, 9.2.2024, ELI: http://data.europa.eu/eli/C/2024/1041/oj.</w:t>
      </w:r>
    </w:p>
  </w:footnote>
  <w:footnote w:id="21">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 xml:space="preserve">Estudio – Investigación para la Comisión de Desarrollo Regional, «EU </w:t>
      </w:r>
      <w:proofErr w:type="spellStart"/>
      <w:r w:rsidRPr="006A2AE3">
        <w:rPr>
          <w:sz w:val="24"/>
          <w:lang w:val="es-ES_tradnl"/>
        </w:rPr>
        <w:t>lagging</w:t>
      </w:r>
      <w:proofErr w:type="spellEnd"/>
      <w:r w:rsidRPr="006A2AE3">
        <w:rPr>
          <w:sz w:val="24"/>
          <w:lang w:val="es-ES_tradnl"/>
        </w:rPr>
        <w:t xml:space="preserve"> </w:t>
      </w:r>
      <w:proofErr w:type="spellStart"/>
      <w:r w:rsidRPr="006A2AE3">
        <w:rPr>
          <w:sz w:val="24"/>
          <w:lang w:val="es-ES_tradnl"/>
        </w:rPr>
        <w:t>regions</w:t>
      </w:r>
      <w:proofErr w:type="spellEnd"/>
      <w:r w:rsidRPr="006A2AE3">
        <w:rPr>
          <w:sz w:val="24"/>
          <w:lang w:val="es-ES_tradnl"/>
        </w:rPr>
        <w:t xml:space="preserve">: </w:t>
      </w:r>
      <w:proofErr w:type="spellStart"/>
      <w:r w:rsidRPr="006A2AE3">
        <w:rPr>
          <w:sz w:val="24"/>
          <w:lang w:val="es-ES_tradnl"/>
        </w:rPr>
        <w:t>state</w:t>
      </w:r>
      <w:proofErr w:type="spellEnd"/>
      <w:r w:rsidRPr="006A2AE3">
        <w:rPr>
          <w:sz w:val="24"/>
          <w:lang w:val="es-ES_tradnl"/>
        </w:rPr>
        <w:t xml:space="preserve"> of </w:t>
      </w:r>
      <w:proofErr w:type="spellStart"/>
      <w:r w:rsidRPr="006A2AE3">
        <w:rPr>
          <w:sz w:val="24"/>
          <w:lang w:val="es-ES_tradnl"/>
        </w:rPr>
        <w:t>play</w:t>
      </w:r>
      <w:proofErr w:type="spellEnd"/>
      <w:r w:rsidRPr="006A2AE3">
        <w:rPr>
          <w:sz w:val="24"/>
          <w:lang w:val="es-ES_tradnl"/>
        </w:rPr>
        <w:t xml:space="preserve"> and </w:t>
      </w:r>
      <w:proofErr w:type="spellStart"/>
      <w:r w:rsidRPr="006A2AE3">
        <w:rPr>
          <w:sz w:val="24"/>
          <w:lang w:val="es-ES_tradnl"/>
        </w:rPr>
        <w:t>future</w:t>
      </w:r>
      <w:proofErr w:type="spellEnd"/>
      <w:r w:rsidRPr="006A2AE3">
        <w:rPr>
          <w:sz w:val="24"/>
          <w:lang w:val="es-ES_tradnl"/>
        </w:rPr>
        <w:t xml:space="preserve"> </w:t>
      </w:r>
      <w:proofErr w:type="spellStart"/>
      <w:r w:rsidRPr="006A2AE3">
        <w:rPr>
          <w:sz w:val="24"/>
          <w:lang w:val="es-ES_tradnl"/>
        </w:rPr>
        <w:t>challenges</w:t>
      </w:r>
      <w:proofErr w:type="spellEnd"/>
      <w:r w:rsidRPr="006A2AE3">
        <w:rPr>
          <w:sz w:val="24"/>
          <w:lang w:val="es-ES_tradnl"/>
        </w:rPr>
        <w:t>» (Regiones menos desarrolladas de la UE: situación actual y retos futuros), Parlamento Europeo, Dirección General de Políticas Interiores de la Unión, Departamento Temático de Políticas Estructurales y de Cohesión, 26 de octubre de 2020.</w:t>
      </w:r>
    </w:p>
  </w:footnote>
  <w:footnote w:id="22">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Tribunal de Cuentas Europeo: Informe Especial 02/2023, «</w:t>
      </w:r>
      <w:hyperlink r:id="rId1" w:history="1">
        <w:r w:rsidRPr="006A2AE3">
          <w:rPr>
            <w:rStyle w:val="Hyperlink"/>
            <w:sz w:val="24"/>
            <w:lang w:val="es-ES_tradnl"/>
          </w:rPr>
          <w:t>Adaptación de las normas de la política de cohesión  para responder a la COVID-19</w:t>
        </w:r>
      </w:hyperlink>
      <w:r w:rsidRPr="006A2AE3">
        <w:rPr>
          <w:sz w:val="24"/>
          <w:lang w:val="es-ES_tradnl"/>
        </w:rPr>
        <w:t>», 2 de febrero de 2023.</w:t>
      </w:r>
    </w:p>
  </w:footnote>
  <w:footnote w:id="23">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 xml:space="preserve">Tribunal de Cuentas Europeo: </w:t>
      </w:r>
      <w:hyperlink r:id="rId2" w:history="1">
        <w:r w:rsidRPr="006A2AE3">
          <w:rPr>
            <w:rStyle w:val="Hyperlink"/>
            <w:sz w:val="24"/>
            <w:lang w:val="es-ES_tradnl"/>
          </w:rPr>
          <w:t>Informe Anual sobre la ejecución del presupuesto de la UE relativo al ejercicio 2022</w:t>
        </w:r>
      </w:hyperlink>
      <w:r w:rsidRPr="006A2AE3">
        <w:rPr>
          <w:sz w:val="24"/>
          <w:lang w:val="es-ES_tradnl"/>
        </w:rPr>
        <w:t>, 5 de octubre de 2023.</w:t>
      </w:r>
    </w:p>
  </w:footnote>
  <w:footnote w:id="24">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Reglamento Delegado (UE) n.º </w:t>
      </w:r>
      <w:bookmarkStart w:id="8" w:name="_GoBack"/>
      <w:r w:rsidRPr="006A2AE3">
        <w:rPr>
          <w:sz w:val="24"/>
          <w:lang w:val="es-ES_tradnl"/>
        </w:rPr>
        <w:t>240/2014</w:t>
      </w:r>
      <w:bookmarkEnd w:id="8"/>
      <w:r w:rsidRPr="006A2AE3">
        <w:rPr>
          <w:sz w:val="24"/>
          <w:lang w:val="es-ES_tradnl"/>
        </w:rPr>
        <w:t xml:space="preserve"> de la Comisión, de 7 de enero de 2014, relativo al Código de Conducta Europeo sobre las asociaciones en el marco de los Fondos Estructurales y de Inversión Europeos (DO L 74 de 14.3.2014, p. 1).</w:t>
      </w:r>
    </w:p>
  </w:footnote>
  <w:footnote w:id="25">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Documento de trabajo de los servicios de la Comisión, de 30 de enero de 2023, sobre la síntesis de las conclusiones de las evaluaciones de los programas de los Fondos Estructurales y de Inversión Europeos 2014</w:t>
      </w:r>
      <w:r w:rsidRPr="006A2AE3">
        <w:rPr>
          <w:sz w:val="24"/>
          <w:lang w:val="es-ES_tradnl"/>
        </w:rPr>
        <w:noBreakHyphen/>
        <w:t>2020 que acompaña al informe de síntesis anual de 2022 (</w:t>
      </w:r>
      <w:proofErr w:type="gramStart"/>
      <w:r w:rsidRPr="006A2AE3">
        <w:rPr>
          <w:sz w:val="24"/>
          <w:lang w:val="es-ES_tradnl"/>
        </w:rPr>
        <w:t>SWD(</w:t>
      </w:r>
      <w:proofErr w:type="gramEnd"/>
      <w:r w:rsidRPr="006A2AE3">
        <w:rPr>
          <w:sz w:val="24"/>
          <w:lang w:val="es-ES_tradnl"/>
        </w:rPr>
        <w:t>2023)0022).</w:t>
      </w:r>
    </w:p>
  </w:footnote>
  <w:footnote w:id="26">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Documento de trabajo de los servicios de la Comisión, de 15 de enero de 2024, sobre la síntesis de las conclusiones de las evaluaciones de los programas de los Fondos Estructurales y de Inversión Europeos 2014-2020 que acompaña al informe de síntesis anual de 2023 (</w:t>
      </w:r>
      <w:proofErr w:type="gramStart"/>
      <w:r w:rsidRPr="006A2AE3">
        <w:rPr>
          <w:sz w:val="24"/>
          <w:lang w:val="es-ES_tradnl"/>
        </w:rPr>
        <w:t>SWD(</w:t>
      </w:r>
      <w:proofErr w:type="gramEnd"/>
      <w:r w:rsidRPr="006A2AE3">
        <w:rPr>
          <w:sz w:val="24"/>
          <w:lang w:val="es-ES_tradnl"/>
        </w:rPr>
        <w:t>2024)0002).</w:t>
      </w:r>
    </w:p>
  </w:footnote>
  <w:footnote w:id="27">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Informe de la Comisión, de 15 de enero de 2024, titulado «Fondos Estructurales y de Inversión Europeos. Informe de síntesis de 2023 sobre los informes anuales de ejecución de los programas, en lo relativo a su ejecución durante el período 2014-2020» (</w:t>
      </w:r>
      <w:proofErr w:type="gramStart"/>
      <w:r w:rsidRPr="006A2AE3">
        <w:rPr>
          <w:sz w:val="24"/>
          <w:lang w:val="es-ES_tradnl"/>
        </w:rPr>
        <w:t>COM(</w:t>
      </w:r>
      <w:proofErr w:type="gramEnd"/>
      <w:r w:rsidRPr="006A2AE3">
        <w:rPr>
          <w:sz w:val="24"/>
          <w:lang w:val="es-ES_tradnl"/>
        </w:rPr>
        <w:t>2024)0006).</w:t>
      </w:r>
    </w:p>
  </w:footnote>
  <w:footnote w:id="28">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Comisión Europea: «</w:t>
      </w:r>
      <w:hyperlink r:id="rId3" w:history="1">
        <w:r w:rsidRPr="006A2AE3">
          <w:rPr>
            <w:rStyle w:val="Hyperlink"/>
            <w:sz w:val="24"/>
            <w:lang w:val="es-ES_tradnl"/>
          </w:rPr>
          <w:t xml:space="preserve">Key </w:t>
        </w:r>
        <w:proofErr w:type="spellStart"/>
        <w:r w:rsidRPr="006A2AE3">
          <w:rPr>
            <w:rStyle w:val="Hyperlink"/>
            <w:sz w:val="24"/>
            <w:lang w:val="es-ES_tradnl"/>
          </w:rPr>
          <w:t>achievements</w:t>
        </w:r>
        <w:proofErr w:type="spellEnd"/>
        <w:r w:rsidRPr="006A2AE3">
          <w:rPr>
            <w:rStyle w:val="Hyperlink"/>
            <w:sz w:val="24"/>
            <w:lang w:val="es-ES_tradnl"/>
          </w:rPr>
          <w:t xml:space="preserve"> of Regional </w:t>
        </w:r>
        <w:proofErr w:type="spellStart"/>
        <w:r w:rsidRPr="006A2AE3">
          <w:rPr>
            <w:rStyle w:val="Hyperlink"/>
            <w:sz w:val="24"/>
            <w:lang w:val="es-ES_tradnl"/>
          </w:rPr>
          <w:t>Policy</w:t>
        </w:r>
        <w:proofErr w:type="spellEnd"/>
        <w:r w:rsidRPr="006A2AE3">
          <w:rPr>
            <w:rStyle w:val="Hyperlink"/>
            <w:sz w:val="24"/>
            <w:lang w:val="es-ES_tradnl"/>
          </w:rPr>
          <w:t xml:space="preserve"> 2014-2020</w:t>
        </w:r>
      </w:hyperlink>
      <w:r w:rsidRPr="006A2AE3">
        <w:rPr>
          <w:sz w:val="24"/>
          <w:lang w:val="es-ES_tradnl"/>
        </w:rPr>
        <w:t>» (Principales logros de la política regional 2014-2020), consultado el 20 de febrero de 2024.</w:t>
      </w:r>
    </w:p>
  </w:footnote>
  <w:footnote w:id="29">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Ídem.</w:t>
      </w:r>
    </w:p>
  </w:footnote>
  <w:footnote w:id="30">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Ídem.</w:t>
      </w:r>
    </w:p>
  </w:footnote>
  <w:footnote w:id="31">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2023)0022.</w:t>
      </w:r>
    </w:p>
  </w:footnote>
  <w:footnote w:id="32">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Ídem.</w:t>
      </w:r>
    </w:p>
  </w:footnote>
  <w:footnote w:id="33">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Estudio – Investigación para la Comisión de Desarrollo Regional, «</w:t>
      </w:r>
      <w:proofErr w:type="spellStart"/>
      <w:r w:rsidRPr="006A2AE3">
        <w:fldChar w:fldCharType="begin"/>
      </w:r>
      <w:r w:rsidRPr="006A2AE3">
        <w:rPr>
          <w:sz w:val="24"/>
          <w:lang w:val="es-ES_tradnl"/>
        </w:rPr>
        <w:instrText xml:space="preserve"> HYPERLINK "https://www.europarl.europa.eu/RegData/etudes/STUD/2023/733107/IPOL_STU(2023)733107_EN.pdf" </w:instrText>
      </w:r>
      <w:r w:rsidRPr="006A2AE3">
        <w:fldChar w:fldCharType="separate"/>
      </w:r>
      <w:r w:rsidRPr="006A2AE3">
        <w:rPr>
          <w:rStyle w:val="Hyperlink"/>
          <w:sz w:val="24"/>
          <w:lang w:val="es-ES_tradnl"/>
        </w:rPr>
        <w:t>Cohesion</w:t>
      </w:r>
      <w:proofErr w:type="spellEnd"/>
      <w:r w:rsidRPr="006A2AE3">
        <w:rPr>
          <w:rStyle w:val="Hyperlink"/>
          <w:sz w:val="24"/>
          <w:lang w:val="es-ES_tradnl"/>
        </w:rPr>
        <w:t xml:space="preserve"> </w:t>
      </w:r>
      <w:proofErr w:type="spellStart"/>
      <w:r w:rsidRPr="006A2AE3">
        <w:rPr>
          <w:rStyle w:val="Hyperlink"/>
          <w:sz w:val="24"/>
          <w:lang w:val="es-ES_tradnl"/>
        </w:rPr>
        <w:t>Policy</w:t>
      </w:r>
      <w:proofErr w:type="spellEnd"/>
      <w:r w:rsidRPr="006A2AE3">
        <w:rPr>
          <w:rStyle w:val="Hyperlink"/>
          <w:sz w:val="24"/>
          <w:lang w:val="es-ES_tradnl"/>
        </w:rPr>
        <w:t xml:space="preserve"> in EU Coal </w:t>
      </w:r>
      <w:proofErr w:type="spellStart"/>
      <w:r w:rsidRPr="006A2AE3">
        <w:rPr>
          <w:rStyle w:val="Hyperlink"/>
          <w:sz w:val="24"/>
          <w:lang w:val="es-ES_tradnl"/>
        </w:rPr>
        <w:t>Regions</w:t>
      </w:r>
      <w:proofErr w:type="spellEnd"/>
      <w:r w:rsidRPr="006A2AE3">
        <w:rPr>
          <w:rStyle w:val="Hyperlink"/>
          <w:sz w:val="24"/>
          <w:lang w:val="es-ES_tradnl"/>
        </w:rPr>
        <w:fldChar w:fldCharType="end"/>
      </w:r>
      <w:r w:rsidRPr="006A2AE3">
        <w:rPr>
          <w:sz w:val="24"/>
          <w:lang w:val="es-ES_tradnl"/>
        </w:rPr>
        <w:t>» (Política de cohesión en regiones carboníferas de la UE), Parlamento Europeo, Dirección General de Políticas Interiores de la Unión, Departamento Temático de Políticas Estructurales y de Cohesión, 14 de febrero de 2023.</w:t>
      </w:r>
    </w:p>
  </w:footnote>
  <w:footnote w:id="34">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Comisión Europea: «</w:t>
      </w:r>
      <w:hyperlink r:id="rId4" w:history="1">
        <w:r w:rsidRPr="006A2AE3">
          <w:rPr>
            <w:rStyle w:val="Hyperlink"/>
            <w:sz w:val="24"/>
            <w:lang w:val="es-ES_tradnl"/>
          </w:rPr>
          <w:t xml:space="preserve">Key </w:t>
        </w:r>
        <w:proofErr w:type="spellStart"/>
        <w:r w:rsidRPr="006A2AE3">
          <w:rPr>
            <w:rStyle w:val="Hyperlink"/>
            <w:sz w:val="24"/>
            <w:lang w:val="es-ES_tradnl"/>
          </w:rPr>
          <w:t>achievements</w:t>
        </w:r>
        <w:proofErr w:type="spellEnd"/>
        <w:r w:rsidRPr="006A2AE3">
          <w:rPr>
            <w:rStyle w:val="Hyperlink"/>
            <w:sz w:val="24"/>
            <w:lang w:val="es-ES_tradnl"/>
          </w:rPr>
          <w:t xml:space="preserve"> of Regional </w:t>
        </w:r>
        <w:proofErr w:type="spellStart"/>
        <w:r w:rsidRPr="006A2AE3">
          <w:rPr>
            <w:rStyle w:val="Hyperlink"/>
            <w:sz w:val="24"/>
            <w:lang w:val="es-ES_tradnl"/>
          </w:rPr>
          <w:t>Policy</w:t>
        </w:r>
        <w:proofErr w:type="spellEnd"/>
        <w:r w:rsidRPr="006A2AE3">
          <w:rPr>
            <w:rStyle w:val="Hyperlink"/>
            <w:sz w:val="24"/>
            <w:lang w:val="es-ES_tradnl"/>
          </w:rPr>
          <w:t xml:space="preserve"> 2014-2020</w:t>
        </w:r>
      </w:hyperlink>
      <w:r w:rsidRPr="006A2AE3">
        <w:rPr>
          <w:sz w:val="24"/>
          <w:lang w:val="es-ES_tradnl"/>
        </w:rPr>
        <w:t>» (Principales logros de la política regional 2014-2020), consultado el 20 de febrero de 2024.</w:t>
      </w:r>
    </w:p>
  </w:footnote>
  <w:footnote w:id="35">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2023)0022.</w:t>
      </w:r>
    </w:p>
  </w:footnote>
  <w:footnote w:id="36">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2023)0022, p. 13.</w:t>
      </w:r>
    </w:p>
  </w:footnote>
  <w:footnote w:id="37">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 xml:space="preserve">Comisión Europea: </w:t>
      </w:r>
      <w:hyperlink r:id="rId5" w:history="1">
        <w:r w:rsidRPr="006A2AE3">
          <w:rPr>
            <w:rStyle w:val="Hyperlink"/>
            <w:sz w:val="24"/>
            <w:lang w:val="es-ES_tradnl"/>
          </w:rPr>
          <w:t>Plataforma de datos abiertos sobre cohesión – Tema:</w:t>
        </w:r>
      </w:hyperlink>
      <w:hyperlink r:id="rId6" w:history="1">
        <w:r w:rsidRPr="006A2AE3">
          <w:rPr>
            <w:rStyle w:val="Hyperlink"/>
            <w:sz w:val="24"/>
            <w:lang w:val="es-ES_tradnl"/>
          </w:rPr>
          <w:t xml:space="preserve"> Adaptación al cambio climático y prevención de riesgos – Período de financiación:</w:t>
        </w:r>
      </w:hyperlink>
      <w:hyperlink r:id="rId7" w:history="1">
        <w:r w:rsidRPr="006A2AE3">
          <w:rPr>
            <w:rStyle w:val="Hyperlink"/>
            <w:sz w:val="24"/>
            <w:lang w:val="es-ES_tradnl"/>
          </w:rPr>
          <w:t xml:space="preserve"> 2014-2020</w:t>
        </w:r>
      </w:hyperlink>
      <w:r w:rsidRPr="006A2AE3">
        <w:rPr>
          <w:sz w:val="24"/>
          <w:lang w:val="es-ES_tradnl"/>
        </w:rPr>
        <w:t>’, consultado el 20 de febrero de 2024.</w:t>
      </w:r>
    </w:p>
  </w:footnote>
  <w:footnote w:id="38">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 xml:space="preserve">Comisión Europea: </w:t>
      </w:r>
      <w:hyperlink r:id="rId8" w:history="1">
        <w:r w:rsidRPr="006A2AE3">
          <w:rPr>
            <w:rStyle w:val="Hyperlink"/>
            <w:sz w:val="24"/>
            <w:lang w:val="es-ES_tradnl"/>
          </w:rPr>
          <w:t>Plataforma de datos abiertos sobre cohesión – Tema:</w:t>
        </w:r>
      </w:hyperlink>
      <w:hyperlink r:id="rId9" w:history="1">
        <w:r w:rsidRPr="006A2AE3">
          <w:rPr>
            <w:rStyle w:val="Hyperlink"/>
            <w:sz w:val="24"/>
            <w:lang w:val="es-ES_tradnl"/>
          </w:rPr>
          <w:t xml:space="preserve"> Protección del medio ambiente y eficiencia en el uso de los recursos – Período de financiación:</w:t>
        </w:r>
      </w:hyperlink>
      <w:hyperlink r:id="rId10" w:history="1">
        <w:r w:rsidRPr="006A2AE3">
          <w:rPr>
            <w:rStyle w:val="Hyperlink"/>
            <w:sz w:val="24"/>
            <w:lang w:val="es-ES_tradnl"/>
          </w:rPr>
          <w:t xml:space="preserve"> 2014-2020</w:t>
        </w:r>
      </w:hyperlink>
      <w:r w:rsidRPr="006A2AE3">
        <w:rPr>
          <w:sz w:val="24"/>
          <w:lang w:val="es-ES_tradnl"/>
        </w:rPr>
        <w:t>’, consultado el 20 de febrero de 2024.</w:t>
      </w:r>
    </w:p>
  </w:footnote>
  <w:footnote w:id="39">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2023)0022, p. 14.</w:t>
      </w:r>
    </w:p>
  </w:footnote>
  <w:footnote w:id="40">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Ídem.</w:t>
      </w:r>
    </w:p>
  </w:footnote>
  <w:footnote w:id="41">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2024)0002, p. 9.</w:t>
      </w:r>
    </w:p>
  </w:footnote>
  <w:footnote w:id="42">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2023)0022, p. 14.</w:t>
      </w:r>
    </w:p>
  </w:footnote>
  <w:footnote w:id="43">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Comisión Europea: «</w:t>
      </w:r>
      <w:proofErr w:type="spellStart"/>
      <w:r w:rsidRPr="006A2AE3">
        <w:fldChar w:fldCharType="begin"/>
      </w:r>
      <w:r w:rsidRPr="006A2AE3">
        <w:rPr>
          <w:sz w:val="24"/>
          <w:lang w:val="es-ES_tradnl"/>
        </w:rPr>
        <w:instrText xml:space="preserve"> HYPERLINK "https://commission.europa.eu/publications/annual-activity-report-2022-regional-and-urban-policy_en" </w:instrText>
      </w:r>
      <w:r w:rsidRPr="006A2AE3">
        <w:fldChar w:fldCharType="separate"/>
      </w:r>
      <w:r w:rsidRPr="006A2AE3">
        <w:rPr>
          <w:rStyle w:val="Hyperlink"/>
          <w:sz w:val="24"/>
          <w:lang w:val="es-ES_tradnl"/>
        </w:rPr>
        <w:t>Annual</w:t>
      </w:r>
      <w:proofErr w:type="spellEnd"/>
      <w:r w:rsidRPr="006A2AE3">
        <w:rPr>
          <w:rStyle w:val="Hyperlink"/>
          <w:sz w:val="24"/>
          <w:lang w:val="es-ES_tradnl"/>
        </w:rPr>
        <w:t xml:space="preserve"> </w:t>
      </w:r>
      <w:proofErr w:type="spellStart"/>
      <w:r w:rsidRPr="006A2AE3">
        <w:rPr>
          <w:rStyle w:val="Hyperlink"/>
          <w:sz w:val="24"/>
          <w:lang w:val="es-ES_tradnl"/>
        </w:rPr>
        <w:t>Activity</w:t>
      </w:r>
      <w:proofErr w:type="spellEnd"/>
      <w:r w:rsidRPr="006A2AE3">
        <w:rPr>
          <w:rStyle w:val="Hyperlink"/>
          <w:sz w:val="24"/>
          <w:lang w:val="es-ES_tradnl"/>
        </w:rPr>
        <w:t xml:space="preserve"> </w:t>
      </w:r>
      <w:proofErr w:type="spellStart"/>
      <w:r w:rsidRPr="006A2AE3">
        <w:rPr>
          <w:rStyle w:val="Hyperlink"/>
          <w:sz w:val="24"/>
          <w:lang w:val="es-ES_tradnl"/>
        </w:rPr>
        <w:t>Report</w:t>
      </w:r>
      <w:proofErr w:type="spellEnd"/>
      <w:r w:rsidRPr="006A2AE3">
        <w:rPr>
          <w:rStyle w:val="Hyperlink"/>
          <w:sz w:val="24"/>
          <w:lang w:val="es-ES_tradnl"/>
        </w:rPr>
        <w:t xml:space="preserve"> 2022 – </w:t>
      </w:r>
      <w:proofErr w:type="spellStart"/>
      <w:r w:rsidRPr="006A2AE3">
        <w:rPr>
          <w:rStyle w:val="Hyperlink"/>
          <w:sz w:val="24"/>
          <w:lang w:val="es-ES_tradnl"/>
        </w:rPr>
        <w:t>Directorate</w:t>
      </w:r>
      <w:proofErr w:type="spellEnd"/>
      <w:r w:rsidRPr="006A2AE3">
        <w:rPr>
          <w:rStyle w:val="Hyperlink"/>
          <w:sz w:val="24"/>
          <w:lang w:val="es-ES_tradnl"/>
        </w:rPr>
        <w:t xml:space="preserve">-General Regional and Urban </w:t>
      </w:r>
      <w:proofErr w:type="spellStart"/>
      <w:r w:rsidRPr="006A2AE3">
        <w:rPr>
          <w:rStyle w:val="Hyperlink"/>
          <w:sz w:val="24"/>
          <w:lang w:val="es-ES_tradnl"/>
        </w:rPr>
        <w:t>Policy</w:t>
      </w:r>
      <w:proofErr w:type="spellEnd"/>
      <w:r w:rsidRPr="006A2AE3">
        <w:rPr>
          <w:rStyle w:val="Hyperlink"/>
          <w:sz w:val="24"/>
          <w:lang w:val="es-ES_tradnl"/>
        </w:rPr>
        <w:fldChar w:fldCharType="end"/>
      </w:r>
      <w:r w:rsidRPr="006A2AE3">
        <w:rPr>
          <w:sz w:val="24"/>
          <w:lang w:val="es-ES_tradnl"/>
        </w:rPr>
        <w:t>» (Informe anual de actividades 2022 – Dirección General de Política Regional y Urbana), 20 de junio de 2023.</w:t>
      </w:r>
    </w:p>
  </w:footnote>
  <w:footnote w:id="44">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00410149" w:rsidRPr="00410149">
        <w:rPr>
          <w:sz w:val="24"/>
          <w:lang w:val="es-ES_tradnl"/>
        </w:rPr>
        <w:t>COM(2024)0006</w:t>
      </w:r>
      <w:r w:rsidRPr="006A2AE3">
        <w:rPr>
          <w:sz w:val="24"/>
          <w:lang w:val="es-ES_tradnl"/>
        </w:rPr>
        <w:t>, p. 14.</w:t>
      </w:r>
    </w:p>
  </w:footnote>
  <w:footnote w:id="45">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2023)0022, p. 15.</w:t>
      </w:r>
    </w:p>
  </w:footnote>
  <w:footnote w:id="46">
    <w:p w:rsidR="00F54608" w:rsidRPr="006A2AE3" w:rsidRDefault="00F54608" w:rsidP="006A2AE3">
      <w:pPr>
        <w:pStyle w:val="FootnoteText"/>
        <w:ind w:left="567" w:hanging="567"/>
        <w:rPr>
          <w:sz w:val="24"/>
          <w:vertAlign w:val="superscript"/>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spellStart"/>
      <w:r w:rsidRPr="006A2AE3">
        <w:rPr>
          <w:sz w:val="24"/>
          <w:lang w:val="es-ES_tradnl"/>
        </w:rPr>
        <w:t>Equinox</w:t>
      </w:r>
      <w:proofErr w:type="spellEnd"/>
      <w:r w:rsidRPr="006A2AE3">
        <w:rPr>
          <w:sz w:val="24"/>
          <w:lang w:val="es-ES_tradnl"/>
        </w:rPr>
        <w:t xml:space="preserve"> </w:t>
      </w:r>
      <w:proofErr w:type="spellStart"/>
      <w:r w:rsidRPr="006A2AE3">
        <w:rPr>
          <w:sz w:val="24"/>
          <w:lang w:val="es-ES_tradnl"/>
        </w:rPr>
        <w:t>Consulting</w:t>
      </w:r>
      <w:proofErr w:type="spellEnd"/>
      <w:r w:rsidRPr="006A2AE3">
        <w:rPr>
          <w:sz w:val="24"/>
          <w:lang w:val="es-ES_tradnl"/>
        </w:rPr>
        <w:t>: «</w:t>
      </w:r>
      <w:proofErr w:type="spellStart"/>
      <w:r w:rsidRPr="006A2AE3">
        <w:fldChar w:fldCharType="begin"/>
      </w:r>
      <w:r w:rsidRPr="006A2AE3">
        <w:rPr>
          <w:sz w:val="24"/>
          <w:lang w:val="es-ES_tradnl"/>
        </w:rPr>
        <w:instrText xml:space="preserve"> HYPERLINK "https://files.evaluationhelpdesk.eu/evaluations/HUE31.pdf" </w:instrText>
      </w:r>
      <w:r w:rsidRPr="006A2AE3">
        <w:fldChar w:fldCharType="separate"/>
      </w:r>
      <w:r w:rsidRPr="006A2AE3">
        <w:rPr>
          <w:rStyle w:val="Hyperlink"/>
          <w:sz w:val="24"/>
          <w:lang w:val="es-ES_tradnl"/>
        </w:rPr>
        <w:t>Az</w:t>
      </w:r>
      <w:proofErr w:type="spellEnd"/>
      <w:r w:rsidRPr="006A2AE3">
        <w:rPr>
          <w:rStyle w:val="Hyperlink"/>
          <w:sz w:val="24"/>
          <w:lang w:val="es-ES_tradnl"/>
        </w:rPr>
        <w:t xml:space="preserve"> </w:t>
      </w:r>
      <w:proofErr w:type="spellStart"/>
      <w:r w:rsidRPr="006A2AE3">
        <w:rPr>
          <w:rStyle w:val="Hyperlink"/>
          <w:sz w:val="24"/>
          <w:lang w:val="es-ES_tradnl"/>
        </w:rPr>
        <w:t>ifjúsági</w:t>
      </w:r>
      <w:proofErr w:type="spellEnd"/>
      <w:r w:rsidRPr="006A2AE3">
        <w:rPr>
          <w:rStyle w:val="Hyperlink"/>
          <w:sz w:val="24"/>
          <w:lang w:val="es-ES_tradnl"/>
        </w:rPr>
        <w:t xml:space="preserve"> </w:t>
      </w:r>
      <w:proofErr w:type="spellStart"/>
      <w:r w:rsidRPr="006A2AE3">
        <w:rPr>
          <w:rStyle w:val="Hyperlink"/>
          <w:sz w:val="24"/>
          <w:lang w:val="es-ES_tradnl"/>
        </w:rPr>
        <w:t>foglalkoztatási</w:t>
      </w:r>
      <w:proofErr w:type="spellEnd"/>
      <w:r w:rsidRPr="006A2AE3">
        <w:rPr>
          <w:rStyle w:val="Hyperlink"/>
          <w:sz w:val="24"/>
          <w:lang w:val="es-ES_tradnl"/>
        </w:rPr>
        <w:t xml:space="preserve"> </w:t>
      </w:r>
      <w:proofErr w:type="spellStart"/>
      <w:r w:rsidRPr="006A2AE3">
        <w:rPr>
          <w:rStyle w:val="Hyperlink"/>
          <w:sz w:val="24"/>
          <w:lang w:val="es-ES_tradnl"/>
        </w:rPr>
        <w:t>kezdeményezés</w:t>
      </w:r>
      <w:proofErr w:type="spellEnd"/>
      <w:r w:rsidRPr="006A2AE3">
        <w:rPr>
          <w:rStyle w:val="Hyperlink"/>
          <w:sz w:val="24"/>
          <w:lang w:val="es-ES_tradnl"/>
        </w:rPr>
        <w:t xml:space="preserve"> - </w:t>
      </w:r>
      <w:proofErr w:type="spellStart"/>
      <w:r w:rsidRPr="006A2AE3">
        <w:rPr>
          <w:rStyle w:val="Hyperlink"/>
          <w:sz w:val="24"/>
          <w:lang w:val="es-ES_tradnl"/>
        </w:rPr>
        <w:t>eredményeinek</w:t>
      </w:r>
      <w:proofErr w:type="spellEnd"/>
      <w:r w:rsidRPr="006A2AE3">
        <w:rPr>
          <w:rStyle w:val="Hyperlink"/>
          <w:sz w:val="24"/>
          <w:lang w:val="es-ES_tradnl"/>
        </w:rPr>
        <w:t xml:space="preserve"> </w:t>
      </w:r>
      <w:proofErr w:type="spellStart"/>
      <w:r w:rsidRPr="006A2AE3">
        <w:rPr>
          <w:rStyle w:val="Hyperlink"/>
          <w:sz w:val="24"/>
          <w:lang w:val="es-ES_tradnl"/>
        </w:rPr>
        <w:t>értékelése</w:t>
      </w:r>
      <w:proofErr w:type="spellEnd"/>
      <w:r w:rsidRPr="006A2AE3">
        <w:rPr>
          <w:rStyle w:val="Hyperlink"/>
          <w:sz w:val="24"/>
          <w:lang w:val="es-ES_tradnl"/>
        </w:rPr>
        <w:fldChar w:fldCharType="end"/>
      </w:r>
      <w:r w:rsidRPr="006A2AE3">
        <w:rPr>
          <w:sz w:val="24"/>
          <w:lang w:val="es-ES_tradnl"/>
        </w:rPr>
        <w:t xml:space="preserve">» (Evaluación </w:t>
      </w:r>
      <w:r w:rsidR="0057032A">
        <w:rPr>
          <w:sz w:val="24"/>
          <w:lang w:val="es-ES_tradnl"/>
        </w:rPr>
        <w:t>de la Iniciativa de Empleo Juvenil</w:t>
      </w:r>
      <w:r w:rsidRPr="006A2AE3">
        <w:rPr>
          <w:sz w:val="24"/>
          <w:lang w:val="es-ES_tradnl"/>
        </w:rPr>
        <w:t>), 2018.</w:t>
      </w:r>
    </w:p>
  </w:footnote>
  <w:footnote w:id="47">
    <w:p w:rsidR="00EF3068" w:rsidRPr="00AF49A3" w:rsidRDefault="00EF3068" w:rsidP="00AF49A3">
      <w:pPr>
        <w:pStyle w:val="FootnoteText"/>
        <w:ind w:left="567" w:hanging="567"/>
        <w:rPr>
          <w:lang w:val="es-ES"/>
        </w:rPr>
      </w:pPr>
      <w:r>
        <w:rPr>
          <w:rStyle w:val="FootnoteReference"/>
        </w:rPr>
        <w:footnoteRef/>
      </w:r>
      <w:r w:rsidRPr="00AF49A3">
        <w:rPr>
          <w:lang w:val="es-ES"/>
        </w:rPr>
        <w:t xml:space="preserve"> </w:t>
      </w:r>
      <w:r>
        <w:rPr>
          <w:lang w:val="es-ES"/>
        </w:rPr>
        <w:tab/>
      </w:r>
      <w:proofErr w:type="spellStart"/>
      <w:r w:rsidRPr="006A2AE3">
        <w:rPr>
          <w:sz w:val="24"/>
          <w:lang w:val="es-ES_tradnl"/>
        </w:rPr>
        <w:t>Kopint-Tárki</w:t>
      </w:r>
      <w:proofErr w:type="spellEnd"/>
      <w:r w:rsidRPr="006A2AE3">
        <w:rPr>
          <w:sz w:val="24"/>
          <w:lang w:val="es-ES_tradnl"/>
        </w:rPr>
        <w:t xml:space="preserve"> (informe preparado por el Ministerio húngaro de Innovación y Tecnología): «</w:t>
      </w:r>
      <w:proofErr w:type="spellStart"/>
      <w:r w:rsidRPr="006A2AE3">
        <w:fldChar w:fldCharType="begin"/>
      </w:r>
      <w:r w:rsidRPr="006A2AE3">
        <w:rPr>
          <w:sz w:val="24"/>
          <w:lang w:val="es-ES_tradnl"/>
        </w:rPr>
        <w:instrText xml:space="preserve"> HYPERLINK "https://files.evaluationhelpdesk.eu/evaluations/HUE63.pdf" </w:instrText>
      </w:r>
      <w:r w:rsidRPr="006A2AE3">
        <w:fldChar w:fldCharType="separate"/>
      </w:r>
      <w:r w:rsidRPr="006A2AE3">
        <w:rPr>
          <w:rStyle w:val="Hyperlink"/>
          <w:sz w:val="24"/>
          <w:lang w:val="es-ES_tradnl"/>
        </w:rPr>
        <w:t>Assessment</w:t>
      </w:r>
      <w:proofErr w:type="spellEnd"/>
      <w:r w:rsidRPr="006A2AE3">
        <w:rPr>
          <w:rStyle w:val="Hyperlink"/>
          <w:sz w:val="24"/>
          <w:lang w:val="es-ES_tradnl"/>
        </w:rPr>
        <w:t xml:space="preserve"> of </w:t>
      </w:r>
      <w:proofErr w:type="spellStart"/>
      <w:r w:rsidRPr="006A2AE3">
        <w:rPr>
          <w:rStyle w:val="Hyperlink"/>
          <w:sz w:val="24"/>
          <w:lang w:val="es-ES_tradnl"/>
        </w:rPr>
        <w:t>labour</w:t>
      </w:r>
      <w:proofErr w:type="spellEnd"/>
      <w:r w:rsidRPr="006A2AE3">
        <w:rPr>
          <w:rStyle w:val="Hyperlink"/>
          <w:sz w:val="24"/>
          <w:lang w:val="es-ES_tradnl"/>
        </w:rPr>
        <w:t xml:space="preserve"> </w:t>
      </w:r>
      <w:proofErr w:type="spellStart"/>
      <w:r w:rsidRPr="006A2AE3">
        <w:rPr>
          <w:rStyle w:val="Hyperlink"/>
          <w:sz w:val="24"/>
          <w:lang w:val="es-ES_tradnl"/>
        </w:rPr>
        <w:t>market</w:t>
      </w:r>
      <w:proofErr w:type="spellEnd"/>
      <w:r w:rsidRPr="006A2AE3">
        <w:rPr>
          <w:rStyle w:val="Hyperlink"/>
          <w:sz w:val="24"/>
          <w:lang w:val="es-ES_tradnl"/>
        </w:rPr>
        <w:t xml:space="preserve"> </w:t>
      </w:r>
      <w:proofErr w:type="spellStart"/>
      <w:r w:rsidRPr="006A2AE3">
        <w:rPr>
          <w:rStyle w:val="Hyperlink"/>
          <w:sz w:val="24"/>
          <w:lang w:val="es-ES_tradnl"/>
        </w:rPr>
        <w:t>integration</w:t>
      </w:r>
      <w:proofErr w:type="spellEnd"/>
      <w:r w:rsidRPr="006A2AE3">
        <w:rPr>
          <w:rStyle w:val="Hyperlink"/>
          <w:sz w:val="24"/>
          <w:lang w:val="es-ES_tradnl"/>
        </w:rPr>
        <w:t xml:space="preserve"> </w:t>
      </w:r>
      <w:proofErr w:type="spellStart"/>
      <w:r w:rsidRPr="006A2AE3">
        <w:rPr>
          <w:rStyle w:val="Hyperlink"/>
          <w:sz w:val="24"/>
          <w:lang w:val="es-ES_tradnl"/>
        </w:rPr>
        <w:t>support</w:t>
      </w:r>
      <w:proofErr w:type="spellEnd"/>
      <w:r w:rsidRPr="006A2AE3">
        <w:rPr>
          <w:rStyle w:val="Hyperlink"/>
          <w:sz w:val="24"/>
          <w:lang w:val="es-ES_tradnl"/>
        </w:rPr>
        <w:t xml:space="preserve"> </w:t>
      </w:r>
      <w:proofErr w:type="spellStart"/>
      <w:r w:rsidRPr="006A2AE3">
        <w:rPr>
          <w:rStyle w:val="Hyperlink"/>
          <w:sz w:val="24"/>
          <w:lang w:val="es-ES_tradnl"/>
        </w:rPr>
        <w:t>schemes</w:t>
      </w:r>
      <w:proofErr w:type="spellEnd"/>
      <w:r w:rsidRPr="006A2AE3">
        <w:rPr>
          <w:rStyle w:val="Hyperlink"/>
          <w:sz w:val="24"/>
          <w:lang w:val="es-ES_tradnl"/>
        </w:rPr>
        <w:t xml:space="preserve"> - Framework </w:t>
      </w:r>
      <w:proofErr w:type="spellStart"/>
      <w:r w:rsidRPr="006A2AE3">
        <w:rPr>
          <w:rStyle w:val="Hyperlink"/>
          <w:sz w:val="24"/>
          <w:lang w:val="es-ES_tradnl"/>
        </w:rPr>
        <w:t>contract</w:t>
      </w:r>
      <w:proofErr w:type="spellEnd"/>
      <w:r w:rsidRPr="006A2AE3">
        <w:rPr>
          <w:rStyle w:val="Hyperlink"/>
          <w:sz w:val="24"/>
          <w:lang w:val="es-ES_tradnl"/>
        </w:rPr>
        <w:t xml:space="preserve"> </w:t>
      </w:r>
      <w:proofErr w:type="spellStart"/>
      <w:r w:rsidRPr="006A2AE3">
        <w:rPr>
          <w:rStyle w:val="Hyperlink"/>
          <w:sz w:val="24"/>
          <w:lang w:val="es-ES_tradnl"/>
        </w:rPr>
        <w:t>for</w:t>
      </w:r>
      <w:proofErr w:type="spellEnd"/>
      <w:r w:rsidRPr="006A2AE3">
        <w:rPr>
          <w:rStyle w:val="Hyperlink"/>
          <w:sz w:val="24"/>
          <w:lang w:val="es-ES_tradnl"/>
        </w:rPr>
        <w:t xml:space="preserve"> </w:t>
      </w:r>
      <w:proofErr w:type="spellStart"/>
      <w:r w:rsidRPr="006A2AE3">
        <w:rPr>
          <w:rStyle w:val="Hyperlink"/>
          <w:sz w:val="24"/>
          <w:lang w:val="es-ES_tradnl"/>
        </w:rPr>
        <w:t>the</w:t>
      </w:r>
      <w:proofErr w:type="spellEnd"/>
      <w:r w:rsidRPr="006A2AE3">
        <w:rPr>
          <w:rStyle w:val="Hyperlink"/>
          <w:sz w:val="24"/>
          <w:lang w:val="es-ES_tradnl"/>
        </w:rPr>
        <w:t xml:space="preserve"> performance of </w:t>
      </w:r>
      <w:proofErr w:type="spellStart"/>
      <w:r w:rsidRPr="006A2AE3">
        <w:rPr>
          <w:rStyle w:val="Hyperlink"/>
          <w:sz w:val="24"/>
          <w:lang w:val="es-ES_tradnl"/>
        </w:rPr>
        <w:t>assessments</w:t>
      </w:r>
      <w:proofErr w:type="spellEnd"/>
      <w:r w:rsidRPr="006A2AE3">
        <w:rPr>
          <w:rStyle w:val="Hyperlink"/>
          <w:sz w:val="24"/>
          <w:lang w:val="es-ES_tradnl"/>
        </w:rPr>
        <w:t xml:space="preserve"> of </w:t>
      </w:r>
      <w:proofErr w:type="spellStart"/>
      <w:r w:rsidRPr="006A2AE3">
        <w:rPr>
          <w:rStyle w:val="Hyperlink"/>
          <w:sz w:val="24"/>
          <w:lang w:val="es-ES_tradnl"/>
        </w:rPr>
        <w:t>development</w:t>
      </w:r>
      <w:proofErr w:type="spellEnd"/>
      <w:r w:rsidRPr="006A2AE3">
        <w:rPr>
          <w:rStyle w:val="Hyperlink"/>
          <w:sz w:val="24"/>
          <w:lang w:val="es-ES_tradnl"/>
        </w:rPr>
        <w:t xml:space="preserve"> </w:t>
      </w:r>
      <w:proofErr w:type="spellStart"/>
      <w:r w:rsidRPr="006A2AE3">
        <w:rPr>
          <w:rStyle w:val="Hyperlink"/>
          <w:sz w:val="24"/>
          <w:lang w:val="es-ES_tradnl"/>
        </w:rPr>
        <w:t>programmes</w:t>
      </w:r>
      <w:proofErr w:type="spellEnd"/>
      <w:r w:rsidRPr="006A2AE3">
        <w:rPr>
          <w:rStyle w:val="Hyperlink"/>
          <w:sz w:val="24"/>
          <w:lang w:val="es-ES_tradnl"/>
        </w:rPr>
        <w:t xml:space="preserve"> </w:t>
      </w:r>
      <w:proofErr w:type="spellStart"/>
      <w:r w:rsidRPr="006A2AE3">
        <w:rPr>
          <w:rStyle w:val="Hyperlink"/>
          <w:sz w:val="24"/>
          <w:lang w:val="es-ES_tradnl"/>
        </w:rPr>
        <w:t>co-financed</w:t>
      </w:r>
      <w:proofErr w:type="spellEnd"/>
      <w:r w:rsidRPr="006A2AE3">
        <w:rPr>
          <w:rStyle w:val="Hyperlink"/>
          <w:sz w:val="24"/>
          <w:lang w:val="es-ES_tradnl"/>
        </w:rPr>
        <w:t xml:space="preserve"> </w:t>
      </w:r>
      <w:proofErr w:type="spellStart"/>
      <w:r w:rsidRPr="006A2AE3">
        <w:rPr>
          <w:rStyle w:val="Hyperlink"/>
          <w:sz w:val="24"/>
          <w:lang w:val="es-ES_tradnl"/>
        </w:rPr>
        <w:t>by</w:t>
      </w:r>
      <w:proofErr w:type="spellEnd"/>
      <w:r w:rsidRPr="006A2AE3">
        <w:rPr>
          <w:rStyle w:val="Hyperlink"/>
          <w:sz w:val="24"/>
          <w:lang w:val="es-ES_tradnl"/>
        </w:rPr>
        <w:t xml:space="preserve"> </w:t>
      </w:r>
      <w:proofErr w:type="spellStart"/>
      <w:r w:rsidRPr="006A2AE3">
        <w:rPr>
          <w:rStyle w:val="Hyperlink"/>
          <w:sz w:val="24"/>
          <w:lang w:val="es-ES_tradnl"/>
        </w:rPr>
        <w:t>the</w:t>
      </w:r>
      <w:proofErr w:type="spellEnd"/>
      <w:r w:rsidRPr="006A2AE3">
        <w:rPr>
          <w:rStyle w:val="Hyperlink"/>
          <w:sz w:val="24"/>
          <w:lang w:val="es-ES_tradnl"/>
        </w:rPr>
        <w:t xml:space="preserve"> </w:t>
      </w:r>
      <w:proofErr w:type="spellStart"/>
      <w:r w:rsidRPr="006A2AE3">
        <w:rPr>
          <w:rStyle w:val="Hyperlink"/>
          <w:sz w:val="24"/>
          <w:lang w:val="es-ES_tradnl"/>
        </w:rPr>
        <w:t>Funds</w:t>
      </w:r>
      <w:proofErr w:type="spellEnd"/>
      <w:r w:rsidRPr="006A2AE3">
        <w:rPr>
          <w:rStyle w:val="Hyperlink"/>
          <w:sz w:val="24"/>
          <w:lang w:val="es-ES_tradnl"/>
        </w:rPr>
        <w:t xml:space="preserve"> </w:t>
      </w:r>
      <w:proofErr w:type="spellStart"/>
      <w:r w:rsidRPr="006A2AE3">
        <w:rPr>
          <w:rStyle w:val="Hyperlink"/>
          <w:sz w:val="24"/>
          <w:lang w:val="es-ES_tradnl"/>
        </w:rPr>
        <w:t>under</w:t>
      </w:r>
      <w:proofErr w:type="spellEnd"/>
      <w:r w:rsidRPr="006A2AE3">
        <w:rPr>
          <w:rStyle w:val="Hyperlink"/>
          <w:sz w:val="24"/>
          <w:lang w:val="es-ES_tradnl"/>
        </w:rPr>
        <w:t xml:space="preserve"> </w:t>
      </w:r>
      <w:proofErr w:type="spellStart"/>
      <w:r w:rsidRPr="006A2AE3">
        <w:rPr>
          <w:rStyle w:val="Hyperlink"/>
          <w:sz w:val="24"/>
          <w:lang w:val="es-ES_tradnl"/>
        </w:rPr>
        <w:t>the</w:t>
      </w:r>
      <w:proofErr w:type="spellEnd"/>
      <w:r w:rsidRPr="006A2AE3">
        <w:rPr>
          <w:rStyle w:val="Hyperlink"/>
          <w:sz w:val="24"/>
          <w:lang w:val="es-ES_tradnl"/>
        </w:rPr>
        <w:t xml:space="preserve"> </w:t>
      </w:r>
      <w:proofErr w:type="spellStart"/>
      <w:r w:rsidRPr="006A2AE3">
        <w:rPr>
          <w:rStyle w:val="Hyperlink"/>
          <w:sz w:val="24"/>
          <w:lang w:val="es-ES_tradnl"/>
        </w:rPr>
        <w:t>EU’s</w:t>
      </w:r>
      <w:proofErr w:type="spellEnd"/>
      <w:r w:rsidRPr="006A2AE3">
        <w:rPr>
          <w:rStyle w:val="Hyperlink"/>
          <w:sz w:val="24"/>
          <w:lang w:val="es-ES_tradnl"/>
        </w:rPr>
        <w:t xml:space="preserve"> </w:t>
      </w:r>
      <w:proofErr w:type="spellStart"/>
      <w:r w:rsidRPr="006A2AE3">
        <w:rPr>
          <w:rStyle w:val="Hyperlink"/>
          <w:sz w:val="24"/>
          <w:lang w:val="es-ES_tradnl"/>
        </w:rPr>
        <w:t>Cohesion</w:t>
      </w:r>
      <w:proofErr w:type="spellEnd"/>
      <w:r w:rsidRPr="006A2AE3">
        <w:rPr>
          <w:rStyle w:val="Hyperlink"/>
          <w:sz w:val="24"/>
          <w:lang w:val="es-ES_tradnl"/>
        </w:rPr>
        <w:t xml:space="preserve"> </w:t>
      </w:r>
      <w:proofErr w:type="spellStart"/>
      <w:r w:rsidRPr="006A2AE3">
        <w:rPr>
          <w:rStyle w:val="Hyperlink"/>
          <w:sz w:val="24"/>
          <w:lang w:val="es-ES_tradnl"/>
        </w:rPr>
        <w:t>Policy</w:t>
      </w:r>
      <w:proofErr w:type="spellEnd"/>
      <w:r w:rsidRPr="006A2AE3">
        <w:rPr>
          <w:rStyle w:val="Hyperlink"/>
          <w:sz w:val="24"/>
          <w:lang w:val="es-ES_tradnl"/>
        </w:rPr>
        <w:t xml:space="preserve">, in 9 </w:t>
      </w:r>
      <w:proofErr w:type="spellStart"/>
      <w:r w:rsidRPr="006A2AE3">
        <w:rPr>
          <w:rStyle w:val="Hyperlink"/>
          <w:sz w:val="24"/>
          <w:lang w:val="es-ES_tradnl"/>
        </w:rPr>
        <w:t>parts</w:t>
      </w:r>
      <w:proofErr w:type="spellEnd"/>
      <w:r w:rsidRPr="006A2AE3">
        <w:rPr>
          <w:rStyle w:val="Hyperlink"/>
          <w:sz w:val="24"/>
          <w:lang w:val="es-ES_tradnl"/>
        </w:rPr>
        <w:t xml:space="preserve"> – </w:t>
      </w:r>
      <w:proofErr w:type="spellStart"/>
      <w:r w:rsidRPr="006A2AE3">
        <w:rPr>
          <w:rStyle w:val="Hyperlink"/>
          <w:sz w:val="24"/>
          <w:lang w:val="es-ES_tradnl"/>
        </w:rPr>
        <w:t>Part</w:t>
      </w:r>
      <w:proofErr w:type="spellEnd"/>
      <w:r w:rsidRPr="006A2AE3">
        <w:rPr>
          <w:rStyle w:val="Hyperlink"/>
          <w:sz w:val="24"/>
          <w:lang w:val="es-ES_tradnl"/>
        </w:rPr>
        <w:t xml:space="preserve"> III: </w:t>
      </w:r>
      <w:proofErr w:type="spellStart"/>
      <w:r w:rsidRPr="006A2AE3">
        <w:rPr>
          <w:rStyle w:val="Hyperlink"/>
          <w:sz w:val="24"/>
          <w:lang w:val="es-ES_tradnl"/>
        </w:rPr>
        <w:t>Assessment</w:t>
      </w:r>
      <w:proofErr w:type="spellEnd"/>
      <w:r w:rsidRPr="006A2AE3">
        <w:rPr>
          <w:rStyle w:val="Hyperlink"/>
          <w:sz w:val="24"/>
          <w:lang w:val="es-ES_tradnl"/>
        </w:rPr>
        <w:t xml:space="preserve"> of </w:t>
      </w:r>
      <w:proofErr w:type="spellStart"/>
      <w:r w:rsidRPr="006A2AE3">
        <w:rPr>
          <w:rStyle w:val="Hyperlink"/>
          <w:sz w:val="24"/>
          <w:lang w:val="es-ES_tradnl"/>
        </w:rPr>
        <w:t>impact</w:t>
      </w:r>
      <w:proofErr w:type="spellEnd"/>
      <w:r w:rsidRPr="006A2AE3">
        <w:rPr>
          <w:rStyle w:val="Hyperlink"/>
          <w:sz w:val="24"/>
          <w:lang w:val="es-ES_tradnl"/>
        </w:rPr>
        <w:t xml:space="preserve"> </w:t>
      </w:r>
      <w:proofErr w:type="spellStart"/>
      <w:r w:rsidRPr="006A2AE3">
        <w:rPr>
          <w:rStyle w:val="Hyperlink"/>
          <w:sz w:val="24"/>
          <w:lang w:val="es-ES_tradnl"/>
        </w:rPr>
        <w:t>on</w:t>
      </w:r>
      <w:proofErr w:type="spellEnd"/>
      <w:r w:rsidRPr="006A2AE3">
        <w:rPr>
          <w:rStyle w:val="Hyperlink"/>
          <w:sz w:val="24"/>
          <w:lang w:val="es-ES_tradnl"/>
        </w:rPr>
        <w:t xml:space="preserve"> </w:t>
      </w:r>
      <w:proofErr w:type="spellStart"/>
      <w:r w:rsidRPr="006A2AE3">
        <w:rPr>
          <w:rStyle w:val="Hyperlink"/>
          <w:sz w:val="24"/>
          <w:lang w:val="es-ES_tradnl"/>
        </w:rPr>
        <w:t>labour</w:t>
      </w:r>
      <w:proofErr w:type="spellEnd"/>
      <w:r w:rsidRPr="006A2AE3">
        <w:rPr>
          <w:rStyle w:val="Hyperlink"/>
          <w:sz w:val="24"/>
          <w:lang w:val="es-ES_tradnl"/>
        </w:rPr>
        <w:t xml:space="preserve"> </w:t>
      </w:r>
      <w:proofErr w:type="spellStart"/>
      <w:r w:rsidRPr="006A2AE3">
        <w:rPr>
          <w:rStyle w:val="Hyperlink"/>
          <w:sz w:val="24"/>
          <w:lang w:val="es-ES_tradnl"/>
        </w:rPr>
        <w:t>market</w:t>
      </w:r>
      <w:proofErr w:type="spellEnd"/>
      <w:r w:rsidRPr="006A2AE3">
        <w:rPr>
          <w:rStyle w:val="Hyperlink"/>
          <w:sz w:val="24"/>
          <w:lang w:val="es-ES_tradnl"/>
        </w:rPr>
        <w:t xml:space="preserve"> and social </w:t>
      </w:r>
      <w:proofErr w:type="spellStart"/>
      <w:r w:rsidRPr="006A2AE3">
        <w:rPr>
          <w:rStyle w:val="Hyperlink"/>
          <w:sz w:val="24"/>
          <w:lang w:val="es-ES_tradnl"/>
        </w:rPr>
        <w:t>outcomes</w:t>
      </w:r>
      <w:proofErr w:type="spellEnd"/>
      <w:r w:rsidRPr="006A2AE3">
        <w:rPr>
          <w:rStyle w:val="Hyperlink"/>
          <w:sz w:val="24"/>
          <w:lang w:val="es-ES_tradnl"/>
        </w:rPr>
        <w:fldChar w:fldCharType="end"/>
      </w:r>
      <w:r w:rsidRPr="006A2AE3">
        <w:rPr>
          <w:sz w:val="24"/>
          <w:lang w:val="es-ES_tradnl"/>
        </w:rPr>
        <w:t>» (Evaluación de los regímenes de apoyo a la integración en el mercado de trabajo – Contrato marco para el rendimiento de las evaluaciones de los programas de desarrollo cofinanciados con fondos en virtud del Fondo de Cohesión de la UE, en nueve partes – Parte III: Evaluación del impacto en el mercado de trabajo y resultados sociales), 15 de enero de 2021.</w:t>
      </w:r>
    </w:p>
  </w:footnote>
  <w:footnote w:id="48">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Wolf-</w:t>
      </w:r>
      <w:proofErr w:type="spellStart"/>
      <w:r w:rsidRPr="006A2AE3">
        <w:rPr>
          <w:sz w:val="24"/>
          <w:lang w:val="es-ES_tradnl"/>
        </w:rPr>
        <w:t>Watz</w:t>
      </w:r>
      <w:proofErr w:type="spellEnd"/>
      <w:r w:rsidRPr="006A2AE3">
        <w:rPr>
          <w:sz w:val="24"/>
          <w:lang w:val="es-ES_tradnl"/>
        </w:rPr>
        <w:t xml:space="preserve">, O. y </w:t>
      </w:r>
      <w:proofErr w:type="spellStart"/>
      <w:r w:rsidRPr="006A2AE3">
        <w:rPr>
          <w:sz w:val="24"/>
          <w:lang w:val="es-ES_tradnl"/>
        </w:rPr>
        <w:t>Öhlin</w:t>
      </w:r>
      <w:proofErr w:type="spellEnd"/>
      <w:r w:rsidRPr="006A2AE3">
        <w:rPr>
          <w:sz w:val="24"/>
          <w:lang w:val="es-ES_tradnl"/>
        </w:rPr>
        <w:t>, J.: «</w:t>
      </w:r>
      <w:proofErr w:type="spellStart"/>
      <w:r w:rsidRPr="006A2AE3">
        <w:fldChar w:fldCharType="begin"/>
      </w:r>
      <w:r w:rsidRPr="006A2AE3">
        <w:rPr>
          <w:sz w:val="24"/>
          <w:lang w:val="es-ES_tradnl"/>
        </w:rPr>
        <w:instrText xml:space="preserve"> HYPERLINK "https://ec.europa.eu/regional_policy/policy/evaluations/member-states/see14_en" </w:instrText>
      </w:r>
      <w:r w:rsidRPr="006A2AE3">
        <w:fldChar w:fldCharType="separate"/>
      </w:r>
      <w:r w:rsidRPr="006A2AE3">
        <w:rPr>
          <w:rStyle w:val="Hyperlink"/>
          <w:sz w:val="24"/>
          <w:lang w:val="es-ES_tradnl"/>
        </w:rPr>
        <w:t>Evaluation</w:t>
      </w:r>
      <w:proofErr w:type="spellEnd"/>
      <w:r w:rsidRPr="006A2AE3">
        <w:rPr>
          <w:rStyle w:val="Hyperlink"/>
          <w:sz w:val="24"/>
          <w:lang w:val="es-ES_tradnl"/>
        </w:rPr>
        <w:t xml:space="preserve"> of </w:t>
      </w:r>
      <w:proofErr w:type="spellStart"/>
      <w:r w:rsidRPr="006A2AE3">
        <w:rPr>
          <w:rStyle w:val="Hyperlink"/>
          <w:sz w:val="24"/>
          <w:lang w:val="es-ES_tradnl"/>
        </w:rPr>
        <w:t>the</w:t>
      </w:r>
      <w:proofErr w:type="spellEnd"/>
      <w:r w:rsidRPr="006A2AE3">
        <w:rPr>
          <w:rStyle w:val="Hyperlink"/>
          <w:sz w:val="24"/>
          <w:lang w:val="es-ES_tradnl"/>
        </w:rPr>
        <w:t xml:space="preserve"> YEI, 2018</w:t>
      </w:r>
      <w:r w:rsidRPr="006A2AE3">
        <w:rPr>
          <w:rStyle w:val="Hyperlink"/>
          <w:sz w:val="24"/>
          <w:lang w:val="es-ES_tradnl"/>
        </w:rPr>
        <w:fldChar w:fldCharType="end"/>
      </w:r>
      <w:r w:rsidRPr="006A2AE3">
        <w:rPr>
          <w:sz w:val="24"/>
          <w:lang w:val="es-ES_tradnl"/>
        </w:rPr>
        <w:t>» (Evaluación de la IEJ, 2018), diciembre de 2018.</w:t>
      </w:r>
    </w:p>
  </w:footnote>
  <w:footnote w:id="49">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2023)0022, p. 16.</w:t>
      </w:r>
    </w:p>
  </w:footnote>
  <w:footnote w:id="50">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 xml:space="preserve">SÖSTRA – </w:t>
      </w:r>
      <w:proofErr w:type="spellStart"/>
      <w:r w:rsidRPr="006A2AE3">
        <w:rPr>
          <w:sz w:val="24"/>
          <w:lang w:val="es-ES_tradnl"/>
        </w:rPr>
        <w:t>Institut</w:t>
      </w:r>
      <w:proofErr w:type="spellEnd"/>
      <w:r w:rsidRPr="006A2AE3">
        <w:rPr>
          <w:sz w:val="24"/>
          <w:lang w:val="es-ES_tradnl"/>
        </w:rPr>
        <w:t xml:space="preserve"> </w:t>
      </w:r>
      <w:proofErr w:type="spellStart"/>
      <w:r w:rsidRPr="006A2AE3">
        <w:rPr>
          <w:sz w:val="24"/>
          <w:lang w:val="es-ES_tradnl"/>
        </w:rPr>
        <w:t>für</w:t>
      </w:r>
      <w:proofErr w:type="spellEnd"/>
      <w:r w:rsidRPr="006A2AE3">
        <w:rPr>
          <w:sz w:val="24"/>
          <w:lang w:val="es-ES_tradnl"/>
        </w:rPr>
        <w:t xml:space="preserve"> </w:t>
      </w:r>
      <w:proofErr w:type="spellStart"/>
      <w:r w:rsidRPr="006A2AE3">
        <w:rPr>
          <w:sz w:val="24"/>
          <w:lang w:val="es-ES_tradnl"/>
        </w:rPr>
        <w:t>sozialökonomische</w:t>
      </w:r>
      <w:proofErr w:type="spellEnd"/>
      <w:r w:rsidRPr="006A2AE3">
        <w:rPr>
          <w:sz w:val="24"/>
          <w:lang w:val="es-ES_tradnl"/>
        </w:rPr>
        <w:t xml:space="preserve"> </w:t>
      </w:r>
      <w:proofErr w:type="spellStart"/>
      <w:r w:rsidRPr="006A2AE3">
        <w:rPr>
          <w:sz w:val="24"/>
          <w:lang w:val="es-ES_tradnl"/>
        </w:rPr>
        <w:t>Strukturanalysen</w:t>
      </w:r>
      <w:proofErr w:type="spellEnd"/>
      <w:r w:rsidRPr="006A2AE3">
        <w:rPr>
          <w:sz w:val="24"/>
          <w:lang w:val="es-ES_tradnl"/>
        </w:rPr>
        <w:t>, «</w:t>
      </w:r>
      <w:proofErr w:type="spellStart"/>
      <w:r w:rsidRPr="006A2AE3">
        <w:fldChar w:fldCharType="begin"/>
      </w:r>
      <w:r w:rsidRPr="006A2AE3">
        <w:rPr>
          <w:sz w:val="24"/>
          <w:lang w:val="es-ES_tradnl"/>
        </w:rPr>
        <w:instrText xml:space="preserve"> HYPERLINK "https://files.evaluationhelpdesk.eu/evaluations/DEE168.pdf" </w:instrText>
      </w:r>
      <w:r w:rsidRPr="006A2AE3">
        <w:fldChar w:fldCharType="separate"/>
      </w:r>
      <w:r w:rsidRPr="006A2AE3">
        <w:rPr>
          <w:rStyle w:val="Hyperlink"/>
          <w:sz w:val="24"/>
          <w:lang w:val="es-ES_tradnl"/>
        </w:rPr>
        <w:t>Übergreifende</w:t>
      </w:r>
      <w:proofErr w:type="spellEnd"/>
      <w:r w:rsidRPr="006A2AE3">
        <w:rPr>
          <w:rStyle w:val="Hyperlink"/>
          <w:sz w:val="24"/>
          <w:lang w:val="es-ES_tradnl"/>
        </w:rPr>
        <w:t xml:space="preserve"> </w:t>
      </w:r>
      <w:proofErr w:type="spellStart"/>
      <w:r w:rsidRPr="006A2AE3">
        <w:rPr>
          <w:rStyle w:val="Hyperlink"/>
          <w:sz w:val="24"/>
          <w:lang w:val="es-ES_tradnl"/>
        </w:rPr>
        <w:t>Programmevaluierung</w:t>
      </w:r>
      <w:proofErr w:type="spellEnd"/>
      <w:r w:rsidRPr="006A2AE3">
        <w:rPr>
          <w:rStyle w:val="Hyperlink"/>
          <w:sz w:val="24"/>
          <w:lang w:val="es-ES_tradnl"/>
        </w:rPr>
        <w:t xml:space="preserve"> der </w:t>
      </w:r>
      <w:proofErr w:type="spellStart"/>
      <w:r w:rsidRPr="006A2AE3">
        <w:rPr>
          <w:rStyle w:val="Hyperlink"/>
          <w:sz w:val="24"/>
          <w:lang w:val="es-ES_tradnl"/>
        </w:rPr>
        <w:t>Förderung</w:t>
      </w:r>
      <w:proofErr w:type="spellEnd"/>
      <w:r w:rsidRPr="006A2AE3">
        <w:rPr>
          <w:rStyle w:val="Hyperlink"/>
          <w:sz w:val="24"/>
          <w:lang w:val="es-ES_tradnl"/>
        </w:rPr>
        <w:t xml:space="preserve"> </w:t>
      </w:r>
      <w:proofErr w:type="spellStart"/>
      <w:r w:rsidRPr="006A2AE3">
        <w:rPr>
          <w:rStyle w:val="Hyperlink"/>
          <w:sz w:val="24"/>
          <w:lang w:val="es-ES_tradnl"/>
        </w:rPr>
        <w:t>durch</w:t>
      </w:r>
      <w:proofErr w:type="spellEnd"/>
      <w:r w:rsidRPr="006A2AE3">
        <w:rPr>
          <w:rStyle w:val="Hyperlink"/>
          <w:sz w:val="24"/>
          <w:lang w:val="es-ES_tradnl"/>
        </w:rPr>
        <w:t xml:space="preserve"> den </w:t>
      </w:r>
      <w:proofErr w:type="spellStart"/>
      <w:r w:rsidRPr="006A2AE3">
        <w:rPr>
          <w:rStyle w:val="Hyperlink"/>
          <w:sz w:val="24"/>
          <w:lang w:val="es-ES_tradnl"/>
        </w:rPr>
        <w:t>Europäischen</w:t>
      </w:r>
      <w:proofErr w:type="spellEnd"/>
      <w:r w:rsidRPr="006A2AE3">
        <w:rPr>
          <w:rStyle w:val="Hyperlink"/>
          <w:sz w:val="24"/>
          <w:lang w:val="es-ES_tradnl"/>
        </w:rPr>
        <w:t xml:space="preserve"> </w:t>
      </w:r>
      <w:proofErr w:type="spellStart"/>
      <w:r w:rsidRPr="006A2AE3">
        <w:rPr>
          <w:rStyle w:val="Hyperlink"/>
          <w:sz w:val="24"/>
          <w:lang w:val="es-ES_tradnl"/>
        </w:rPr>
        <w:t>Sozialfonds</w:t>
      </w:r>
      <w:proofErr w:type="spellEnd"/>
      <w:r w:rsidRPr="006A2AE3">
        <w:rPr>
          <w:rStyle w:val="Hyperlink"/>
          <w:sz w:val="24"/>
          <w:lang w:val="es-ES_tradnl"/>
        </w:rPr>
        <w:t xml:space="preserve"> (ESF) </w:t>
      </w:r>
      <w:proofErr w:type="spellStart"/>
      <w:r w:rsidRPr="006A2AE3">
        <w:rPr>
          <w:rStyle w:val="Hyperlink"/>
          <w:sz w:val="24"/>
          <w:lang w:val="es-ES_tradnl"/>
        </w:rPr>
        <w:t>im</w:t>
      </w:r>
      <w:proofErr w:type="spellEnd"/>
      <w:r w:rsidRPr="006A2AE3">
        <w:rPr>
          <w:rStyle w:val="Hyperlink"/>
          <w:sz w:val="24"/>
          <w:lang w:val="es-ES_tradnl"/>
        </w:rPr>
        <w:t xml:space="preserve"> </w:t>
      </w:r>
      <w:proofErr w:type="spellStart"/>
      <w:r w:rsidRPr="006A2AE3">
        <w:rPr>
          <w:rStyle w:val="Hyperlink"/>
          <w:sz w:val="24"/>
          <w:lang w:val="es-ES_tradnl"/>
        </w:rPr>
        <w:t>Freistaat</w:t>
      </w:r>
      <w:proofErr w:type="spellEnd"/>
      <w:r w:rsidRPr="006A2AE3">
        <w:rPr>
          <w:rStyle w:val="Hyperlink"/>
          <w:sz w:val="24"/>
          <w:lang w:val="es-ES_tradnl"/>
        </w:rPr>
        <w:t xml:space="preserve"> </w:t>
      </w:r>
      <w:proofErr w:type="spellStart"/>
      <w:r w:rsidRPr="006A2AE3">
        <w:rPr>
          <w:rStyle w:val="Hyperlink"/>
          <w:sz w:val="24"/>
          <w:lang w:val="es-ES_tradnl"/>
        </w:rPr>
        <w:t>Thüringen</w:t>
      </w:r>
      <w:proofErr w:type="spellEnd"/>
      <w:r w:rsidRPr="006A2AE3">
        <w:rPr>
          <w:rStyle w:val="Hyperlink"/>
          <w:sz w:val="24"/>
          <w:lang w:val="es-ES_tradnl"/>
        </w:rPr>
        <w:t xml:space="preserve"> in der </w:t>
      </w:r>
      <w:proofErr w:type="spellStart"/>
      <w:r w:rsidRPr="006A2AE3">
        <w:rPr>
          <w:rStyle w:val="Hyperlink"/>
          <w:sz w:val="24"/>
          <w:lang w:val="es-ES_tradnl"/>
        </w:rPr>
        <w:t>Förderperiode</w:t>
      </w:r>
      <w:proofErr w:type="spellEnd"/>
      <w:r w:rsidRPr="006A2AE3">
        <w:rPr>
          <w:rStyle w:val="Hyperlink"/>
          <w:sz w:val="24"/>
          <w:lang w:val="es-ES_tradnl"/>
        </w:rPr>
        <w:t xml:space="preserve"> 2014 bis 2020 - </w:t>
      </w:r>
      <w:proofErr w:type="spellStart"/>
      <w:r w:rsidRPr="006A2AE3">
        <w:rPr>
          <w:rStyle w:val="Hyperlink"/>
          <w:sz w:val="24"/>
          <w:lang w:val="es-ES_tradnl"/>
        </w:rPr>
        <w:t>Abschlussbericht</w:t>
      </w:r>
      <w:proofErr w:type="spellEnd"/>
      <w:r w:rsidRPr="006A2AE3">
        <w:rPr>
          <w:rStyle w:val="Hyperlink"/>
          <w:sz w:val="24"/>
          <w:lang w:val="es-ES_tradnl"/>
        </w:rPr>
        <w:fldChar w:fldCharType="end"/>
      </w:r>
      <w:r w:rsidRPr="006A2AE3">
        <w:rPr>
          <w:sz w:val="24"/>
          <w:lang w:val="es-ES_tradnl"/>
        </w:rPr>
        <w:t>» (Evaluación del programa intersectorial de fomento mediante el Fondo Social Europeo (FSE) en Turingia durante el período de financiación 2014-2020: informe final), 2020.</w:t>
      </w:r>
    </w:p>
  </w:footnote>
  <w:footnote w:id="51">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spellStart"/>
      <w:r w:rsidRPr="006A2AE3">
        <w:rPr>
          <w:sz w:val="24"/>
          <w:lang w:val="es-ES_tradnl"/>
        </w:rPr>
        <w:t>Touchpoints</w:t>
      </w:r>
      <w:proofErr w:type="spellEnd"/>
      <w:r w:rsidRPr="006A2AE3">
        <w:rPr>
          <w:sz w:val="24"/>
          <w:lang w:val="es-ES_tradnl"/>
        </w:rPr>
        <w:t xml:space="preserve"> ASBL: «</w:t>
      </w:r>
      <w:hyperlink r:id="rId11" w:history="1">
        <w:r w:rsidRPr="006A2AE3">
          <w:rPr>
            <w:rStyle w:val="Hyperlink"/>
            <w:sz w:val="24"/>
            <w:lang w:val="es-ES_tradnl"/>
          </w:rPr>
          <w:t xml:space="preserve">2020 </w:t>
        </w:r>
        <w:proofErr w:type="spellStart"/>
        <w:r w:rsidRPr="006A2AE3">
          <w:rPr>
            <w:rStyle w:val="Hyperlink"/>
            <w:sz w:val="24"/>
            <w:lang w:val="es-ES_tradnl"/>
          </w:rPr>
          <w:t>Annual</w:t>
        </w:r>
        <w:proofErr w:type="spellEnd"/>
        <w:r w:rsidRPr="006A2AE3">
          <w:rPr>
            <w:rStyle w:val="Hyperlink"/>
            <w:sz w:val="24"/>
            <w:lang w:val="es-ES_tradnl"/>
          </w:rPr>
          <w:t xml:space="preserve"> Report</w:t>
        </w:r>
      </w:hyperlink>
      <w:r w:rsidRPr="006A2AE3">
        <w:rPr>
          <w:sz w:val="24"/>
          <w:lang w:val="es-ES_tradnl"/>
        </w:rPr>
        <w:t>» (Informe anual de 2020), 1 de junio de 2021.</w:t>
      </w:r>
    </w:p>
  </w:footnote>
  <w:footnote w:id="52">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 xml:space="preserve">Comisión Europea: </w:t>
      </w:r>
      <w:hyperlink r:id="rId12" w:history="1">
        <w:r w:rsidRPr="006A2AE3">
          <w:rPr>
            <w:rStyle w:val="Hyperlink"/>
            <w:sz w:val="24"/>
            <w:lang w:val="es-ES_tradnl"/>
          </w:rPr>
          <w:t>Plataforma de datos abiertos sobre cohesión – Tema:</w:t>
        </w:r>
      </w:hyperlink>
      <w:hyperlink r:id="rId13" w:history="1">
        <w:r w:rsidRPr="006A2AE3">
          <w:rPr>
            <w:rStyle w:val="Hyperlink"/>
            <w:sz w:val="24"/>
            <w:lang w:val="es-ES_tradnl"/>
          </w:rPr>
          <w:t xml:space="preserve"> Inclusión social — Período de financiación:</w:t>
        </w:r>
      </w:hyperlink>
      <w:hyperlink r:id="rId14" w:history="1">
        <w:r w:rsidRPr="006A2AE3">
          <w:rPr>
            <w:rStyle w:val="Hyperlink"/>
            <w:sz w:val="24"/>
            <w:lang w:val="es-ES_tradnl"/>
          </w:rPr>
          <w:t xml:space="preserve"> 2014-2020</w:t>
        </w:r>
      </w:hyperlink>
      <w:r w:rsidRPr="006A2AE3">
        <w:rPr>
          <w:sz w:val="24"/>
          <w:lang w:val="es-ES_tradnl"/>
        </w:rPr>
        <w:t xml:space="preserve">’, consultado el 20 de febrero de 2024. </w:t>
      </w:r>
    </w:p>
  </w:footnote>
  <w:footnote w:id="53">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2023)0022, p. 17.</w:t>
      </w:r>
    </w:p>
  </w:footnote>
  <w:footnote w:id="54">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r w:rsidRPr="006A2AE3">
        <w:rPr>
          <w:sz w:val="24"/>
          <w:lang w:val="es-ES_tradnl"/>
        </w:rPr>
        <w:t xml:space="preserve">Comisión Europea: </w:t>
      </w:r>
      <w:hyperlink r:id="rId15" w:anchor="achievements" w:history="1">
        <w:r w:rsidRPr="006A2AE3">
          <w:rPr>
            <w:rStyle w:val="Hyperlink"/>
            <w:sz w:val="24"/>
            <w:lang w:val="es-ES_tradnl"/>
          </w:rPr>
          <w:t>Plataforma de datos abiertos sobre cohesión – Fondo:</w:t>
        </w:r>
      </w:hyperlink>
      <w:hyperlink r:id="rId16" w:anchor="achievements" w:history="1">
        <w:r w:rsidRPr="006A2AE3">
          <w:rPr>
            <w:rStyle w:val="Hyperlink"/>
            <w:sz w:val="24"/>
            <w:lang w:val="es-ES_tradnl"/>
          </w:rPr>
          <w:t xml:space="preserve"> FEDER – Período de financiación:</w:t>
        </w:r>
      </w:hyperlink>
      <w:hyperlink r:id="rId17" w:anchor="achievements" w:history="1">
        <w:r w:rsidRPr="006A2AE3">
          <w:rPr>
            <w:rStyle w:val="Hyperlink"/>
            <w:sz w:val="24"/>
            <w:lang w:val="es-ES_tradnl"/>
          </w:rPr>
          <w:t xml:space="preserve"> 2014-2020</w:t>
        </w:r>
      </w:hyperlink>
      <w:r w:rsidRPr="006A2AE3">
        <w:rPr>
          <w:sz w:val="24"/>
          <w:lang w:val="es-ES_tradnl"/>
        </w:rPr>
        <w:t>’, consultado el 20 de febrero de 2024.</w:t>
      </w:r>
    </w:p>
  </w:footnote>
  <w:footnote w:id="55">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 xml:space="preserve">2024)0002, p. 15. </w:t>
      </w:r>
    </w:p>
  </w:footnote>
  <w:footnote w:id="56">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gramStart"/>
      <w:r w:rsidRPr="006A2AE3">
        <w:rPr>
          <w:sz w:val="24"/>
          <w:lang w:val="es-ES_tradnl"/>
        </w:rPr>
        <w:t>SWD(</w:t>
      </w:r>
      <w:proofErr w:type="gramEnd"/>
      <w:r w:rsidRPr="006A2AE3">
        <w:rPr>
          <w:sz w:val="24"/>
          <w:lang w:val="es-ES_tradnl"/>
        </w:rPr>
        <w:t xml:space="preserve">2024)0002, p. 15. </w:t>
      </w:r>
    </w:p>
  </w:footnote>
  <w:footnote w:id="57">
    <w:p w:rsidR="00F54608" w:rsidRPr="006A2AE3" w:rsidRDefault="00F54608" w:rsidP="006A2AE3">
      <w:pPr>
        <w:pStyle w:val="FootnoteText"/>
        <w:ind w:left="567" w:hanging="567"/>
        <w:rPr>
          <w:sz w:val="24"/>
          <w:lang w:val="es-ES_tradnl"/>
        </w:rPr>
      </w:pPr>
      <w:r w:rsidRPr="006A2AE3">
        <w:rPr>
          <w:rStyle w:val="FootnoteReference"/>
          <w:sz w:val="24"/>
          <w:lang w:val="es-ES_tradnl"/>
        </w:rPr>
        <w:footnoteRef/>
      </w:r>
      <w:r w:rsidR="006A2AE3" w:rsidRPr="006A2AE3">
        <w:rPr>
          <w:sz w:val="24"/>
          <w:lang w:val="es-ES_tradnl"/>
        </w:rPr>
        <w:t xml:space="preserve"> </w:t>
      </w:r>
      <w:r w:rsidR="006A2AE3" w:rsidRPr="006A2AE3">
        <w:rPr>
          <w:sz w:val="24"/>
          <w:lang w:val="es-ES_tradnl"/>
        </w:rPr>
        <w:tab/>
      </w:r>
      <w:proofErr w:type="spellStart"/>
      <w:r w:rsidRPr="006A2AE3">
        <w:rPr>
          <w:sz w:val="24"/>
          <w:lang w:val="es-ES_tradnl"/>
        </w:rPr>
        <w:t>Civitta</w:t>
      </w:r>
      <w:proofErr w:type="spellEnd"/>
      <w:r w:rsidRPr="006A2AE3">
        <w:rPr>
          <w:sz w:val="24"/>
          <w:lang w:val="es-ES_tradnl"/>
        </w:rPr>
        <w:t xml:space="preserve"> International y </w:t>
      </w:r>
      <w:proofErr w:type="spellStart"/>
      <w:r w:rsidRPr="006A2AE3">
        <w:rPr>
          <w:sz w:val="24"/>
          <w:lang w:val="es-ES_tradnl"/>
        </w:rPr>
        <w:t>Vienna</w:t>
      </w:r>
      <w:proofErr w:type="spellEnd"/>
      <w:r w:rsidRPr="006A2AE3">
        <w:rPr>
          <w:sz w:val="24"/>
          <w:lang w:val="es-ES_tradnl"/>
        </w:rPr>
        <w:t xml:space="preserve"> </w:t>
      </w:r>
      <w:proofErr w:type="spellStart"/>
      <w:r w:rsidRPr="006A2AE3">
        <w:rPr>
          <w:sz w:val="24"/>
          <w:lang w:val="es-ES_tradnl"/>
        </w:rPr>
        <w:t>Institute</w:t>
      </w:r>
      <w:proofErr w:type="spellEnd"/>
      <w:r w:rsidRPr="006A2AE3">
        <w:rPr>
          <w:sz w:val="24"/>
          <w:lang w:val="es-ES_tradnl"/>
        </w:rPr>
        <w:t xml:space="preserve"> </w:t>
      </w:r>
      <w:proofErr w:type="spellStart"/>
      <w:r w:rsidRPr="006A2AE3">
        <w:rPr>
          <w:sz w:val="24"/>
          <w:lang w:val="es-ES_tradnl"/>
        </w:rPr>
        <w:t>for</w:t>
      </w:r>
      <w:proofErr w:type="spellEnd"/>
      <w:r w:rsidRPr="006A2AE3">
        <w:rPr>
          <w:sz w:val="24"/>
          <w:lang w:val="es-ES_tradnl"/>
        </w:rPr>
        <w:t xml:space="preserve"> International </w:t>
      </w:r>
      <w:proofErr w:type="spellStart"/>
      <w:r w:rsidRPr="006A2AE3">
        <w:rPr>
          <w:sz w:val="24"/>
          <w:lang w:val="es-ES_tradnl"/>
        </w:rPr>
        <w:t>Economic</w:t>
      </w:r>
      <w:proofErr w:type="spellEnd"/>
      <w:r w:rsidRPr="006A2AE3">
        <w:rPr>
          <w:sz w:val="24"/>
          <w:lang w:val="es-ES_tradnl"/>
        </w:rPr>
        <w:t xml:space="preserve"> </w:t>
      </w:r>
      <w:proofErr w:type="spellStart"/>
      <w:r w:rsidRPr="006A2AE3">
        <w:rPr>
          <w:sz w:val="24"/>
          <w:lang w:val="es-ES_tradnl"/>
        </w:rPr>
        <w:t>Studies</w:t>
      </w:r>
      <w:proofErr w:type="spellEnd"/>
      <w:r w:rsidRPr="006A2AE3">
        <w:rPr>
          <w:sz w:val="24"/>
          <w:lang w:val="es-ES_tradnl"/>
        </w:rPr>
        <w:t>: «</w:t>
      </w:r>
      <w:proofErr w:type="spellStart"/>
      <w:r w:rsidR="00676D25">
        <w:fldChar w:fldCharType="begin"/>
      </w:r>
      <w:r w:rsidR="00676D25">
        <w:instrText xml:space="preserve"> HYPERLINK "https://ec.europa.eu/regional_policy/policy/evaluations/member-states/ate37_en" </w:instrText>
      </w:r>
      <w:r w:rsidR="00676D25">
        <w:fldChar w:fldCharType="separate"/>
      </w:r>
      <w:r w:rsidRPr="006A2AE3">
        <w:rPr>
          <w:rStyle w:val="Hyperlink"/>
          <w:sz w:val="24"/>
          <w:lang w:val="es-ES_tradnl"/>
        </w:rPr>
        <w:t>Impact</w:t>
      </w:r>
      <w:proofErr w:type="spellEnd"/>
      <w:r w:rsidRPr="006A2AE3">
        <w:rPr>
          <w:rStyle w:val="Hyperlink"/>
          <w:sz w:val="24"/>
          <w:lang w:val="es-ES_tradnl"/>
        </w:rPr>
        <w:t xml:space="preserve"> </w:t>
      </w:r>
      <w:proofErr w:type="spellStart"/>
      <w:r w:rsidRPr="006A2AE3">
        <w:rPr>
          <w:rStyle w:val="Hyperlink"/>
          <w:sz w:val="24"/>
          <w:lang w:val="es-ES_tradnl"/>
        </w:rPr>
        <w:t>Evaluation</w:t>
      </w:r>
      <w:proofErr w:type="spellEnd"/>
      <w:r w:rsidRPr="006A2AE3">
        <w:rPr>
          <w:rStyle w:val="Hyperlink"/>
          <w:sz w:val="24"/>
          <w:lang w:val="es-ES_tradnl"/>
        </w:rPr>
        <w:t xml:space="preserve"> Report </w:t>
      </w:r>
      <w:proofErr w:type="spellStart"/>
      <w:r w:rsidRPr="006A2AE3">
        <w:rPr>
          <w:rStyle w:val="Hyperlink"/>
          <w:sz w:val="24"/>
          <w:lang w:val="es-ES_tradnl"/>
        </w:rPr>
        <w:t>for</w:t>
      </w:r>
      <w:proofErr w:type="spellEnd"/>
      <w:r w:rsidRPr="006A2AE3">
        <w:rPr>
          <w:rStyle w:val="Hyperlink"/>
          <w:sz w:val="24"/>
          <w:lang w:val="es-ES_tradnl"/>
        </w:rPr>
        <w:t xml:space="preserve"> </w:t>
      </w:r>
      <w:proofErr w:type="spellStart"/>
      <w:r w:rsidRPr="006A2AE3">
        <w:rPr>
          <w:rStyle w:val="Hyperlink"/>
          <w:sz w:val="24"/>
          <w:lang w:val="es-ES_tradnl"/>
        </w:rPr>
        <w:t>the</w:t>
      </w:r>
      <w:proofErr w:type="spellEnd"/>
      <w:r w:rsidRPr="006A2AE3">
        <w:rPr>
          <w:rStyle w:val="Hyperlink"/>
          <w:sz w:val="24"/>
          <w:lang w:val="es-ES_tradnl"/>
        </w:rPr>
        <w:t xml:space="preserve"> </w:t>
      </w:r>
      <w:proofErr w:type="spellStart"/>
      <w:r w:rsidRPr="006A2AE3">
        <w:rPr>
          <w:rStyle w:val="Hyperlink"/>
          <w:sz w:val="24"/>
          <w:lang w:val="es-ES_tradnl"/>
        </w:rPr>
        <w:t>Impact</w:t>
      </w:r>
      <w:proofErr w:type="spellEnd"/>
      <w:r w:rsidRPr="006A2AE3">
        <w:rPr>
          <w:rStyle w:val="Hyperlink"/>
          <w:sz w:val="24"/>
          <w:lang w:val="es-ES_tradnl"/>
        </w:rPr>
        <w:t xml:space="preserve"> </w:t>
      </w:r>
      <w:proofErr w:type="spellStart"/>
      <w:r w:rsidRPr="006A2AE3">
        <w:rPr>
          <w:rStyle w:val="Hyperlink"/>
          <w:sz w:val="24"/>
          <w:lang w:val="es-ES_tradnl"/>
        </w:rPr>
        <w:t>Evaluation</w:t>
      </w:r>
      <w:proofErr w:type="spellEnd"/>
      <w:r w:rsidRPr="006A2AE3">
        <w:rPr>
          <w:rStyle w:val="Hyperlink"/>
          <w:sz w:val="24"/>
          <w:lang w:val="es-ES_tradnl"/>
        </w:rPr>
        <w:t xml:space="preserve"> of </w:t>
      </w:r>
      <w:proofErr w:type="spellStart"/>
      <w:r w:rsidRPr="006A2AE3">
        <w:rPr>
          <w:rStyle w:val="Hyperlink"/>
          <w:sz w:val="24"/>
          <w:lang w:val="es-ES_tradnl"/>
        </w:rPr>
        <w:t>the</w:t>
      </w:r>
      <w:proofErr w:type="spellEnd"/>
      <w:r w:rsidRPr="006A2AE3">
        <w:rPr>
          <w:rStyle w:val="Hyperlink"/>
          <w:sz w:val="24"/>
          <w:lang w:val="es-ES_tradnl"/>
        </w:rPr>
        <w:t xml:space="preserve"> </w:t>
      </w:r>
      <w:proofErr w:type="spellStart"/>
      <w:r w:rsidRPr="006A2AE3">
        <w:rPr>
          <w:rStyle w:val="Hyperlink"/>
          <w:sz w:val="24"/>
          <w:lang w:val="es-ES_tradnl"/>
        </w:rPr>
        <w:t>Interreg</w:t>
      </w:r>
      <w:proofErr w:type="spellEnd"/>
      <w:r w:rsidRPr="006A2AE3">
        <w:rPr>
          <w:rStyle w:val="Hyperlink"/>
          <w:sz w:val="24"/>
          <w:lang w:val="es-ES_tradnl"/>
        </w:rPr>
        <w:t xml:space="preserve"> CENTRAL EUROPE </w:t>
      </w:r>
      <w:proofErr w:type="spellStart"/>
      <w:r w:rsidRPr="006A2AE3">
        <w:rPr>
          <w:rStyle w:val="Hyperlink"/>
          <w:sz w:val="24"/>
          <w:lang w:val="es-ES_tradnl"/>
        </w:rPr>
        <w:t>Programme</w:t>
      </w:r>
      <w:proofErr w:type="spellEnd"/>
      <w:r w:rsidRPr="006A2AE3">
        <w:rPr>
          <w:rStyle w:val="Hyperlink"/>
          <w:sz w:val="24"/>
          <w:lang w:val="es-ES_tradnl"/>
        </w:rPr>
        <w:t xml:space="preserve"> – </w:t>
      </w:r>
      <w:proofErr w:type="spellStart"/>
      <w:r w:rsidRPr="006A2AE3">
        <w:rPr>
          <w:rStyle w:val="Hyperlink"/>
          <w:sz w:val="24"/>
          <w:lang w:val="es-ES_tradnl"/>
        </w:rPr>
        <w:t>Phase</w:t>
      </w:r>
      <w:proofErr w:type="spellEnd"/>
      <w:r w:rsidRPr="006A2AE3">
        <w:rPr>
          <w:rStyle w:val="Hyperlink"/>
          <w:sz w:val="24"/>
          <w:lang w:val="es-ES_tradnl"/>
        </w:rPr>
        <w:t xml:space="preserve"> 1</w:t>
      </w:r>
      <w:r w:rsidR="00676D25">
        <w:rPr>
          <w:rStyle w:val="Hyperlink"/>
          <w:sz w:val="24"/>
          <w:lang w:val="es-ES_tradnl"/>
        </w:rPr>
        <w:fldChar w:fldCharType="end"/>
      </w:r>
      <w:r w:rsidRPr="006A2AE3">
        <w:rPr>
          <w:sz w:val="24"/>
          <w:lang w:val="es-ES_tradnl"/>
        </w:rPr>
        <w:t xml:space="preserve">» (Informe de la evaluación de impacto del programa Interreg Europa Central – Fase 1), febrero de 2022. </w:t>
      </w:r>
    </w:p>
  </w:footnote>
  <w:footnote w:id="58">
    <w:p w:rsidR="00F54608" w:rsidRPr="00AF49A3" w:rsidRDefault="00F54608" w:rsidP="006A2AE3">
      <w:pPr>
        <w:pStyle w:val="FootnoteText"/>
        <w:ind w:left="567" w:hanging="567"/>
        <w:rPr>
          <w:sz w:val="24"/>
          <w:lang w:val="en-GB"/>
        </w:rPr>
      </w:pPr>
      <w:r w:rsidRPr="006A2AE3">
        <w:rPr>
          <w:rStyle w:val="FootnoteReference"/>
          <w:sz w:val="24"/>
          <w:lang w:val="es-ES_tradnl"/>
        </w:rPr>
        <w:footnoteRef/>
      </w:r>
      <w:r w:rsidR="006A2AE3" w:rsidRPr="00AF49A3">
        <w:rPr>
          <w:sz w:val="24"/>
          <w:lang w:val="en-GB"/>
        </w:rPr>
        <w:t xml:space="preserve"> </w:t>
      </w:r>
      <w:r w:rsidR="006A2AE3" w:rsidRPr="00AF49A3">
        <w:rPr>
          <w:sz w:val="24"/>
          <w:lang w:val="en-GB"/>
        </w:rPr>
        <w:tab/>
      </w:r>
      <w:proofErr w:type="gramStart"/>
      <w:r w:rsidRPr="00AF49A3">
        <w:rPr>
          <w:sz w:val="24"/>
          <w:lang w:val="en-GB"/>
        </w:rPr>
        <w:t>SWD(</w:t>
      </w:r>
      <w:proofErr w:type="gramEnd"/>
      <w:r w:rsidRPr="00AF49A3">
        <w:rPr>
          <w:sz w:val="24"/>
          <w:lang w:val="en-GB"/>
        </w:rPr>
        <w:t xml:space="preserve">2023)0022, p. 20. </w:t>
      </w:r>
    </w:p>
  </w:footnote>
  <w:footnote w:id="59">
    <w:p w:rsidR="00F54608" w:rsidRPr="00AF49A3" w:rsidRDefault="00F54608" w:rsidP="006A2AE3">
      <w:pPr>
        <w:pStyle w:val="FootnoteText"/>
        <w:ind w:left="567" w:hanging="567"/>
        <w:rPr>
          <w:sz w:val="24"/>
          <w:lang w:val="en-GB"/>
        </w:rPr>
      </w:pPr>
      <w:r w:rsidRPr="006A2AE3">
        <w:rPr>
          <w:rStyle w:val="FootnoteReference"/>
          <w:sz w:val="24"/>
          <w:lang w:val="es-ES_tradnl"/>
        </w:rPr>
        <w:footnoteRef/>
      </w:r>
      <w:r w:rsidR="006A2AE3" w:rsidRPr="00AF49A3">
        <w:rPr>
          <w:sz w:val="24"/>
          <w:lang w:val="en-GB"/>
        </w:rPr>
        <w:t xml:space="preserve"> </w:t>
      </w:r>
      <w:r w:rsidR="006A2AE3" w:rsidRPr="00AF49A3">
        <w:rPr>
          <w:sz w:val="24"/>
          <w:lang w:val="en-GB"/>
        </w:rPr>
        <w:tab/>
      </w:r>
      <w:proofErr w:type="gramStart"/>
      <w:r w:rsidRPr="00AF49A3">
        <w:rPr>
          <w:sz w:val="24"/>
          <w:lang w:val="en-GB"/>
        </w:rPr>
        <w:t>SWD(</w:t>
      </w:r>
      <w:proofErr w:type="gramEnd"/>
      <w:r w:rsidRPr="00AF49A3">
        <w:rPr>
          <w:sz w:val="24"/>
          <w:lang w:val="en-GB"/>
        </w:rPr>
        <w:t xml:space="preserve">2024)0002, p. 15. </w:t>
      </w:r>
    </w:p>
  </w:footnote>
  <w:footnote w:id="60">
    <w:p w:rsidR="00F54608" w:rsidRPr="00AF49A3" w:rsidRDefault="00F54608" w:rsidP="006A2AE3">
      <w:pPr>
        <w:pStyle w:val="FootnoteText"/>
        <w:ind w:left="567" w:hanging="567"/>
        <w:rPr>
          <w:sz w:val="24"/>
          <w:lang w:val="en-GB"/>
        </w:rPr>
      </w:pPr>
      <w:r w:rsidRPr="006A2AE3">
        <w:rPr>
          <w:rStyle w:val="FootnoteReference"/>
          <w:sz w:val="24"/>
          <w:lang w:val="es-ES_tradnl"/>
        </w:rPr>
        <w:footnoteRef/>
      </w:r>
      <w:r w:rsidR="006A2AE3" w:rsidRPr="00AF49A3">
        <w:rPr>
          <w:sz w:val="24"/>
          <w:lang w:val="en-GB"/>
        </w:rPr>
        <w:t xml:space="preserve"> </w:t>
      </w:r>
      <w:r w:rsidR="006A2AE3" w:rsidRPr="00AF49A3">
        <w:rPr>
          <w:sz w:val="24"/>
          <w:lang w:val="en-GB"/>
        </w:rPr>
        <w:tab/>
      </w:r>
      <w:proofErr w:type="gramStart"/>
      <w:r w:rsidRPr="00AF49A3">
        <w:rPr>
          <w:sz w:val="24"/>
          <w:lang w:val="en-GB"/>
        </w:rPr>
        <w:t>SWD(</w:t>
      </w:r>
      <w:proofErr w:type="gramEnd"/>
      <w:r w:rsidRPr="00AF49A3">
        <w:rPr>
          <w:sz w:val="24"/>
          <w:lang w:val="en-GB"/>
        </w:rPr>
        <w:t>2023)0022, p. 20.</w:t>
      </w:r>
    </w:p>
  </w:footnote>
  <w:footnote w:id="61">
    <w:p w:rsidR="0057032A" w:rsidRPr="00AF49A3" w:rsidRDefault="0057032A" w:rsidP="00AF49A3">
      <w:pPr>
        <w:pStyle w:val="FootnoteText"/>
        <w:ind w:left="567" w:hanging="567"/>
        <w:rPr>
          <w:lang w:val="es-ES"/>
        </w:rPr>
      </w:pPr>
      <w:r>
        <w:rPr>
          <w:rStyle w:val="FootnoteReference"/>
        </w:rPr>
        <w:footnoteRef/>
      </w:r>
      <w:r w:rsidRPr="00AF49A3">
        <w:rPr>
          <w:lang w:val="es-ES"/>
        </w:rPr>
        <w:t xml:space="preserve"> </w:t>
      </w:r>
      <w:r>
        <w:rPr>
          <w:lang w:val="es-ES"/>
        </w:rPr>
        <w:tab/>
      </w:r>
      <w:r w:rsidRPr="006A2AE3">
        <w:rPr>
          <w:sz w:val="24"/>
          <w:lang w:val="es-ES_tradnl"/>
        </w:rPr>
        <w:t>Comisión Europea, «</w:t>
      </w:r>
      <w:hyperlink r:id="rId18" w:history="1">
        <w:r w:rsidRPr="006A2AE3">
          <w:rPr>
            <w:rStyle w:val="Hyperlink"/>
            <w:sz w:val="24"/>
            <w:lang w:val="es-ES_tradnl"/>
          </w:rPr>
          <w:t>Panel sobre el coronavirus: la respuesta de la política de cohesión de la UE a la crisis</w:t>
        </w:r>
      </w:hyperlink>
      <w:r w:rsidRPr="006A2AE3">
        <w:rPr>
          <w:sz w:val="24"/>
          <w:lang w:val="es-ES_tradnl"/>
        </w:rPr>
        <w:t>», 18 de octubre de 2023.</w:t>
      </w:r>
    </w:p>
  </w:footnote>
  <w:footnote w:id="62">
    <w:p w:rsidR="003176C6" w:rsidRPr="00B3557D" w:rsidRDefault="003176C6" w:rsidP="00AF49A3">
      <w:pPr>
        <w:pStyle w:val="FootnoteText"/>
        <w:ind w:left="567" w:hanging="567"/>
        <w:rPr>
          <w:lang w:val="pl-PL"/>
        </w:rPr>
      </w:pPr>
      <w:r>
        <w:rPr>
          <w:rStyle w:val="FootnoteReference"/>
        </w:rPr>
        <w:footnoteRef/>
      </w:r>
      <w:r w:rsidRPr="00B3557D">
        <w:rPr>
          <w:lang w:val="pl-PL"/>
        </w:rPr>
        <w:t xml:space="preserve"> </w:t>
      </w:r>
      <w:r w:rsidRPr="00B3557D">
        <w:rPr>
          <w:lang w:val="pl-PL"/>
        </w:rPr>
        <w:tab/>
      </w:r>
      <w:r w:rsidRPr="00B3557D">
        <w:rPr>
          <w:sz w:val="24"/>
          <w:lang w:val="pl-PL"/>
        </w:rPr>
        <w:t>Ídem.</w:t>
      </w:r>
    </w:p>
  </w:footnote>
  <w:footnote w:id="63">
    <w:p w:rsidR="003176C6" w:rsidRPr="00B3557D" w:rsidRDefault="003176C6" w:rsidP="00AF49A3">
      <w:pPr>
        <w:pStyle w:val="FootnoteText"/>
        <w:ind w:left="567" w:hanging="567"/>
        <w:rPr>
          <w:lang w:val="pl-PL"/>
        </w:rPr>
      </w:pPr>
      <w:r>
        <w:rPr>
          <w:rStyle w:val="FootnoteReference"/>
        </w:rPr>
        <w:footnoteRef/>
      </w:r>
      <w:r w:rsidRPr="00B3557D">
        <w:rPr>
          <w:lang w:val="pl-PL"/>
        </w:rPr>
        <w:t xml:space="preserve"> </w:t>
      </w:r>
      <w:r w:rsidRPr="00B3557D">
        <w:rPr>
          <w:lang w:val="pl-PL"/>
        </w:rPr>
        <w:tab/>
      </w:r>
      <w:r w:rsidRPr="00B3557D">
        <w:rPr>
          <w:sz w:val="24"/>
          <w:lang w:val="pl-PL"/>
        </w:rPr>
        <w:t>SWD(2024)0002, p. 16.</w:t>
      </w:r>
    </w:p>
  </w:footnote>
  <w:footnote w:id="64">
    <w:p w:rsidR="003176C6" w:rsidRPr="00B3557D" w:rsidRDefault="003176C6" w:rsidP="00AF49A3">
      <w:pPr>
        <w:pStyle w:val="FootnoteText"/>
        <w:ind w:left="567" w:hanging="567"/>
        <w:rPr>
          <w:lang w:val="pl-PL"/>
        </w:rPr>
      </w:pPr>
      <w:r>
        <w:rPr>
          <w:rStyle w:val="FootnoteReference"/>
        </w:rPr>
        <w:footnoteRef/>
      </w:r>
      <w:r w:rsidRPr="00B3557D">
        <w:rPr>
          <w:lang w:val="pl-PL"/>
        </w:rPr>
        <w:t xml:space="preserve"> </w:t>
      </w:r>
      <w:r w:rsidRPr="00B3557D">
        <w:rPr>
          <w:lang w:val="pl-PL"/>
        </w:rPr>
        <w:tab/>
      </w:r>
      <w:r w:rsidRPr="00B3557D">
        <w:rPr>
          <w:sz w:val="24"/>
          <w:lang w:val="pl-PL"/>
        </w:rPr>
        <w:t xml:space="preserve">SWD(2023)0022, p. 18. </w:t>
      </w:r>
    </w:p>
  </w:footnote>
  <w:footnote w:id="65">
    <w:p w:rsidR="003176C6" w:rsidRPr="00AF49A3" w:rsidRDefault="003176C6" w:rsidP="00AF49A3">
      <w:pPr>
        <w:pStyle w:val="FootnoteText"/>
        <w:ind w:left="567" w:hanging="567"/>
        <w:rPr>
          <w:lang w:val="es-ES"/>
        </w:rPr>
      </w:pPr>
      <w:r>
        <w:rPr>
          <w:rStyle w:val="FootnoteReference"/>
        </w:rPr>
        <w:footnoteRef/>
      </w:r>
      <w:r w:rsidRPr="00AF49A3">
        <w:rPr>
          <w:lang w:val="es-ES"/>
        </w:rPr>
        <w:t xml:space="preserve"> </w:t>
      </w:r>
      <w:r>
        <w:rPr>
          <w:lang w:val="es-ES"/>
        </w:rPr>
        <w:tab/>
      </w:r>
      <w:r w:rsidRPr="006A2AE3">
        <w:rPr>
          <w:sz w:val="24"/>
          <w:lang w:val="es-ES_tradnl"/>
        </w:rPr>
        <w:t>Documento de trabajo de los servicios de la Comisión, de 14 de julio de 2023, titulado «</w:t>
      </w:r>
      <w:proofErr w:type="spellStart"/>
      <w:r w:rsidRPr="006A2AE3">
        <w:rPr>
          <w:sz w:val="24"/>
          <w:lang w:val="es-ES_tradnl"/>
        </w:rPr>
        <w:t>Preliminary</w:t>
      </w:r>
      <w:proofErr w:type="spellEnd"/>
      <w:r w:rsidRPr="006A2AE3">
        <w:rPr>
          <w:sz w:val="24"/>
          <w:lang w:val="es-ES_tradnl"/>
        </w:rPr>
        <w:t xml:space="preserve"> </w:t>
      </w:r>
      <w:proofErr w:type="spellStart"/>
      <w:r w:rsidRPr="006A2AE3">
        <w:rPr>
          <w:sz w:val="24"/>
          <w:lang w:val="es-ES_tradnl"/>
        </w:rPr>
        <w:t>evaluation</w:t>
      </w:r>
      <w:proofErr w:type="spellEnd"/>
      <w:r w:rsidRPr="006A2AE3">
        <w:rPr>
          <w:sz w:val="24"/>
          <w:lang w:val="es-ES_tradnl"/>
        </w:rPr>
        <w:t xml:space="preserve"> of </w:t>
      </w:r>
      <w:proofErr w:type="spellStart"/>
      <w:r w:rsidRPr="006A2AE3">
        <w:rPr>
          <w:sz w:val="24"/>
          <w:lang w:val="es-ES_tradnl"/>
        </w:rPr>
        <w:t>the</w:t>
      </w:r>
      <w:proofErr w:type="spellEnd"/>
      <w:r w:rsidRPr="006A2AE3">
        <w:rPr>
          <w:sz w:val="24"/>
          <w:lang w:val="es-ES_tradnl"/>
        </w:rPr>
        <w:t xml:space="preserve"> </w:t>
      </w:r>
      <w:proofErr w:type="spellStart"/>
      <w:r w:rsidRPr="006A2AE3">
        <w:rPr>
          <w:sz w:val="24"/>
          <w:lang w:val="es-ES_tradnl"/>
        </w:rPr>
        <w:t>support</w:t>
      </w:r>
      <w:proofErr w:type="spellEnd"/>
      <w:r w:rsidRPr="006A2AE3">
        <w:rPr>
          <w:sz w:val="24"/>
          <w:lang w:val="es-ES_tradnl"/>
        </w:rPr>
        <w:t xml:space="preserve"> </w:t>
      </w:r>
      <w:proofErr w:type="spellStart"/>
      <w:r w:rsidRPr="006A2AE3">
        <w:rPr>
          <w:sz w:val="24"/>
          <w:lang w:val="es-ES_tradnl"/>
        </w:rPr>
        <w:t>provided</w:t>
      </w:r>
      <w:proofErr w:type="spellEnd"/>
      <w:r w:rsidRPr="006A2AE3">
        <w:rPr>
          <w:sz w:val="24"/>
          <w:lang w:val="es-ES_tradnl"/>
        </w:rPr>
        <w:t xml:space="preserve"> </w:t>
      </w:r>
      <w:proofErr w:type="spellStart"/>
      <w:r w:rsidRPr="006A2AE3">
        <w:rPr>
          <w:sz w:val="24"/>
          <w:lang w:val="es-ES_tradnl"/>
        </w:rPr>
        <w:t>by</w:t>
      </w:r>
      <w:proofErr w:type="spellEnd"/>
      <w:r w:rsidRPr="006A2AE3">
        <w:rPr>
          <w:sz w:val="24"/>
          <w:lang w:val="es-ES_tradnl"/>
        </w:rPr>
        <w:t xml:space="preserve"> ESF and FEAD </w:t>
      </w:r>
      <w:proofErr w:type="spellStart"/>
      <w:r w:rsidRPr="006A2AE3">
        <w:rPr>
          <w:sz w:val="24"/>
          <w:lang w:val="es-ES_tradnl"/>
        </w:rPr>
        <w:t>under</w:t>
      </w:r>
      <w:proofErr w:type="spellEnd"/>
      <w:r w:rsidRPr="006A2AE3">
        <w:rPr>
          <w:sz w:val="24"/>
          <w:lang w:val="es-ES_tradnl"/>
        </w:rPr>
        <w:t xml:space="preserve"> </w:t>
      </w:r>
      <w:proofErr w:type="spellStart"/>
      <w:r w:rsidRPr="006A2AE3">
        <w:rPr>
          <w:sz w:val="24"/>
          <w:lang w:val="es-ES_tradnl"/>
        </w:rPr>
        <w:t>the</w:t>
      </w:r>
      <w:proofErr w:type="spellEnd"/>
      <w:r w:rsidRPr="006A2AE3">
        <w:rPr>
          <w:sz w:val="24"/>
          <w:lang w:val="es-ES_tradnl"/>
        </w:rPr>
        <w:t xml:space="preserve"> Coronavirus Response </w:t>
      </w:r>
      <w:proofErr w:type="spellStart"/>
      <w:r w:rsidRPr="006A2AE3">
        <w:rPr>
          <w:sz w:val="24"/>
          <w:lang w:val="es-ES_tradnl"/>
        </w:rPr>
        <w:t>Investment</w:t>
      </w:r>
      <w:proofErr w:type="spellEnd"/>
      <w:r w:rsidRPr="006A2AE3">
        <w:rPr>
          <w:sz w:val="24"/>
          <w:lang w:val="es-ES_tradnl"/>
        </w:rPr>
        <w:t xml:space="preserve"> </w:t>
      </w:r>
      <w:proofErr w:type="spellStart"/>
      <w:r w:rsidRPr="006A2AE3">
        <w:rPr>
          <w:sz w:val="24"/>
          <w:lang w:val="es-ES_tradnl"/>
        </w:rPr>
        <w:t>Initiatives</w:t>
      </w:r>
      <w:proofErr w:type="spellEnd"/>
      <w:r w:rsidRPr="006A2AE3">
        <w:rPr>
          <w:sz w:val="24"/>
          <w:lang w:val="es-ES_tradnl"/>
        </w:rPr>
        <w:t xml:space="preserve"> (CRII and CRII+)» (Evaluación preliminar de la ayuda prestada por el FSE y el FEAD en el marco de las Iniciativas de Inversión en Respuesta al Coronavirus (IIRC e IIRC+)) (</w:t>
      </w:r>
      <w:proofErr w:type="gramStart"/>
      <w:r w:rsidRPr="006A2AE3">
        <w:rPr>
          <w:sz w:val="24"/>
          <w:lang w:val="es-ES_tradnl"/>
        </w:rPr>
        <w:t>SWD(</w:t>
      </w:r>
      <w:proofErr w:type="gramEnd"/>
      <w:r w:rsidRPr="006A2AE3">
        <w:rPr>
          <w:sz w:val="24"/>
          <w:lang w:val="es-ES_tradnl"/>
        </w:rPr>
        <w:t>2023)0249).</w:t>
      </w:r>
    </w:p>
  </w:footnote>
  <w:footnote w:id="66">
    <w:p w:rsidR="003176C6" w:rsidRPr="00AF49A3" w:rsidRDefault="003176C6" w:rsidP="00AF49A3">
      <w:pPr>
        <w:pStyle w:val="FootnoteText"/>
        <w:ind w:left="567" w:hanging="567"/>
        <w:rPr>
          <w:lang w:val="es-ES"/>
        </w:rPr>
      </w:pPr>
      <w:r>
        <w:rPr>
          <w:rStyle w:val="FootnoteReference"/>
        </w:rPr>
        <w:footnoteRef/>
      </w:r>
      <w:r w:rsidRPr="00B3557D">
        <w:rPr>
          <w:lang w:val="es-ES"/>
        </w:rPr>
        <w:t xml:space="preserve"> </w:t>
      </w:r>
      <w:r>
        <w:rPr>
          <w:lang w:val="es-ES"/>
        </w:rPr>
        <w:tab/>
      </w:r>
      <w:r w:rsidRPr="006A2AE3">
        <w:rPr>
          <w:sz w:val="24"/>
          <w:lang w:val="es-ES_tradnl"/>
        </w:rPr>
        <w:t>Reglamento Delegado (UE) 2015/1970 de la Comisión, de 8 de julio de 2015, por el que se completa el Reglamento (UE) n.º 1303/2013 del Parlamento Europeo y del Consejo con disposiciones específicas sobre la notificación de irregularidades respecto del Fondo Europeo de Desarrollo Regional, del Fondo Social Europeo, del Fondo de Cohesión y del Fondo Europeo Marítimo y de Pesca (DO L 293 de 10.11.2015,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AE3" w:rsidRPr="006A2AE3" w:rsidRDefault="006A2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AE3" w:rsidRPr="006A2AE3" w:rsidRDefault="006A2A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AE3" w:rsidRPr="006A2AE3" w:rsidRDefault="006A2A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AE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AE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A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ES"/>
    <w:docVar w:name="dvnumam" w:val="0"/>
    <w:docVar w:name="dvpe" w:val="756.089"/>
    <w:docVar w:name="dvrapporteur" w:val="Ponente: "/>
    <w:docVar w:name="dvtitre" w:val="Resolución del Parlamento Europeo, de 14 de marzo de 2024, sobre la política de cohesión 2014-2020: aplicación y resultados en los Estados miembros(2023/2121(INI))"/>
  </w:docVars>
  <w:rsids>
    <w:rsidRoot w:val="00FD2113"/>
    <w:rsid w:val="00002272"/>
    <w:rsid w:val="00064002"/>
    <w:rsid w:val="000677B9"/>
    <w:rsid w:val="000831BA"/>
    <w:rsid w:val="000A42CC"/>
    <w:rsid w:val="000E7DD9"/>
    <w:rsid w:val="0010095E"/>
    <w:rsid w:val="00125B37"/>
    <w:rsid w:val="00187494"/>
    <w:rsid w:val="001F32AE"/>
    <w:rsid w:val="002767FF"/>
    <w:rsid w:val="002B18FE"/>
    <w:rsid w:val="002B5493"/>
    <w:rsid w:val="003176C6"/>
    <w:rsid w:val="00343214"/>
    <w:rsid w:val="00361C00"/>
    <w:rsid w:val="00395FA1"/>
    <w:rsid w:val="003E15D4"/>
    <w:rsid w:val="00410149"/>
    <w:rsid w:val="00411CCE"/>
    <w:rsid w:val="0041666E"/>
    <w:rsid w:val="00421060"/>
    <w:rsid w:val="00471C19"/>
    <w:rsid w:val="004867E3"/>
    <w:rsid w:val="00494A28"/>
    <w:rsid w:val="004C0004"/>
    <w:rsid w:val="004C5D52"/>
    <w:rsid w:val="0050519A"/>
    <w:rsid w:val="005072A1"/>
    <w:rsid w:val="00514517"/>
    <w:rsid w:val="00545827"/>
    <w:rsid w:val="00560270"/>
    <w:rsid w:val="0057032A"/>
    <w:rsid w:val="005C2568"/>
    <w:rsid w:val="006037C0"/>
    <w:rsid w:val="006631B6"/>
    <w:rsid w:val="00676D25"/>
    <w:rsid w:val="00680577"/>
    <w:rsid w:val="006A2AE3"/>
    <w:rsid w:val="006F74FA"/>
    <w:rsid w:val="00731ADD"/>
    <w:rsid w:val="00734777"/>
    <w:rsid w:val="00747932"/>
    <w:rsid w:val="00751A4A"/>
    <w:rsid w:val="00756632"/>
    <w:rsid w:val="00762C74"/>
    <w:rsid w:val="00786EC0"/>
    <w:rsid w:val="007D1690"/>
    <w:rsid w:val="007E22AD"/>
    <w:rsid w:val="007F55C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9A3"/>
    <w:rsid w:val="00B12E95"/>
    <w:rsid w:val="00B22876"/>
    <w:rsid w:val="00B3557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068"/>
    <w:rsid w:val="00F04346"/>
    <w:rsid w:val="00F075DC"/>
    <w:rsid w:val="00F149E9"/>
    <w:rsid w:val="00F5134D"/>
    <w:rsid w:val="00F54608"/>
    <w:rsid w:val="00F74202"/>
    <w:rsid w:val="00F87713"/>
    <w:rsid w:val="00FB4360"/>
    <w:rsid w:val="00FD0C70"/>
    <w:rsid w:val="00FD211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C963E"/>
  <w15:chartTrackingRefBased/>
  <w15:docId w15:val="{D5D7AC44-E439-46A6-9112-D8E0401E0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4608"/>
    <w:pPr>
      <w:spacing w:after="240"/>
      <w:ind w:left="567" w:hanging="567"/>
    </w:pPr>
  </w:style>
  <w:style w:type="paragraph" w:customStyle="1" w:styleId="EPComma">
    <w:name w:val="EPComma"/>
    <w:basedOn w:val="Normal"/>
    <w:rsid w:val="00F54608"/>
    <w:pPr>
      <w:spacing w:before="480" w:after="240"/>
    </w:pPr>
  </w:style>
  <w:style w:type="character" w:styleId="Hyperlink">
    <w:name w:val="Hyperlink"/>
    <w:basedOn w:val="DefaultParagraphFont"/>
    <w:unhideWhenUsed/>
    <w:rsid w:val="00F54608"/>
    <w:rPr>
      <w:color w:val="0563C1" w:themeColor="hyperlink"/>
      <w:u w:val="single"/>
    </w:rPr>
  </w:style>
  <w:style w:type="character" w:customStyle="1" w:styleId="NormalHanging12aChar">
    <w:name w:val="NormalHanging12a Char"/>
    <w:basedOn w:val="DefaultParagraphFont"/>
    <w:link w:val="NormalHanging12a"/>
    <w:locked/>
    <w:rsid w:val="00F54608"/>
    <w:rPr>
      <w:sz w:val="24"/>
      <w:lang w:val="es-ES_tradnl"/>
    </w:rPr>
  </w:style>
  <w:style w:type="paragraph" w:styleId="Header">
    <w:name w:val="header"/>
    <w:basedOn w:val="Normal"/>
    <w:link w:val="HeaderChar"/>
    <w:rsid w:val="006A2AE3"/>
    <w:pPr>
      <w:tabs>
        <w:tab w:val="center" w:pos="4513"/>
        <w:tab w:val="right" w:pos="9026"/>
      </w:tabs>
    </w:pPr>
  </w:style>
  <w:style w:type="character" w:customStyle="1" w:styleId="HeaderChar">
    <w:name w:val="Header Char"/>
    <w:basedOn w:val="DefaultParagraphFont"/>
    <w:link w:val="Header"/>
    <w:rsid w:val="006A2AE3"/>
    <w:rPr>
      <w:sz w:val="24"/>
      <w:lang w:val="es-ES_tradnl"/>
    </w:rPr>
  </w:style>
  <w:style w:type="paragraph" w:styleId="Footer">
    <w:name w:val="footer"/>
    <w:basedOn w:val="Normal"/>
    <w:link w:val="FooterChar"/>
    <w:rsid w:val="006A2AE3"/>
    <w:pPr>
      <w:tabs>
        <w:tab w:val="center" w:pos="4513"/>
        <w:tab w:val="right" w:pos="9026"/>
      </w:tabs>
    </w:pPr>
  </w:style>
  <w:style w:type="character" w:customStyle="1" w:styleId="FooterChar">
    <w:name w:val="Footer Char"/>
    <w:basedOn w:val="DefaultParagraphFont"/>
    <w:link w:val="Footer"/>
    <w:rsid w:val="006A2AE3"/>
    <w:rPr>
      <w:sz w:val="24"/>
      <w:lang w:val="es-ES_tradnl"/>
    </w:rPr>
  </w:style>
  <w:style w:type="paragraph" w:styleId="BalloonText">
    <w:name w:val="Balloon Text"/>
    <w:basedOn w:val="Normal"/>
    <w:link w:val="BalloonTextChar"/>
    <w:rsid w:val="00AF49A3"/>
    <w:rPr>
      <w:rFonts w:ascii="Segoe UI" w:hAnsi="Segoe UI" w:cs="Segoe UI"/>
      <w:sz w:val="18"/>
      <w:szCs w:val="18"/>
    </w:rPr>
  </w:style>
  <w:style w:type="character" w:customStyle="1" w:styleId="BalloonTextChar">
    <w:name w:val="Balloon Text Char"/>
    <w:basedOn w:val="DefaultParagraphFont"/>
    <w:link w:val="BalloonText"/>
    <w:rsid w:val="00AF49A3"/>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6/14-20" TargetMode="External"/><Relationship Id="rId13" Type="http://schemas.openxmlformats.org/officeDocument/2006/relationships/hyperlink" Target="https://cohesiondata.ec.europa.eu/themes/9/14-20" TargetMode="External"/><Relationship Id="rId18" Type="http://schemas.openxmlformats.org/officeDocument/2006/relationships/hyperlink" Target="https://cohesiondata.ec.europa.eu/stories/s/CORONAVIRUS-DASHBOARD-COHESION-POLICY-RESPONSE/4e2z-pw8r/" TargetMode="External"/><Relationship Id="rId3" Type="http://schemas.openxmlformats.org/officeDocument/2006/relationships/hyperlink" Target="https://ec.europa.eu/regional_policy/policy/what/key-achievements_en" TargetMode="External"/><Relationship Id="rId7" Type="http://schemas.openxmlformats.org/officeDocument/2006/relationships/hyperlink" Target="https://cohesiondata.ec.europa.eu/themes/5/14-20" TargetMode="External"/><Relationship Id="rId12" Type="http://schemas.openxmlformats.org/officeDocument/2006/relationships/hyperlink" Target="https://cohesiondata.ec.europa.eu/themes/9/14-20" TargetMode="External"/><Relationship Id="rId17" Type="http://schemas.openxmlformats.org/officeDocument/2006/relationships/hyperlink" Target="https://cohesiondata.ec.europa.eu/funds/erdf/14-20" TargetMode="External"/><Relationship Id="rId2" Type="http://schemas.openxmlformats.org/officeDocument/2006/relationships/hyperlink" Target="https://www.eca.europa.eu/ECAPublications/AR-2022/AR-2022_ES.pdf" TargetMode="External"/><Relationship Id="rId16" Type="http://schemas.openxmlformats.org/officeDocument/2006/relationships/hyperlink" Target="https://cohesiondata.ec.europa.eu/funds/erdf/14-20" TargetMode="External"/><Relationship Id="rId1" Type="http://schemas.openxmlformats.org/officeDocument/2006/relationships/hyperlink" Target="https://www.eca.europa.eu/es/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www.touchpoints.lu/single-post/2020-annual-report-of-touchpoints-asbl?lang=en" TargetMode="External"/><Relationship Id="rId5" Type="http://schemas.openxmlformats.org/officeDocument/2006/relationships/hyperlink" Target="https://cohesiondata.ec.europa.eu/themes/5/14-20" TargetMode="External"/><Relationship Id="rId15" Type="http://schemas.openxmlformats.org/officeDocument/2006/relationships/hyperlink" Target="https://cohesiondata.ec.europa.eu/funds/erdf/14-20" TargetMode="External"/><Relationship Id="rId10" Type="http://schemas.openxmlformats.org/officeDocument/2006/relationships/hyperlink" Target="https://cohesiondata.ec.europa.eu/themes/6/14-20" TargetMode="External"/><Relationship Id="rId4" Type="http://schemas.openxmlformats.org/officeDocument/2006/relationships/hyperlink" Target="https://ec.europa.eu/regional_policy/policy/what/key-achievements_en" TargetMode="External"/><Relationship Id="rId9" Type="http://schemas.openxmlformats.org/officeDocument/2006/relationships/hyperlink" Target="https://cohesiondata.ec.europa.eu/themes/6/14-20" TargetMode="External"/><Relationship Id="rId14" Type="http://schemas.openxmlformats.org/officeDocument/2006/relationships/hyperlink" Target="https://cohesiondata.ec.europa.eu/themes/9/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19BB2-2577-491D-8461-BDF41EC17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12546</Words>
  <Characters>66817</Characters>
  <Application>Microsoft Office Word</Application>
  <DocSecurity>4</DocSecurity>
  <Lines>556</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GOROPECNIK Tina</cp:lastModifiedBy>
  <cp:revision>2</cp:revision>
  <cp:lastPrinted>2004-11-19T15:42:00Z</cp:lastPrinted>
  <dcterms:created xsi:type="dcterms:W3CDTF">2024-09-09T13:10:00Z</dcterms:created>
  <dcterms:modified xsi:type="dcterms:W3CDTF">2024-09-09T13:10:00Z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A9-0049/2024</vt:lpwstr>
  </property>
  <property fmtid="{D5CDD505-2E9C-101B-9397-08002B2CF9AE}" pid="4" name="&lt;Type&gt;">
    <vt:lpwstr>RR</vt:lpwstr>
  </property>
</Properties>
</file>