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77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772B" w:rsidRDefault="003C56B5" w:rsidP="0010095E">
            <w:pPr>
              <w:pStyle w:val="EPName"/>
            </w:pPr>
            <w:r w:rsidRPr="0063772B">
              <w:t>Europski parlament</w:t>
            </w:r>
          </w:p>
          <w:p w:rsidR="00751A4A" w:rsidRPr="006377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772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3772B" w:rsidRDefault="00187494" w:rsidP="0010095E">
            <w:pPr>
              <w:pStyle w:val="EPLogo"/>
            </w:pPr>
            <w:r w:rsidRPr="006377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772B" w:rsidRDefault="00D058B8" w:rsidP="004C5D52">
      <w:pPr>
        <w:pStyle w:val="LineTop"/>
      </w:pPr>
    </w:p>
    <w:p w:rsidR="00680577" w:rsidRPr="0063772B" w:rsidRDefault="003C56B5" w:rsidP="00680577">
      <w:pPr>
        <w:pStyle w:val="EPBodyTA1"/>
      </w:pPr>
      <w:r w:rsidRPr="0063772B">
        <w:t>USVOJENI TEKSTOVI</w:t>
      </w:r>
    </w:p>
    <w:p w:rsidR="00D058B8" w:rsidRPr="0063772B" w:rsidRDefault="00D058B8" w:rsidP="00D058B8">
      <w:pPr>
        <w:pStyle w:val="LineBottom"/>
      </w:pPr>
    </w:p>
    <w:p w:rsidR="003C56B5" w:rsidRPr="0063772B" w:rsidRDefault="003C56B5" w:rsidP="003C56B5">
      <w:pPr>
        <w:pStyle w:val="ATHeading1"/>
      </w:pPr>
      <w:bookmarkStart w:id="0" w:name="TANumber"/>
      <w:r w:rsidRPr="0063772B">
        <w:t>P9_TA(2024)0</w:t>
      </w:r>
      <w:r w:rsidR="00A67287">
        <w:t>174</w:t>
      </w:r>
      <w:bookmarkEnd w:id="0"/>
    </w:p>
    <w:p w:rsidR="003C56B5" w:rsidRPr="0063772B" w:rsidRDefault="003C56B5" w:rsidP="003C56B5">
      <w:pPr>
        <w:pStyle w:val="ATHeading2"/>
      </w:pPr>
      <w:bookmarkStart w:id="1" w:name="title"/>
      <w:r w:rsidRPr="0063772B">
        <w:t>Kohezijska politika 2014. – 2020. – provedba i rezultati u državama članicama</w:t>
      </w:r>
      <w:bookmarkEnd w:id="1"/>
    </w:p>
    <w:p w:rsidR="003C56B5" w:rsidRPr="0063772B" w:rsidRDefault="003C56B5" w:rsidP="003C56B5">
      <w:pPr>
        <w:rPr>
          <w:i/>
          <w:vanish/>
        </w:rPr>
      </w:pPr>
      <w:r w:rsidRPr="0063772B">
        <w:rPr>
          <w:i/>
        </w:rPr>
        <w:fldChar w:fldCharType="begin"/>
      </w:r>
      <w:r w:rsidRPr="0063772B">
        <w:rPr>
          <w:i/>
        </w:rPr>
        <w:instrText xml:space="preserve"> TC"(</w:instrText>
      </w:r>
      <w:bookmarkStart w:id="2" w:name="DocNumber"/>
      <w:r w:rsidRPr="0063772B">
        <w:rPr>
          <w:i/>
        </w:rPr>
        <w:instrText>A9-0049/2024</w:instrText>
      </w:r>
      <w:bookmarkEnd w:id="2"/>
      <w:r w:rsidRPr="0063772B">
        <w:rPr>
          <w:i/>
        </w:rPr>
        <w:instrText xml:space="preserve"> - Izvjestitelj: </w:instrText>
      </w:r>
      <w:proofErr w:type="spellStart"/>
      <w:r w:rsidRPr="0063772B">
        <w:rPr>
          <w:i/>
        </w:rPr>
        <w:instrText>Andrey</w:instrText>
      </w:r>
      <w:proofErr w:type="spellEnd"/>
      <w:r w:rsidRPr="0063772B">
        <w:rPr>
          <w:i/>
        </w:rPr>
        <w:instrText xml:space="preserve"> Novakov)"\l3 \n&gt; \* MERGEFORMAT </w:instrText>
      </w:r>
      <w:r w:rsidRPr="0063772B">
        <w:rPr>
          <w:i/>
        </w:rPr>
        <w:fldChar w:fldCharType="end"/>
      </w:r>
    </w:p>
    <w:p w:rsidR="003C56B5" w:rsidRPr="0063772B" w:rsidRDefault="003C56B5" w:rsidP="003C56B5">
      <w:pPr>
        <w:rPr>
          <w:vanish/>
        </w:rPr>
      </w:pPr>
      <w:bookmarkStart w:id="3" w:name="Commission"/>
      <w:r w:rsidRPr="0063772B">
        <w:rPr>
          <w:vanish/>
        </w:rPr>
        <w:t>Odbor za regionalni razvoj</w:t>
      </w:r>
      <w:bookmarkEnd w:id="3"/>
    </w:p>
    <w:p w:rsidR="003C56B5" w:rsidRPr="0063772B" w:rsidRDefault="003C56B5" w:rsidP="003C56B5">
      <w:pPr>
        <w:rPr>
          <w:vanish/>
        </w:rPr>
      </w:pPr>
      <w:bookmarkStart w:id="4" w:name="PE"/>
      <w:r w:rsidRPr="0063772B">
        <w:rPr>
          <w:vanish/>
        </w:rPr>
        <w:t>PE756.089</w:t>
      </w:r>
      <w:bookmarkEnd w:id="4"/>
    </w:p>
    <w:p w:rsidR="003C56B5" w:rsidRPr="0063772B" w:rsidRDefault="003C56B5" w:rsidP="003C56B5">
      <w:pPr>
        <w:pStyle w:val="ATHeading3"/>
      </w:pPr>
      <w:bookmarkStart w:id="5" w:name="Sujet"/>
      <w:r w:rsidRPr="0063772B">
        <w:t>Rezolu</w:t>
      </w:r>
      <w:r w:rsidR="00482FEA" w:rsidRPr="0063772B">
        <w:t>cija Europskog parlamenta od 14</w:t>
      </w:r>
      <w:r w:rsidRPr="0063772B">
        <w:t xml:space="preserve">. </w:t>
      </w:r>
      <w:r w:rsidR="00482FEA" w:rsidRPr="0063772B">
        <w:t xml:space="preserve">ožujka </w:t>
      </w:r>
      <w:r w:rsidRPr="0063772B">
        <w:t>2024. o kohezijskoj politici za razdoblje 2014. – 2020. – provedba i rezultati u državama članicama</w:t>
      </w:r>
      <w:bookmarkEnd w:id="5"/>
      <w:r w:rsidRPr="0063772B">
        <w:t xml:space="preserve"> </w:t>
      </w:r>
      <w:bookmarkStart w:id="6" w:name="References"/>
      <w:r w:rsidRPr="0063772B">
        <w:t>(2023/2121(INI))</w:t>
      </w:r>
      <w:bookmarkEnd w:id="6"/>
    </w:p>
    <w:p w:rsidR="00C7319C" w:rsidRPr="0063772B" w:rsidRDefault="00C7319C" w:rsidP="00C7319C">
      <w:pPr>
        <w:pStyle w:val="EPComma"/>
      </w:pPr>
      <w:bookmarkStart w:id="7" w:name="TextBodyBegin"/>
      <w:bookmarkEnd w:id="7"/>
      <w:r w:rsidRPr="0063772B">
        <w:rPr>
          <w:i/>
        </w:rPr>
        <w:t>Europski parlament</w:t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članke 174. i 349. Ugovora o funkcioniranju Europske unije (UFEU),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Uredbu (EU) br. 1303/2013 Europskog parlamenta i Vijeća od 17. prosinca 2013. o utvrđivanju zajedničkih odredbi o Europskom fondu za regionalni razvoj, Europskom socijalnom fondu, Kohezijskom fondu, Europskom poljoprivrednom fondu za ruralni razvoj i Europskom fondu za pomorstvo i ribarstvo i o utvrđivanju općih odredbi o Europskom fondu za regionalni razvoj, Europskom socijalnom fondu, Kohezijskom fondu i Europskom fondu za pomorstvo i ribarstvo te o stavljanju izvan snage Uredbe Vijeća (EZ) br. 1083/2006 (Uredba o zajedničkim odredbama)</w:t>
      </w:r>
      <w:r w:rsidRPr="0063772B">
        <w:rPr>
          <w:rStyle w:val="FootnoteReference"/>
        </w:rPr>
        <w:footnoteReference w:id="1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Uredbu (EU) br. 1301/2013 Europskog parlamenta i Vijeća od 17. prosinca 2013. o Europskom fondu za regionalni razvoj i o posebnim odredbama o cilju „Ulaganje za rast i radna mjesta” te stavljanju izvan snage Uredbe (EZ) br. 1080/2006</w:t>
      </w:r>
      <w:r w:rsidRPr="0063772B">
        <w:rPr>
          <w:rStyle w:val="FootnoteReference"/>
          <w:color w:val="000000"/>
        </w:rPr>
        <w:footnoteReference w:id="2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Uredbu (EU) br. 1300/2013 Europskog parlamenta i Vijeća od 17. prosinca 2013. o Kohezijskom fondu i stavljanju izvan snage Uredbe Vijeća (EZ) br. 1084/2006</w:t>
      </w:r>
      <w:r w:rsidRPr="0063772B">
        <w:rPr>
          <w:rStyle w:val="FootnoteReference"/>
        </w:rPr>
        <w:footnoteReference w:id="3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Uredbu (EU) br. 1299/2013 Europskog parlamenta i Vijeća od 17. prosinca 2013. o posebnim odredbama za potporu iz Europskog fonda za regionalni razvoj cilju „Europska teritorijalna suradnja”</w:t>
      </w:r>
      <w:r w:rsidRPr="0063772B">
        <w:rPr>
          <w:rStyle w:val="FootnoteReference"/>
        </w:rPr>
        <w:footnoteReference w:id="4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lastRenderedPageBreak/>
        <w:t>–</w:t>
      </w:r>
      <w:r w:rsidRPr="0063772B">
        <w:tab/>
        <w:t>uzimajući u obzir Uredbu (EU) br. 1304/2013 Europskog parlamenta i Vijeća od 17. prosinca 2013. o Europskom socijalnom fondu i stavljanju izvan snage Uredbe Vijeća (EZ) br. 1081/2006</w:t>
      </w:r>
      <w:r w:rsidRPr="0063772B">
        <w:rPr>
          <w:rStyle w:val="FootnoteReference"/>
        </w:rPr>
        <w:footnoteReference w:id="5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Uredbu (EU) 2020/460 Europskog parlamenta i Vijeća od 30. ožujka 2020. o izmjeni uredaba (EU) br. 1301/2013, (EU) br. 1303/2013 i (EU) br. 508/2014 s obzirom na posebne mjere za mobilizaciju ulaganja u zdravstvene sustave država članica i u druge sektore njihovih gospodarstava u odgovoru na izbijanje bolesti COVID-19 (Investicijska inicijativa kao odgovor na koronavirus)</w:t>
      </w:r>
      <w:r w:rsidRPr="0063772B">
        <w:rPr>
          <w:rStyle w:val="FootnoteReference"/>
          <w:rFonts w:eastAsiaTheme="majorEastAsia"/>
          <w:color w:val="000000"/>
        </w:rPr>
        <w:footnoteReference w:id="6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Uredbu (EU)</w:t>
      </w:r>
      <w:r w:rsidR="00EA49BE">
        <w:t> 2020/558</w:t>
      </w:r>
      <w:r w:rsidRPr="0063772B">
        <w:t xml:space="preserve"> Europskog parlamenta i Vijeća od 23. travnja 2020. o izmjeni uredbi (EU) br. 1301/2013 i (EU) br. 1303/2013 u pogledu posebnih mjera radi pružanja iznimne fleksibilnosti za korištenje europskih strukturnih i investicijskih fondova u odgovoru na izbijanje bolesti COVID-19</w:t>
      </w:r>
      <w:r w:rsidRPr="0063772B">
        <w:rPr>
          <w:rStyle w:val="FootnoteReference"/>
          <w:color w:val="000000"/>
        </w:rPr>
        <w:footnoteReference w:id="7"/>
      </w:r>
      <w:r w:rsidRPr="0063772B">
        <w:t xml:space="preserve"> (Investicijska inicijativa plus kao odgovor na koronavirus),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Uredbu (EU) 2022/562 Europskog parlamenta i Vijeća od 6. travnja 2022. o izmjeni uredaba (EU) br. 1303/2013 i (EU) br. 223/2014 u pogledu djelovanja kohezijske politike za izbjeglice u Europi (CARE)</w:t>
      </w:r>
      <w:r w:rsidRPr="0063772B">
        <w:rPr>
          <w:rStyle w:val="FootnoteReference"/>
          <w:rFonts w:eastAsiaTheme="majorEastAsia"/>
          <w:color w:val="000000"/>
        </w:rPr>
        <w:footnoteReference w:id="8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Uredbu (EU) 2022/2039 Europskog parlamenta i Vijeća od 19. listopada 2022. o izmjeni uredaba (EU) br. 1303/2013 i (EU) 2021/1060 u pogledu dodatne fleksibilnosti radi odgovora na posljedice vojne agresije Ruske Federacije FAST (</w:t>
      </w:r>
      <w:proofErr w:type="spellStart"/>
      <w:r w:rsidRPr="0063772B">
        <w:t>Flexible</w:t>
      </w:r>
      <w:proofErr w:type="spellEnd"/>
      <w:r w:rsidRPr="0063772B">
        <w:t xml:space="preserve"> </w:t>
      </w:r>
      <w:proofErr w:type="spellStart"/>
      <w:r w:rsidRPr="0063772B">
        <w:t>Assistance</w:t>
      </w:r>
      <w:proofErr w:type="spellEnd"/>
      <w:r w:rsidRPr="0063772B">
        <w:t xml:space="preserve"> for </w:t>
      </w:r>
      <w:proofErr w:type="spellStart"/>
      <w:r w:rsidRPr="0063772B">
        <w:t>Territories</w:t>
      </w:r>
      <w:proofErr w:type="spellEnd"/>
      <w:r w:rsidRPr="0063772B">
        <w:t xml:space="preserve"> – fleksibilna pomoć područjima) – CARE</w:t>
      </w:r>
      <w:r w:rsidRPr="0063772B">
        <w:rPr>
          <w:rStyle w:val="FootnoteReference"/>
          <w:color w:val="000000"/>
        </w:rPr>
        <w:footnoteReference w:id="9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komunikaciju Komisije od 4. veljače 2022. o osmom izvješću o koheziji: kohezija u Europi do 2050.” (COM(2022)0034),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komunikaciju Komisije od 17. siječnja 2023. naslovljenu „Iskorištavanje talenta u europskim regijama” (COM(2023)0032),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Komisijin Prijedlog uredbe Europskog parlamenta i Vijeća od 29. svibnja 2018. o mehanizmu za uklanjanje pravnih i administrativnih prepreka u prekograničnom kontekstu (COM(2018)0373),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Komisijin izmijenjeni Prijedlog uredbe Europskog parlamenta i Vijeća od 12. prosinca 2023. o mehanizmu za uklanjanje pravnih i administrativnih prepreka u prekograničnom kontekstu (COM(2023)0790),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komunikaciju Komisije od 30. lipnja 2021. naslovljenu „Dugoročna vizija za ruralna područja EU-a – Do 2040. ostvariti jača, povezana, otporna i prosperitetna ruralna područja” (COM(2021)0345),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 xml:space="preserve">uzimajući u obzir Teritorijalni program Europske unije do 2030., usvojen 1. prosinca 2020. na neformalnom sastanku ministara nadležnih za teritorijalnu koheziju </w:t>
      </w:r>
      <w:r w:rsidRPr="0063772B">
        <w:lastRenderedPageBreak/>
        <w:t>i/ili teritorijalni razvoj,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izvješće Međuvladinog panela o klimatskim promjenama (IPCC) iz 2022. naslovljeno „Klimatske promjene 2022.: ublažavanje klimatskih promjena – doprinos radne skupine III. Šestom izvješću o procjeni Međuvladinog panela o klimatskim promjenama”,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 xml:space="preserve">uzimajući u obzir posebno izvješće IPCC-a iz 2018. naslovljeno „Globalno zatopljenje od 1,5°C – posebno izvješće IPCC-a o učincima globalnog zatopljenja od 1,5°C iznad predindustrijskih razina i o povezanim načinima smanjenja emisija stakleničkih plinova na svjetskoj razini, u kontekstu jačanja globalnog odgovora na prijetnju klimatskih promjena, održivog razvoja i napora za iskorjenjivanje siromaštva”, 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 xml:space="preserve">uzimajući u obzir posebno izvješće IPCC-a iz 2019. naslovljeno „Klimatske promjene i zemlja: posebno izvješće IPCC-a o klimatskim promjenama, dezertifikaciji, degradaciji zemljišta, održivom upravljanju zemljištem, sigurnosti opskrbe hranom i kretanjima stakleničkih plinova u kopnenim ekosustavima”, 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 xml:space="preserve">uzimajući u obzir posebno izvješće IPCC-a iz 2019. naslovljeno „Posebno izvješće IPCC-a o oceanima i </w:t>
      </w:r>
      <w:proofErr w:type="spellStart"/>
      <w:r w:rsidRPr="0063772B">
        <w:t>kriosferi</w:t>
      </w:r>
      <w:proofErr w:type="spellEnd"/>
      <w:r w:rsidRPr="0063772B">
        <w:t xml:space="preserve"> u kontekstu klimatskih promjena”,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sporazum usvojen 12. prosinca 2015. u Parizu (Pariški sporazum) na 21. zasjedanju Konferencije stranaka Okvirne konvencije UN-a o klimatskim promjenama (COP21),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svoju Rezoluciju od 23. studenog</w:t>
      </w:r>
      <w:r w:rsidR="00482FEA" w:rsidRPr="0063772B">
        <w:t>a</w:t>
      </w:r>
      <w:r w:rsidRPr="0063772B">
        <w:t xml:space="preserve"> 2023. o iskorištavanju talenta u europskim regijama</w:t>
      </w:r>
      <w:r w:rsidRPr="0063772B">
        <w:rPr>
          <w:vertAlign w:val="superscript"/>
        </w:rPr>
        <w:footnoteReference w:id="10"/>
      </w:r>
      <w:r w:rsidRPr="0063772B">
        <w:t>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svoju Rezoluciju od 9. svibnja 2023. o ulozi kohezijske politike u suočavanju s višedimenzionalnim okolišnim izazovima u sredozemnom bazenu</w:t>
      </w:r>
      <w:r w:rsidRPr="0063772B">
        <w:rPr>
          <w:rStyle w:val="FootnoteReference"/>
        </w:rPr>
        <w:footnoteReference w:id="11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svoju Rezoluciju od 15. rujna 2022. o gospodarskoj, socijalnoj i teritorijalnoj koheziji u EU-u: osmo izvješće o koheziji</w:t>
      </w:r>
      <w:r w:rsidRPr="0063772B">
        <w:rPr>
          <w:rStyle w:val="FootnoteReference"/>
          <w:color w:val="000000"/>
        </w:rPr>
        <w:footnoteReference w:id="12"/>
      </w:r>
      <w:r w:rsidRPr="0063772B">
        <w:t>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svoju Rezoluciju od 15. rujna 2022. o pograničnim regijama EU-a: živući laboratoriji europske integracije</w:t>
      </w:r>
      <w:r w:rsidRPr="0063772B">
        <w:rPr>
          <w:vertAlign w:val="superscript"/>
        </w:rPr>
        <w:footnoteReference w:id="13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svoju Rezoluciju od 15. veljače 2022. o izazovima za urbana područja u razdoblju nakon pandemije bolesti COVID-19</w:t>
      </w:r>
      <w:r w:rsidRPr="0063772B">
        <w:rPr>
          <w:rStyle w:val="FootnoteReference"/>
          <w:rFonts w:eastAsiaTheme="majorEastAsia"/>
          <w:color w:val="000000"/>
        </w:rPr>
        <w:footnoteReference w:id="14"/>
      </w:r>
      <w:r w:rsidRPr="0063772B">
        <w:t>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svoju Rezoluciju od 14. rujna 2021. naslovljenu „Prema snažnijem partnerstvu s najudaljenijim regijama EU-a”</w:t>
      </w:r>
      <w:r w:rsidRPr="0063772B">
        <w:rPr>
          <w:rStyle w:val="FootnoteReference"/>
        </w:rPr>
        <w:footnoteReference w:id="15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 xml:space="preserve">uzimajući u obzir svoju Rezoluciju od 20. svibnja 2021. o preokretanju demografskih </w:t>
      </w:r>
      <w:r w:rsidRPr="0063772B">
        <w:lastRenderedPageBreak/>
        <w:t>trendova u regijama EU-a uz pomoć instrumenata kohezijske politike</w:t>
      </w:r>
      <w:r w:rsidRPr="0063772B">
        <w:rPr>
          <w:rStyle w:val="FootnoteReference"/>
          <w:rFonts w:eastAsiaTheme="majorEastAsia"/>
          <w:color w:val="000000"/>
        </w:rPr>
        <w:footnoteReference w:id="16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svoju Rezoluciju od 25. ožujka 2021. o kohezijskoj politici i regionalnim strategijama za okoliš u borbi protiv klimatskih promjena</w:t>
      </w:r>
      <w:r w:rsidRPr="0063772B">
        <w:rPr>
          <w:rStyle w:val="FootnoteReference"/>
          <w:rFonts w:eastAsiaTheme="majorEastAsia"/>
          <w:color w:val="000000"/>
        </w:rPr>
        <w:footnoteReference w:id="17"/>
      </w:r>
      <w:r w:rsidRPr="0063772B">
        <w:t>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svoju Rezoluciju od 13. lipnja 2018. o kohezijskoj politici i kružnom gospodarstvu</w:t>
      </w:r>
      <w:r w:rsidRPr="0063772B">
        <w:rPr>
          <w:rStyle w:val="FootnoteReference"/>
        </w:rPr>
        <w:footnoteReference w:id="18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svoju Rezoluciju od 13. ožujka 2018. o regijama koje zaostaju u EU-u</w:t>
      </w:r>
      <w:r w:rsidRPr="0063772B">
        <w:rPr>
          <w:rStyle w:val="FootnoteReference"/>
          <w:rFonts w:eastAsiaTheme="majorEastAsia"/>
          <w:color w:val="000000"/>
        </w:rPr>
        <w:footnoteReference w:id="19"/>
      </w:r>
      <w:r w:rsidRPr="0063772B">
        <w:t>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>uzimajući u obzir mišljenje Europskog odbor</w:t>
      </w:r>
      <w:r w:rsidR="00EA49BE">
        <w:t>a regija od 29. studenoga 2023.</w:t>
      </w:r>
      <w:r w:rsidRPr="0063772B">
        <w:t xml:space="preserve"> naslovljeno „Budućnost kohezijske politike nakon 2027.”</w:t>
      </w:r>
      <w:r w:rsidRPr="0063772B">
        <w:rPr>
          <w:rStyle w:val="FootnoteReference"/>
        </w:rPr>
        <w:footnoteReference w:id="20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Godišnje izvješće EU-a o stanju regija i gradova za 2022.,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–</w:t>
      </w:r>
      <w:r w:rsidRPr="0063772B">
        <w:tab/>
        <w:t xml:space="preserve">uzimajući u obzir studiju naslovljenu „EU </w:t>
      </w:r>
      <w:proofErr w:type="spellStart"/>
      <w:r w:rsidRPr="0063772B">
        <w:t>lagging</w:t>
      </w:r>
      <w:proofErr w:type="spellEnd"/>
      <w:r w:rsidRPr="0063772B">
        <w:t xml:space="preserve"> </w:t>
      </w:r>
      <w:proofErr w:type="spellStart"/>
      <w:r w:rsidRPr="0063772B">
        <w:t>regions</w:t>
      </w:r>
      <w:proofErr w:type="spellEnd"/>
      <w:r w:rsidRPr="0063772B">
        <w:t xml:space="preserve">: </w:t>
      </w:r>
      <w:proofErr w:type="spellStart"/>
      <w:r w:rsidRPr="0063772B">
        <w:t>state</w:t>
      </w:r>
      <w:proofErr w:type="spellEnd"/>
      <w:r w:rsidRPr="0063772B">
        <w:t xml:space="preserve"> </w:t>
      </w:r>
      <w:proofErr w:type="spellStart"/>
      <w:r w:rsidRPr="0063772B">
        <w:t>of</w:t>
      </w:r>
      <w:proofErr w:type="spellEnd"/>
      <w:r w:rsidRPr="0063772B">
        <w:t xml:space="preserve"> </w:t>
      </w:r>
      <w:proofErr w:type="spellStart"/>
      <w:r w:rsidRPr="0063772B">
        <w:t>play</w:t>
      </w:r>
      <w:proofErr w:type="spellEnd"/>
      <w:r w:rsidRPr="0063772B">
        <w:t xml:space="preserve"> </w:t>
      </w:r>
      <w:proofErr w:type="spellStart"/>
      <w:r w:rsidRPr="0063772B">
        <w:t>and</w:t>
      </w:r>
      <w:proofErr w:type="spellEnd"/>
      <w:r w:rsidRPr="0063772B">
        <w:t xml:space="preserve"> future </w:t>
      </w:r>
      <w:proofErr w:type="spellStart"/>
      <w:r w:rsidRPr="0063772B">
        <w:t>challenges</w:t>
      </w:r>
      <w:proofErr w:type="spellEnd"/>
      <w:r w:rsidRPr="0063772B">
        <w:t>” (Regije EU-a koje zaostaju: trenutačno stanje i budući izazovi) koju je 26. listopada 2020. objavila Glavna uprava za unutarnju politiku Unije</w:t>
      </w:r>
      <w:r w:rsidRPr="0063772B">
        <w:rPr>
          <w:rStyle w:val="FootnoteReference"/>
        </w:rPr>
        <w:footnoteReference w:id="21"/>
      </w:r>
      <w:r w:rsidRPr="0063772B">
        <w:t>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članak 54. Poslovnika, kao i članak 1. stavak 1. točku (e) Odluke Konferencije predsjednika od 12. prosinca 2002. o postupku odobrenja izrade izvješćâ o vlastitoj inicijativi te Prilog 3. priložen toj odluci,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pismo Odbora za poljoprivredu i ruralni razvoj,</w:t>
      </w:r>
    </w:p>
    <w:p w:rsidR="00C7319C" w:rsidRPr="0063772B" w:rsidRDefault="00C7319C" w:rsidP="00C7319C">
      <w:pPr>
        <w:pStyle w:val="NormalHanging12a"/>
      </w:pPr>
      <w:r w:rsidRPr="0063772B">
        <w:t>–</w:t>
      </w:r>
      <w:r w:rsidRPr="0063772B">
        <w:tab/>
        <w:t>uzimajući u obzir izvješće Odbora za regionalni razvoj (A9</w:t>
      </w:r>
      <w:r w:rsidRPr="0063772B">
        <w:noBreakHyphen/>
        <w:t>0049/2024),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A.</w:t>
      </w:r>
      <w:r w:rsidRPr="0063772B">
        <w:tab/>
        <w:t xml:space="preserve">budući da je u programskom razdoblju 2014. – 2020. kohezijska politika, kao glavna investicijska politika EU-a, učinkovito podupirala ostvarivanje svog cilja utemeljenog na Ugovorima, tj. postizanje gospodarske, socijalne i teritorijalne kohezije diljem EU-a; budući da je kohezijska politika također bila ključan investicijski stup strategije Europa 2020., s obzirom na doprinošenje cilju postizanja pametnog, održivog i </w:t>
      </w:r>
      <w:proofErr w:type="spellStart"/>
      <w:r w:rsidRPr="0063772B">
        <w:t>uključivog</w:t>
      </w:r>
      <w:proofErr w:type="spellEnd"/>
      <w:r w:rsidRPr="0063772B">
        <w:t xml:space="preserve"> rasta; budući da je kohezijska politika jedini razvojni instrument usmjeren na regionalne i lokalne potrebe i, među ostalim, na ispravljanje negativnih učinaka klimatskih promjena;</w:t>
      </w:r>
    </w:p>
    <w:p w:rsidR="00C7319C" w:rsidRPr="0063772B" w:rsidRDefault="00C7319C" w:rsidP="00C7319C">
      <w:pPr>
        <w:pStyle w:val="NormalHanging12a"/>
      </w:pPr>
      <w:r w:rsidRPr="0063772B">
        <w:t>B.</w:t>
      </w:r>
      <w:r w:rsidRPr="0063772B">
        <w:tab/>
        <w:t>budući da klimatske promjene utječu na sve regije EU-a i dovode do drastičnih promjena u životima ljudi; budući da klimatske promjene stoga predstavljaju znatnu prijetnju koheziji Unije;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C.</w:t>
      </w:r>
      <w:r w:rsidRPr="0063772B">
        <w:tab/>
        <w:t xml:space="preserve">budući da su ulaganja u kohezijsku politiku diljem EU-a rezultirala dosad neviđenim </w:t>
      </w:r>
      <w:r w:rsidRPr="0063772B">
        <w:lastRenderedPageBreak/>
        <w:t xml:space="preserve">pozitivnim učincima na regije, gradove, otoke te ruralna, pogranična i udaljena područja; budući da je, izravno ili neizravno, svaka država članica Europske unije iskusila pozitivan utjecaj financiranja iz proračuna EU-a; budući da rezultati mnoštva lokalnih projekata potvrđuju nezamjenjivu ulogu regionalnog i lokalnog ulaganja u okviru kohezijske politike i ističu njezinu ulogu i vidljivost u višegodišnjem financijskom okviru (VFO); 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D.</w:t>
      </w:r>
      <w:r w:rsidRPr="0063772B">
        <w:tab/>
        <w:t xml:space="preserve">budući da je pristup ulaganja u okviru kohezijske politike koji uključuje više prioriteta, zajedno s njezinim podijeljenim upravljanjem, pridonio prioritetima EU-a, a to su potpora malim i srednjim poduzećima (MSP-ovi), istraživanje i inovacije, digitalizacija, ruralni razvoj, bolja urbana infrastruktura, održivi turizam, prometna infrastruktura, kultura i obrazovanje, zdravstvena skrb, socijalne politike, prekogranični projekti, energetska tranzicija, energetska učinkovitost, klima i okoliš; 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E.</w:t>
      </w:r>
      <w:r w:rsidRPr="0063772B">
        <w:tab/>
        <w:t>budući da je s pomoću instrumenata kao što su Investicijska inicijativa i inicijativa plus kao odgovor na koronavirus (CRII i CRII+), djelovanje kohezijske politike za izbjeglice u Europi (CARE), fleksibilna pomoć područjima (FAST-CARE) i potpora cjenovno pristupačnoj energiji (SAFE), kohezijska politika djelovala kao strukturna zaštita protiv brojnih uzastopnih kriza koje su pogodile Uniju tijekom programskog razdoblja 2014. – 2020., kao što su pandemija bolesti COVID-19, tijekom koje je sačuvala radna mjesta i pomogla pogođenim poduzećima, te izbjegličke, energetske i inflacijske krize uzrokovane ruskom ratnom agresijom na Ukrajinu;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F.</w:t>
      </w:r>
      <w:r w:rsidRPr="0063772B">
        <w:tab/>
        <w:t xml:space="preserve">budući da kohezijska politika povezuje EU; budući da bi smanjenje proračuna EU-a i/ili ponovna nacionalizacija mogli oslabiti EU i potaknuti protueuropsko raspoloženje diljem Unije; </w:t>
      </w:r>
    </w:p>
    <w:p w:rsidR="00C7319C" w:rsidRPr="0063772B" w:rsidRDefault="00C7319C" w:rsidP="00C7319C">
      <w:pPr>
        <w:pStyle w:val="NormalHanging12a"/>
      </w:pPr>
      <w:r w:rsidRPr="0063772B">
        <w:t>G.</w:t>
      </w:r>
      <w:r w:rsidRPr="0063772B">
        <w:tab/>
        <w:t xml:space="preserve">budući da se Europskim planom za gradove, koji se temelji na Povelji iz </w:t>
      </w:r>
      <w:proofErr w:type="spellStart"/>
      <w:r w:rsidRPr="0063772B">
        <w:t>Leipziga</w:t>
      </w:r>
      <w:proofErr w:type="spellEnd"/>
      <w:r w:rsidRPr="0063772B">
        <w:t>, podupiru ciljevi Teritorijalnog programa do 2030.;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H.</w:t>
      </w:r>
      <w:r w:rsidRPr="0063772B">
        <w:tab/>
        <w:t>budući da su izazovi s kojima se suočavaju europske regije utvrđeni i da se njima upravlja na teritorijalnoj razini; budući da opetovano korištenje kohezijske politike za odgovor na krize i hitne situacije ugrožava održivost te politike; budući da je Revizorski sud istaknuo da treba pažljivo analizirati učinke tog stalnog smanjenja kohezijskih sredstava u pogledu dugoročnih ciljeva politike</w:t>
      </w:r>
      <w:r w:rsidRPr="0063772B">
        <w:rPr>
          <w:vertAlign w:val="superscript"/>
        </w:rPr>
        <w:footnoteReference w:id="22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I.</w:t>
      </w:r>
      <w:r w:rsidRPr="0063772B">
        <w:tab/>
        <w:t>budući da je kohezijska politika dugoročna investicijska politika i da ne bi trebala postati prvi izvor sredstava za hitne slučajeve za rješavanje bilo kakvih izazova ili nepredviđenih događaja jer se time potkopava strateški pristup te politike; budući da bi trebalo utvrditi jasna pravila o korištenju sredstava kohezijske politike kako bi se osigurali strukturni pristup i sposobnost suočavanja s nepredviđenim događajima;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J.</w:t>
      </w:r>
      <w:r w:rsidRPr="0063772B">
        <w:tab/>
        <w:t xml:space="preserve">budući da je sve veći broj fondova i instrumenata raspršenih među različitim pravnim i strateškim okvirima, posebno Mehanizam za oporavak i otpornost, kojim se nastoje ostvariti kohezijski prioriteti u sklopu različitog pravnog okvira i modela ostvarivanja politike, te Europski poljoprivredni fond za ruralni razvoj (EPFRR), koji više nije dio europskih strukturnih i investicijskih fondova (ESI fondovi); 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lastRenderedPageBreak/>
        <w:t>K.</w:t>
      </w:r>
      <w:r w:rsidRPr="0063772B">
        <w:tab/>
        <w:t xml:space="preserve">budući da dolazi do sve veće erozije kohezijske politike zbog pojave tematskih fondova i inicijativa kojima se podupiru određeni sektori ili ciljevi i koji se oslanjaju na doprinose kohezijske politike, kao što su Platforma za strateške tehnologije za Europu, Akt za potporu proizvodnji streljiva, Pomoć za oporavak za koheziju i europska područja (REACT-EU) i </w:t>
      </w:r>
      <w:proofErr w:type="spellStart"/>
      <w:r w:rsidRPr="0063772B">
        <w:t>RePowerEU</w:t>
      </w:r>
      <w:proofErr w:type="spellEnd"/>
      <w:r w:rsidRPr="0063772B">
        <w:t>; budući da se na taj način dovodi u pitanje teritorijalni pristup politike;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L.</w:t>
      </w:r>
      <w:r w:rsidRPr="0063772B">
        <w:tab/>
        <w:t>budući da je učinkovito upravljanje fondovima kohezijske politike ključno za ispunjavanje ciljeva i potreba regionalnog i lokalnog razvoja;</w:t>
      </w:r>
    </w:p>
    <w:p w:rsidR="00C7319C" w:rsidRPr="0063772B" w:rsidRDefault="00C7319C" w:rsidP="00C7319C">
      <w:pPr>
        <w:pStyle w:val="NormalHanging12a"/>
      </w:pPr>
      <w:r w:rsidRPr="0063772B">
        <w:t>M.</w:t>
      </w:r>
      <w:r w:rsidRPr="0063772B">
        <w:tab/>
        <w:t>budući da je struktura za nadzor fondova kohezijske politike uglavnom osmišljena kako bi se otkrile pogreške, te da su njezine mogućnosti za otkrivanje prijevara ograničene;</w:t>
      </w:r>
    </w:p>
    <w:p w:rsidR="00C7319C" w:rsidRPr="0063772B" w:rsidRDefault="00C7319C" w:rsidP="00C7319C">
      <w:pPr>
        <w:pStyle w:val="NormalHanging12a"/>
      </w:pPr>
      <w:r w:rsidRPr="0063772B">
        <w:t>N.</w:t>
      </w:r>
      <w:r w:rsidRPr="0063772B">
        <w:tab/>
        <w:t>budući da se borba protiv prijevara mora temeljiti na pojačanoj i izravnoj suradnji između službi Komisije i Ureda europskog javnog tužitelja; budući da očito nerazlikovanje pogrešaka, nepravilnosti i prijevara povećava složenost i otežava upravljanje kohezijskom politikom i njezinu provedbu;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O.</w:t>
      </w:r>
      <w:r w:rsidRPr="0063772B">
        <w:tab/>
        <w:t>budući da su kašnjenje u donošenju VFO-a 2021. – 2027., brojne nedavne krize i uvođenje instrumenata u okviru „</w:t>
      </w:r>
      <w:proofErr w:type="spellStart"/>
      <w:r w:rsidRPr="0063772B">
        <w:t>Next</w:t>
      </w:r>
      <w:proofErr w:type="spellEnd"/>
      <w:r w:rsidRPr="0063772B">
        <w:t xml:space="preserve"> </w:t>
      </w:r>
      <w:proofErr w:type="spellStart"/>
      <w:r w:rsidRPr="0063772B">
        <w:t>Generation</w:t>
      </w:r>
      <w:proofErr w:type="spellEnd"/>
      <w:r w:rsidRPr="0063772B">
        <w:t xml:space="preserve"> EU” omeli brzu provedbu kohezijske politike diljem EU-a, predstavljali izazove u smislu programiranja i provedbe te doveli do nesigurnosti u planiranim regionalnim i lokalnim ulaganjima EU-a;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P.</w:t>
      </w:r>
      <w:r w:rsidRPr="0063772B">
        <w:tab/>
        <w:t>budući da je pravna osnova za Mehanizam za oporavak i otpornost članak 175. UFEU-a te da su države članice i Komisija trebale nastojati ostvariti ciljeve gospodarske, socijalne i teritorijalne kohezije i učinkovito ih koordinirati s kohezijskom politikom;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Q.</w:t>
      </w:r>
      <w:r w:rsidRPr="0063772B">
        <w:tab/>
        <w:t>budući da su države članice često provodile Mehanizam za oporavak i otpornost usporedno s kohezijskom politikom, i to najčešće bez savjetovanja i suradnje s lokalnim i regionalnim vlastima, uključujući kada je riječ o vođenju računa o tome što je već provedeno; budući da su regije EU-a često spremnije i sposobnije od vlada država članica za provedbu tih sredstava;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R.</w:t>
      </w:r>
      <w:r w:rsidRPr="0063772B">
        <w:tab/>
        <w:t xml:space="preserve">budući da je posljednja faza provedbe VFO-a za razdoblje 2014. – 2020. bila posebno zahtjevna jer su se završetak programskog razdoblja, dodatna sredstva pružena kao odgovor na nedavne krize, među ostalim u okviru instrumenta </w:t>
      </w:r>
      <w:proofErr w:type="spellStart"/>
      <w:r w:rsidRPr="0063772B">
        <w:rPr>
          <w:i/>
          <w:iCs/>
        </w:rPr>
        <w:t>Next</w:t>
      </w:r>
      <w:proofErr w:type="spellEnd"/>
      <w:r w:rsidRPr="0063772B">
        <w:rPr>
          <w:i/>
          <w:iCs/>
        </w:rPr>
        <w:t xml:space="preserve"> </w:t>
      </w:r>
      <w:proofErr w:type="spellStart"/>
      <w:r w:rsidRPr="0063772B">
        <w:rPr>
          <w:i/>
          <w:iCs/>
        </w:rPr>
        <w:t>Generation</w:t>
      </w:r>
      <w:proofErr w:type="spellEnd"/>
      <w:r w:rsidRPr="0063772B">
        <w:rPr>
          <w:i/>
          <w:iCs/>
        </w:rPr>
        <w:t xml:space="preserve"> EU</w:t>
      </w:r>
      <w:r w:rsidRPr="0063772B">
        <w:t>, i početak programskog razdoblja 2021. – 2027. vremenski preklapali i dodatno opteretili nacionalne, regionalne i lokalne uprave, što je usporilo tempo provedbe i negativno utjecalo na njihove sposobnosti praćenja i revizije; budući da je, prema Europskom revizorskom sudu, pritisak da se veliki iznose potroše u vrlo kratkom razdoblju nažalost možda pridonio povećanju nepravilne potrošnje</w:t>
      </w:r>
      <w:r w:rsidRPr="0063772B">
        <w:rPr>
          <w:vertAlign w:val="superscript"/>
        </w:rPr>
        <w:footnoteReference w:id="23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S.</w:t>
      </w:r>
      <w:r w:rsidRPr="0063772B">
        <w:tab/>
        <w:t>budući da se stope provedbe kohezijske politike znatno razlikuju među državama članicama i među programima financiranja; budući da neke države članice i regije imaju kontinuirano niske stope provedbe, zbog čega je potrebno posvetiti dodatnu pozornost učinkovitosti upravljanja tim programima;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T.</w:t>
      </w:r>
      <w:r w:rsidRPr="0063772B">
        <w:tab/>
        <w:t xml:space="preserve">budući da unatoč regulatornim poboljšanjima uvedenima u programskom razdoblju 2014. – 2020. te poboljšanjima regulatornog okvira 2021. – 2027. još postoji niz </w:t>
      </w:r>
      <w:r w:rsidRPr="0063772B">
        <w:lastRenderedPageBreak/>
        <w:t>izazova; budući da se provedba kohezijske politike pokazala vrlo složenom za upravljačka tijela, nadležna lokalna i regionalna tijela i krajnje korisnike;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U.</w:t>
      </w:r>
      <w:r w:rsidRPr="0063772B">
        <w:tab/>
        <w:t>budući da pravila o javnoj nabavi u mnogim državama članicama, uz dodatne nacionalne revizije i praćenje, stvaraju dodatno opterećenje za upravljačka tijela i korisnike;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V.</w:t>
      </w:r>
      <w:r w:rsidRPr="0063772B">
        <w:tab/>
        <w:t xml:space="preserve">budući da bi, iako je praćenje strateškog pristupa tijekom cijelog programskog razdoblja od iznimne važnosti, trebalo biti moguće ponovno procijeniti i prilagoditi taj pristup u sredini programskog razdoblja; budući da je ipak potreban dovoljan stupanj fleksibilnosti u programiranju kohezijske politike kako bi se reagiralo na neočekivane događaje koji se mogu dogoditi tijekom programskog razdoblja; 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W.</w:t>
      </w:r>
      <w:r w:rsidRPr="0063772B">
        <w:tab/>
        <w:t>budući da bi financiranje u okviru kohezijske politike trebalo biti u skladu s Poveljom EU-a o temeljnim pravima, načelom vladavine prava i Europskim kodeksom ponašanja za partnerstvo</w:t>
      </w:r>
      <w:r w:rsidRPr="0063772B">
        <w:rPr>
          <w:rStyle w:val="FootnoteReference"/>
        </w:rPr>
        <w:footnoteReference w:id="24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X.</w:t>
      </w:r>
      <w:r w:rsidRPr="0063772B">
        <w:tab/>
        <w:t>budući da načela višerazinskog upravljanja i partnerstva zahtijevaju znatno osnaživanje kako bi se lokalna i regionalna razina učinkovito uključile u programiranje, reprogramiranje i provedbu fondova EU-a;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Y.</w:t>
      </w:r>
      <w:r w:rsidRPr="0063772B">
        <w:tab/>
        <w:t>budući da je kohezijska politika tijekom godina učinkovito doprinijela smanjenju razlika, ali, kako je jasno navedeno u Osmom izvješću o koheziji, i dalje postoje određene nejednakosti među državama članicama, među regijama i unutar njih, među različitim vrstama područja (kako je navedeno u člancima 174. i 349. UFEU-a) te unutar najbogatijih urbanih područja; budući da su se pojavile i nove razlike, kao što je regionalni inovacijski jaz;</w:t>
      </w:r>
    </w:p>
    <w:p w:rsidR="00C7319C" w:rsidRPr="0063772B" w:rsidRDefault="00C7319C" w:rsidP="00C7319C">
      <w:pPr>
        <w:pStyle w:val="NormalHanging12a"/>
      </w:pPr>
      <w:r w:rsidRPr="0063772B">
        <w:t>Z.</w:t>
      </w:r>
      <w:r w:rsidRPr="0063772B">
        <w:tab/>
        <w:t>budući da se najudaljenije regije i otočna područja sa statusom prekomorskih zemalja i područja suočavaju s velikim brojem strukturnih ograničenja i da su slabije razvijeni od kontinentalnih regija svojih država članica; budući da je stabilno i predvidljivo regulatorno okruženje posebno važno za učinkovito upravljanje fondovima kohezijske politike u tim regijama;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AA.</w:t>
      </w:r>
      <w:r w:rsidRPr="0063772B">
        <w:tab/>
        <w:t>budući da se zelena i digitalna tranzicija diljem EU-a odvijaju vrlo različitim brzinama i da bi se njima trebalo pravilno upravljati kako bi se izbjegli negativni učinci na određene regije, kao i još veće razlike;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AB.</w:t>
      </w:r>
      <w:r w:rsidRPr="0063772B">
        <w:tab/>
        <w:t>budući da, dok istočne regije EU-a sustižu zaostatak, druge regije, posebno u južnom EU-u, stagniraju; budući da se određene regije nalaze u razvojnoj zamci, koju karakteriziraju duga razdoblja sporog ili negativnog rasta, s niskom produktivnosti i niskim razinama otvaranja radnih mjesta;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AC.</w:t>
      </w:r>
      <w:r w:rsidRPr="0063772B">
        <w:tab/>
        <w:t>budući da je ruska ratna agresija na Ukrajinu posebno utjecala na istočna pogranična područja EU-a;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AD.</w:t>
      </w:r>
      <w:r w:rsidRPr="0063772B">
        <w:tab/>
        <w:t xml:space="preserve">budući da je starenje stanovništva u EU-u u cjelini dovelo do pada broja radno sposobnog stanovništva; budući da se više regija EU-a suočava s kontinuiranim </w:t>
      </w:r>
      <w:r w:rsidRPr="0063772B">
        <w:lastRenderedPageBreak/>
        <w:t>odlaskom mladih i kvalificiranih radnika; budući da su ruralne, periferne, najudaljenije i industrijske tranzicijske regije u EU-u naročito pogođene tim zabrinjavajućim demografskim trendovima; budući da će ti trendovi, ako se na njih ne reagira, imati neželjene dugoročne učinke na EU;</w:t>
      </w:r>
    </w:p>
    <w:p w:rsidR="00C7319C" w:rsidRPr="0063772B" w:rsidRDefault="00C7319C" w:rsidP="00C7319C">
      <w:pPr>
        <w:pStyle w:val="NormalHanging12a"/>
      </w:pPr>
      <w:r w:rsidRPr="0063772B">
        <w:t>AE.</w:t>
      </w:r>
      <w:r w:rsidRPr="0063772B">
        <w:tab/>
        <w:t xml:space="preserve">budući da </w:t>
      </w:r>
      <w:proofErr w:type="spellStart"/>
      <w:r w:rsidRPr="0063772B">
        <w:t>pretpristupni</w:t>
      </w:r>
      <w:proofErr w:type="spellEnd"/>
      <w:r w:rsidRPr="0063772B">
        <w:t xml:space="preserve"> proces i proces proširenja EU-a zahtijevaju uravnoteženu i ciljanu ulogu regionalnog razvoja i kohezijske politike;</w:t>
      </w:r>
    </w:p>
    <w:p w:rsidR="00C7319C" w:rsidRPr="0063772B" w:rsidRDefault="00C7319C" w:rsidP="00C7319C">
      <w:pPr>
        <w:pStyle w:val="NormalHanging12a"/>
        <w:rPr>
          <w:b/>
          <w:i/>
        </w:rPr>
      </w:pPr>
      <w:r w:rsidRPr="0063772B">
        <w:rPr>
          <w:b/>
          <w:i/>
        </w:rPr>
        <w:t>Ishodi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1.</w:t>
      </w:r>
      <w:r w:rsidRPr="0063772B">
        <w:tab/>
        <w:t>napominje da evaluacije koje su provele države članice o rezultatima ulaganja u okviru kohezijske politike za razdoblje 2014. – 2020. pokazuju da je kohezijska politika općenito donijela pozitivne rezultate u područjima koja je podupirala</w:t>
      </w:r>
      <w:r w:rsidRPr="0063772B">
        <w:rPr>
          <w:vertAlign w:val="superscript"/>
        </w:rPr>
        <w:footnoteReference w:id="25"/>
      </w:r>
      <w:r w:rsidRPr="0063772B">
        <w:rPr>
          <w:vertAlign w:val="superscript"/>
        </w:rPr>
        <w:t xml:space="preserve">, </w:t>
      </w:r>
      <w:r w:rsidRPr="0063772B">
        <w:rPr>
          <w:rStyle w:val="FootnoteReference"/>
        </w:rPr>
        <w:footnoteReference w:id="26"/>
      </w:r>
      <w:r w:rsidRPr="0063772B">
        <w:t xml:space="preserve">; potvrđuje da su takva ulaganja doprinijela cilju pametnog, održivog i </w:t>
      </w:r>
      <w:proofErr w:type="spellStart"/>
      <w:r w:rsidRPr="0063772B">
        <w:t>uključivog</w:t>
      </w:r>
      <w:proofErr w:type="spellEnd"/>
      <w:r w:rsidRPr="0063772B">
        <w:t xml:space="preserve"> rasta strategije Europa 2020.;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2.</w:t>
      </w:r>
      <w:r w:rsidRPr="0063772B">
        <w:tab/>
        <w:t xml:space="preserve">pozdravlja doprinos kohezijske politike istraživanju i inovacijama jer je tako, među ostalim, ojačana suradnja između istraživačke zajednice i poduzećâ te se pridonijelo pretvaranju rezultata istraživanja u utržive proizvode ili usluge; napominje da je prema podacima Komisije do kraja 2022. više od 75 000 poduzeća surađivalo s istraživačkim institucijama i da je oko 37 000 poduzeća, zahvaljujući potpori iz </w:t>
      </w:r>
      <w:r w:rsidRPr="0063772B">
        <w:rPr>
          <w:rStyle w:val="expandableitem"/>
        </w:rPr>
        <w:t>Europskog fonda za regionalni razvoj (EFRR)</w:t>
      </w:r>
      <w:r w:rsidRPr="0063772B">
        <w:rPr>
          <w:vertAlign w:val="superscript"/>
        </w:rPr>
        <w:footnoteReference w:id="27"/>
      </w:r>
      <w:r w:rsidRPr="0063772B">
        <w:t>, na tržište uvelo nove proizvode; također konstatira da je do kraja 2022. više od 72 000 istraživača radilo u boljim objektima</w:t>
      </w:r>
      <w:r w:rsidRPr="0063772B">
        <w:rPr>
          <w:vertAlign w:val="superscript"/>
        </w:rPr>
        <w:footnoteReference w:id="28"/>
      </w:r>
      <w:r w:rsidRPr="0063772B">
        <w:t>; ističe da je kohezijska politika također doprinijela premošćivanju digitalnog jaza među regijama podupiranjem razvoja infrastrukture informacijskih i komunikacijskih tehnologija u slabije razvijenim regijama; pozdravlja činjenicu da je zbog toga do kraja 2022. 7,8 milijuna kućanstava dobilo bolji širokopojasni pristup</w:t>
      </w:r>
      <w:r w:rsidRPr="0063772B">
        <w:rPr>
          <w:vertAlign w:val="superscript"/>
        </w:rPr>
        <w:footnoteReference w:id="29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3.</w:t>
      </w:r>
      <w:r w:rsidRPr="0063772B">
        <w:tab/>
        <w:t>ističe da je potpora kohezijske politike donijela i konkretne koristi tisućama MSP-ova; naglašava da je to jedno od najuspješnijih područja potpore EFRR-a; ističe da je EFRR do kraja 2022. pružio potporu za više od 2,2 milijuna poduzeća, koja su otvorila oko 370 000 radnih mjesta</w:t>
      </w:r>
      <w:r w:rsidRPr="0063772B">
        <w:rPr>
          <w:vertAlign w:val="superscript"/>
        </w:rPr>
        <w:footnoteReference w:id="30"/>
      </w:r>
      <w:r w:rsidRPr="0063772B">
        <w:t>; napominje da se u evaluacijama provedenima u Češkoj, Poljskoj, Njemačkoj, Nizozemskoj i Austriji navode primjeri MSP-ova koji su postali konkurentniji i inovativniji, povećali svoju produktivnost i ostvarili bolji pristup međunarodnim tržištima</w:t>
      </w:r>
      <w:r w:rsidRPr="0063772B">
        <w:rPr>
          <w:vertAlign w:val="superscript"/>
        </w:rPr>
        <w:footnoteReference w:id="31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4.</w:t>
      </w:r>
      <w:r w:rsidRPr="0063772B">
        <w:tab/>
        <w:t xml:space="preserve">ističe da je kohezija također imala ključnu ulogu u prijelazu na niskougljično </w:t>
      </w:r>
      <w:r w:rsidRPr="0063772B">
        <w:lastRenderedPageBreak/>
        <w:t>gospodarstvo; konstatira da je manja potrošnja energije u zgradama važna sastavnica te promjene i da je potpora kohezijske politike u tom području već urodila plodom; pozdravlja činjenicu da evaluacije koje su provele države članice pokazuju da su mjere za poboljšanje energetske učinkovitosti bile djelotvorne diljem EU-a</w:t>
      </w:r>
      <w:r w:rsidRPr="0063772B">
        <w:rPr>
          <w:vertAlign w:val="superscript"/>
        </w:rPr>
        <w:footnoteReference w:id="32"/>
      </w:r>
      <w:r w:rsidRPr="0063772B">
        <w:t xml:space="preserve">; napominje da je do kraja 2022. EFRR pomogao povećati energetsku učinkovitost 550 000 kućanstava; ističe da postoje dokazi da se kohezijskom politikom podupiru ulaganja u nekoliko rudarskih regija koja su doprinijela </w:t>
      </w:r>
      <w:proofErr w:type="spellStart"/>
      <w:r w:rsidRPr="0063772B">
        <w:t>dekarbonizaciji</w:t>
      </w:r>
      <w:proofErr w:type="spellEnd"/>
      <w:r w:rsidRPr="0063772B">
        <w:t xml:space="preserve">; napominje da su u </w:t>
      </w:r>
      <w:proofErr w:type="spellStart"/>
      <w:r w:rsidRPr="0063772B">
        <w:t>Asturiji</w:t>
      </w:r>
      <w:proofErr w:type="spellEnd"/>
      <w:r w:rsidRPr="0063772B">
        <w:t xml:space="preserve"> u Španjolskoj napori bili usmjereni na zapošljavanje mladih i žena u ruralnim područjima, s ciljem poticanja poduzetništva i socijalne uključenosti; također napominje da su u regiji </w:t>
      </w:r>
      <w:proofErr w:type="spellStart"/>
      <w:r w:rsidRPr="0063772B">
        <w:t>Yugoiztochen</w:t>
      </w:r>
      <w:proofErr w:type="spellEnd"/>
      <w:r w:rsidRPr="0063772B">
        <w:t xml:space="preserve"> u Bugarskoj fondovi kohezijske politike bili usmjereni na energetsku učinkovitost, modernizaciju MSP-ova i promicanje razvoja vještina</w:t>
      </w:r>
      <w:r w:rsidRPr="0063772B">
        <w:rPr>
          <w:vertAlign w:val="superscript"/>
        </w:rPr>
        <w:footnoteReference w:id="33"/>
      </w:r>
      <w:r w:rsidRPr="0063772B">
        <w:t>; potvrđuje da su mjere usmjerene na proizvodnju energije iz obnovljivih izvora povećale kapacitet za proizvodnju energije iz obnovljivih izvora u EU-u za 6 000 MW do kraja 2022., a da je za kraj 2023. zacrtan cilj od 8 700 MW</w:t>
      </w:r>
      <w:r w:rsidRPr="0063772B">
        <w:rPr>
          <w:vertAlign w:val="superscript"/>
        </w:rPr>
        <w:footnoteReference w:id="34"/>
      </w:r>
      <w:r w:rsidRPr="0063772B">
        <w:t>; napominje da su pozitivni rezultati u tom području zabilježeni, na primjer, u Estoniji i francuskim regijama</w:t>
      </w:r>
      <w:r w:rsidRPr="0063772B">
        <w:rPr>
          <w:vertAlign w:val="superscript"/>
        </w:rPr>
        <w:footnoteReference w:id="35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5.</w:t>
      </w:r>
      <w:r w:rsidRPr="0063772B">
        <w:tab/>
        <w:t>ističe da evaluacije napora povezanih s prilagodbama klimatskim promjenama i sprečavanjem rizika upućuju na potrebu za prekograničnom suradnjom kako bi mjere koje se financiraju u okviru kohezijske politike bile istinski učinkovite; ističe da su neke zemlje već provele zajedničke mjere za sprečavanje rizika i civilnu zaštitu; napominje da se takva suradnja odvijala između Italije i Francuske, Češke i Poljske te Italije i Austrije</w:t>
      </w:r>
      <w:r w:rsidRPr="0063772B">
        <w:rPr>
          <w:vertAlign w:val="superscript"/>
        </w:rPr>
        <w:footnoteReference w:id="36"/>
      </w:r>
      <w:r w:rsidRPr="0063772B">
        <w:t>; naglašava da je, kad je riječ o prilagodbi klimatskim promjenama, zahvaljujući kohezijskim ulaganjima 29 milijuna ljudi danas manje izloženo poplavama</w:t>
      </w:r>
      <w:r w:rsidRPr="0063772B">
        <w:rPr>
          <w:vertAlign w:val="superscript"/>
        </w:rPr>
        <w:footnoteReference w:id="37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6.</w:t>
      </w:r>
      <w:r w:rsidRPr="0063772B">
        <w:tab/>
        <w:t>primjećuje da je kohezijska potpora iz EFRR-a i Kohezijskog fonda također omogućila da veći broj građana ima koristi od bolje opskrbe vodom (8,3 milijun ljudi do kraja 2022.</w:t>
      </w:r>
      <w:r w:rsidRPr="0063772B">
        <w:rPr>
          <w:vertAlign w:val="superscript"/>
        </w:rPr>
        <w:footnoteReference w:id="38"/>
      </w:r>
      <w:r w:rsidRPr="0063772B">
        <w:t>) i boljeg gospodarenja komunalnim otpadom; napominje da većina ciljanih korisnika (70 %) mjera za poboljšanje opskrbe vodom živi u Italiji, Rumunjskoj, Grčkoj, Portugalu, Bugarskoj i Češkoj; također ističe da su u Francuskoj i Belgiji projekti financirani iz kohezijskih fondova pridonijeli poticanju kružnog gospodarstva</w:t>
      </w:r>
      <w:r w:rsidRPr="0063772B">
        <w:rPr>
          <w:vertAlign w:val="superscript"/>
        </w:rPr>
        <w:footnoteReference w:id="39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7.</w:t>
      </w:r>
      <w:r w:rsidRPr="0063772B">
        <w:tab/>
        <w:t xml:space="preserve">naglašava da su velika ulaganja iz EFRR-a i Kohezijskog fonda izdvojena za energetske i prometne mreže; napominje da su, iako se učinak te vrste infrastrukturnih projekata može na odgovarajući način procijeniti samo dugoročno, prema evaluacijama </w:t>
      </w:r>
      <w:r w:rsidRPr="0063772B">
        <w:lastRenderedPageBreak/>
        <w:t>provedenima u Poljskoj i Češkoj neka ulaganja u cestovnu i željezničku infrastrukturu već dovela do smanjenja broja prometnih nesreća, kraćeg vremena putovanja i manje razine onečišćenja</w:t>
      </w:r>
      <w:r w:rsidRPr="0063772B">
        <w:rPr>
          <w:vertAlign w:val="superscript"/>
        </w:rPr>
        <w:footnoteReference w:id="40"/>
      </w:r>
      <w:r w:rsidRPr="0063772B">
        <w:t>; pozdravlja činjenicu da je modernizacija tramvajskih linija u Slovačkoj poboljšala veze, skratila vrijeme putovanja, poboljšala sigurnost i pomogla smanjiti buku i vibracije</w:t>
      </w:r>
      <w:r w:rsidRPr="0063772B">
        <w:rPr>
          <w:vertAlign w:val="superscript"/>
        </w:rPr>
        <w:footnoteReference w:id="41"/>
      </w:r>
      <w:r w:rsidRPr="0063772B">
        <w:t>; osim toga, napominje da su u državama članicama kao što su Poljska i Bugarska financirani projekti povezani s prirodnim plinom doprinijeli strateškom cilju diversifikacije u opskrbi energijom</w:t>
      </w:r>
      <w:r w:rsidRPr="0063772B">
        <w:rPr>
          <w:vertAlign w:val="superscript"/>
        </w:rPr>
        <w:footnoteReference w:id="42"/>
      </w:r>
      <w:r w:rsidRPr="0063772B">
        <w:t xml:space="preserve">; pozdravlja činjenicu da je plinski </w:t>
      </w:r>
      <w:proofErr w:type="spellStart"/>
      <w:r w:rsidRPr="0063772B">
        <w:t>interkonektor</w:t>
      </w:r>
      <w:proofErr w:type="spellEnd"/>
      <w:r w:rsidRPr="0063772B">
        <w:t xml:space="preserve"> Grčka – Bugarska u Bugarskoj, uz potporu EFRR-a, počeo s radom u listopadu 2022. te da doprinosi strateškim ciljevima EU-a u pogledu autonomije opskrbe energijom i diversifikacije izvora</w:t>
      </w:r>
      <w:r w:rsidRPr="0063772B">
        <w:rPr>
          <w:vertAlign w:val="superscript"/>
        </w:rPr>
        <w:footnoteReference w:id="43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8.</w:t>
      </w:r>
      <w:r w:rsidRPr="0063772B">
        <w:tab/>
        <w:t>potvrđuje da se kohezijom, posebno u okviru Europskog socijalnog fonda i Inicijative za zapošljavanje mladih, podupiru uspješne mjere zapošljavanja, socijalne uključenosti te obrazovanja i strukovnog osposobljavanja; ističe da je do kraja 2022. 6,8 milijuna ljudi pronašlo posao zahvaljujući mjerama koje se podupiru iz Europskog socijalnog fonda i Inicijative za zapošljavanje mladih, a 10,2 milijuna osoba steklo je kvalifikacije</w:t>
      </w:r>
      <w:r w:rsidRPr="0063772B">
        <w:rPr>
          <w:vertAlign w:val="superscript"/>
        </w:rPr>
        <w:footnoteReference w:id="44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9.</w:t>
      </w:r>
      <w:r w:rsidRPr="0063772B">
        <w:tab/>
        <w:t>ističe da su evaluacije država članica kao što su Italija, Njemačka, Poljska i Irska pokazale da su ljudi, a posebno mladi, koji su sudjelovali u mjerama osposobljavanja, naukovanja i pripravništva uz potporu fondova kohezijske politike znatno povećali svoje izglede za pronalazak posla</w:t>
      </w:r>
      <w:r w:rsidRPr="0063772B">
        <w:rPr>
          <w:vertAlign w:val="superscript"/>
        </w:rPr>
        <w:footnoteReference w:id="45"/>
      </w:r>
      <w:r w:rsidRPr="0063772B">
        <w:t>; napominje da su Poljska i Irska u projektima usmjerenima na dugotrajno nezaposlene osobe postigle dobre rezultate; također napominje da je evaluacijom</w:t>
      </w:r>
      <w:r w:rsidRPr="0063772B">
        <w:rPr>
          <w:vertAlign w:val="superscript"/>
        </w:rPr>
        <w:footnoteReference w:id="46"/>
      </w:r>
      <w:r w:rsidRPr="0063772B">
        <w:t xml:space="preserve"> Inicijative za zapošljavanje mladih za razdoblje 2014. – 2020. koja je provedena u Mađarskoj utvrđeno da je program uvelike povećao vjerojatnost da sudionici budu zaposleni u kratkom roku, no da se taj učinak s vremenom smanjivao; naglašava da je pak u drugoj evaluaciji</w:t>
      </w:r>
      <w:r w:rsidRPr="0063772B">
        <w:rPr>
          <w:vertAlign w:val="superscript"/>
        </w:rPr>
        <w:footnoteReference w:id="47"/>
      </w:r>
      <w:r w:rsidRPr="0063772B">
        <w:t>, provedenoj u Mađarskoj, zaključeno da su programi potpore za integraciju na tržište rada financirani iz Europskog socijalnog fonda pozitivno i znatno utjecali na zapošljavanje; napominje da su evaluacijom Inicijative za zapošljavanje mladih koja je provedena u Švedskoj</w:t>
      </w:r>
      <w:r w:rsidRPr="0063772B">
        <w:rPr>
          <w:vertAlign w:val="superscript"/>
        </w:rPr>
        <w:footnoteReference w:id="48"/>
      </w:r>
      <w:r w:rsidRPr="0063772B">
        <w:t xml:space="preserve"> utvrđeni ukupni pozitivni utjecaji na zapošljavanje sudionika, posebno onih stranog podrijetla; naglašava da su mjere osposobljavanja učenika i nastavnika pozitivno djelovale, tj. smanjile stope ranog napuštanja školovanja, na primjer u Njemačkoj, </w:t>
      </w:r>
      <w:r w:rsidRPr="0063772B">
        <w:lastRenderedPageBreak/>
        <w:t>Portugalu i Španjolskoj</w:t>
      </w:r>
      <w:r w:rsidRPr="0063772B">
        <w:rPr>
          <w:vertAlign w:val="superscript"/>
        </w:rPr>
        <w:footnoteReference w:id="49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10.</w:t>
      </w:r>
      <w:r w:rsidRPr="0063772B">
        <w:tab/>
        <w:t>konstatira da je Europski socijalni fond pomogao poduzetnicima da pokrenu nova poduzeća te da je omogućio osposobljavanje kako bi se poduzeća mogla bolje prilagoditi promjenama na tržištu; ističe da je dimenzija programa Europskog socijalnog fonda</w:t>
      </w:r>
      <w:r w:rsidRPr="0063772B">
        <w:rPr>
          <w:vertAlign w:val="superscript"/>
        </w:rPr>
        <w:footnoteReference w:id="50"/>
      </w:r>
      <w:r w:rsidRPr="0063772B">
        <w:t xml:space="preserve"> u Tiringiji (Njemačka), namijenjena jačanju poduzetništva, podupirala, među ostalim projektima, </w:t>
      </w:r>
      <w:proofErr w:type="spellStart"/>
      <w:r w:rsidRPr="0063772B">
        <w:t>Tiringijski</w:t>
      </w:r>
      <w:proofErr w:type="spellEnd"/>
      <w:r w:rsidRPr="0063772B">
        <w:t xml:space="preserve"> centar za </w:t>
      </w:r>
      <w:r w:rsidRPr="0063772B">
        <w:rPr>
          <w:i/>
          <w:iCs/>
        </w:rPr>
        <w:t>start-</w:t>
      </w:r>
      <w:proofErr w:type="spellStart"/>
      <w:r w:rsidRPr="0063772B">
        <w:rPr>
          <w:i/>
          <w:iCs/>
        </w:rPr>
        <w:t>upove</w:t>
      </w:r>
      <w:proofErr w:type="spellEnd"/>
      <w:r w:rsidRPr="0063772B">
        <w:t xml:space="preserve"> i poduzetništvo; konstatira da je do kraja 2021. Centar pomogao oko 2900 osoba u pokretanju novog poduzeća u regiji; napominje da su izbjeglice i migranti koji pristižu u Luksemburg imali pristup posebnom poduzetničkom programu uz potporu Europskog socijalnog fonda</w:t>
      </w:r>
      <w:r w:rsidRPr="0063772B">
        <w:rPr>
          <w:vertAlign w:val="superscript"/>
        </w:rPr>
        <w:footnoteReference w:id="51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11.</w:t>
      </w:r>
      <w:r w:rsidRPr="0063772B">
        <w:tab/>
        <w:t>naglašava da je zahvaljujući financijskoj potpori u okviru kohezijske politike za projekte u zdravstvenom sektoru, uglavnom putem ulaganja ESF-a i EFRR-a, 58,3 milijuna ljudi imalo pristup poboljšanim zdravstvenim uslugama diljem EU-a do kraja 2022.</w:t>
      </w:r>
      <w:r w:rsidRPr="0063772B">
        <w:rPr>
          <w:vertAlign w:val="superscript"/>
        </w:rPr>
        <w:footnoteReference w:id="52"/>
      </w:r>
      <w:r w:rsidRPr="0063772B">
        <w:t>; ističe da su, na primjer, u Litvi projekti financirani iz kohezijskih fondova uspjeli smanjiti rizik od kardiovaskularnih bolesti kao i stopu samoubojstava</w:t>
      </w:r>
      <w:r w:rsidRPr="0063772B">
        <w:rPr>
          <w:vertAlign w:val="superscript"/>
        </w:rPr>
        <w:footnoteReference w:id="53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12.</w:t>
      </w:r>
      <w:r w:rsidRPr="0063772B">
        <w:tab/>
        <w:t>pozdravlja doprinos kohezijske politike teritorijalnoj suradnji; napominje da je taj posebni cilj EFRR-a pomogao u financiranju prekograničnih transnacionalnih ili međuregionalnih projekata u područjima kao što su istraživanje, razvoj i inovacije te okoliš; ističe da, kako je izvijestila Komisija, većina tih projekata suradnje ne bi bila provedena bez te posebne kohezijske potpore; naglašava da je do kraja 2022. više od 40 000 poduzeća sudjelovalo u prekograničnim transnacionalnim ili međuregionalnim istraživačkim projektima te da je 178 000 osoba imalo koristi od inicijativa prekogranične mobilnosti</w:t>
      </w:r>
      <w:r w:rsidRPr="0063772B">
        <w:rPr>
          <w:vertAlign w:val="superscript"/>
        </w:rPr>
        <w:footnoteReference w:id="54"/>
      </w:r>
      <w:r w:rsidRPr="0063772B">
        <w:t>; ističe da, prema nedavnim evaluacijama koje je sastavila Komisija, postoje primjeri uspješne suradnje u tematskim pitanjima, kao što su projekti informacijske i komunikacijske tehnologije povezani s pametnim gradovima u Grčkoj i Cipru</w:t>
      </w:r>
      <w:r w:rsidRPr="0063772B">
        <w:rPr>
          <w:vertAlign w:val="superscript"/>
        </w:rPr>
        <w:footnoteReference w:id="55"/>
      </w:r>
      <w:r w:rsidRPr="0063772B">
        <w:t xml:space="preserve">; osim toga, napominje da je programom </w:t>
      </w:r>
      <w:proofErr w:type="spellStart"/>
      <w:r w:rsidRPr="0063772B">
        <w:t>Botnia</w:t>
      </w:r>
      <w:proofErr w:type="spellEnd"/>
      <w:r w:rsidRPr="0063772B">
        <w:t>-Atlantica Švedske, Finske i Norveške povećano znanje o zaštiti morskih i obalnih područja</w:t>
      </w:r>
      <w:r w:rsidRPr="0063772B">
        <w:rPr>
          <w:vertAlign w:val="superscript"/>
        </w:rPr>
        <w:footnoteReference w:id="56"/>
      </w:r>
      <w:r w:rsidRPr="0063772B">
        <w:t xml:space="preserve">; ističe da je evaluacija učinka programa </w:t>
      </w:r>
      <w:proofErr w:type="spellStart"/>
      <w:r w:rsidRPr="0063772B">
        <w:t>Interreg</w:t>
      </w:r>
      <w:proofErr w:type="spellEnd"/>
      <w:r w:rsidRPr="0063772B">
        <w:t xml:space="preserve"> za Srednju Europu za razdoblje 2014. – 2020.</w:t>
      </w:r>
      <w:r w:rsidRPr="0063772B">
        <w:rPr>
          <w:vertAlign w:val="superscript"/>
        </w:rPr>
        <w:footnoteReference w:id="57"/>
      </w:r>
      <w:r w:rsidRPr="0063772B">
        <w:t xml:space="preserve">, u kojem sudjeluju Austrija, Hrvatska, Češka, Njemačka, Mađarska, Italija, Poljska, Slovačka i Slovenija, pokazala da je do kraja 2021. taj program ostvario pozitivne </w:t>
      </w:r>
      <w:r w:rsidRPr="0063772B">
        <w:lastRenderedPageBreak/>
        <w:t xml:space="preserve">rezultate u području inovacija, niskih emisija ugljika, okoliša, kulture i prometa; pozdravlja činjenicu da je program </w:t>
      </w:r>
      <w:proofErr w:type="spellStart"/>
      <w:r w:rsidRPr="0063772B">
        <w:t>Interreg</w:t>
      </w:r>
      <w:proofErr w:type="spellEnd"/>
      <w:r w:rsidRPr="0063772B">
        <w:t xml:space="preserve"> Rumunjska – Srbija također pridonio jačanju suradnje između tih zemalja u svim relevantnim područjima</w:t>
      </w:r>
      <w:r w:rsidRPr="0063772B">
        <w:rPr>
          <w:vertAlign w:val="superscript"/>
        </w:rPr>
        <w:footnoteReference w:id="58"/>
      </w:r>
      <w:r w:rsidRPr="0063772B">
        <w:t xml:space="preserve"> te da se programom Hrvatska – Srbija podupire proizvodnja električne energije iz obnovljivih izvora i povećava energetska učinkovitost</w:t>
      </w:r>
      <w:r w:rsidRPr="0063772B">
        <w:rPr>
          <w:vertAlign w:val="superscript"/>
        </w:rPr>
        <w:footnoteReference w:id="59"/>
      </w:r>
      <w:r w:rsidRPr="0063772B">
        <w:t xml:space="preserve">; skreće pozornost na pozitivne rezultate programa </w:t>
      </w:r>
      <w:proofErr w:type="spellStart"/>
      <w:r w:rsidRPr="0063772B">
        <w:t>Interreg</w:t>
      </w:r>
      <w:proofErr w:type="spellEnd"/>
      <w:r w:rsidRPr="0063772B">
        <w:t xml:space="preserve"> Švedske, Danske i Norveške u području zelenog gospodarstva</w:t>
      </w:r>
      <w:r w:rsidRPr="0063772B">
        <w:rPr>
          <w:vertAlign w:val="superscript"/>
        </w:rPr>
        <w:footnoteReference w:id="60"/>
      </w:r>
      <w:r w:rsidRPr="0063772B">
        <w:t>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13.</w:t>
      </w:r>
      <w:r w:rsidRPr="0063772B">
        <w:tab/>
        <w:t>pozdravlja odgovor kohezijske politike na najnovije krize; primjećuje da je usvojeno više od 300 izmjena programa CRII i CRII+, što je dovelo do preusmjeravanja sredstava u iznosu od gotovo 28 milijardi EUR</w:t>
      </w:r>
      <w:r w:rsidRPr="0063772B">
        <w:rPr>
          <w:vertAlign w:val="superscript"/>
        </w:rPr>
        <w:footnoteReference w:id="61"/>
      </w:r>
      <w:r w:rsidRPr="0063772B">
        <w:t xml:space="preserve"> kako bi se odgovorilo na posljedice krize prouzročene bolešću COVID-19; ističe da je 13 milijardi EUR preusmjereno na pružanje poslovne potpore poduzećima koja su najviše pogođena krizom prouzročenom bolešću COVID-19</w:t>
      </w:r>
      <w:r w:rsidRPr="0063772B">
        <w:rPr>
          <w:vertAlign w:val="superscript"/>
        </w:rPr>
        <w:footnoteReference w:id="62"/>
      </w:r>
      <w:r w:rsidRPr="0063772B">
        <w:t xml:space="preserve">; napominje da je dosad provedeno samo nekoliko evaluacija u tom području; napominje, međutim, da su se, prema dostupnim evaluacijama, u Nizozemskoj, Malti i Francuskoj (Grand </w:t>
      </w:r>
      <w:proofErr w:type="spellStart"/>
      <w:r w:rsidRPr="0063772B">
        <w:t>Est</w:t>
      </w:r>
      <w:proofErr w:type="spellEnd"/>
      <w:r w:rsidRPr="0063772B">
        <w:t>) financirane mjere smatrale relevantnima za potrebe ljudi i poduzeća</w:t>
      </w:r>
      <w:r w:rsidRPr="0063772B">
        <w:rPr>
          <w:vertAlign w:val="superscript"/>
        </w:rPr>
        <w:footnoteReference w:id="63"/>
      </w:r>
      <w:r w:rsidRPr="0063772B">
        <w:t>; također, konstatira da postoje dokazi da je poslovna potpora EFRR-a u Mađarskoj omogućena tom fleksibilnošću imala pozitivan utjecaj na ciljana poduzeća</w:t>
      </w:r>
      <w:r w:rsidRPr="0063772B">
        <w:rPr>
          <w:vertAlign w:val="superscript"/>
        </w:rPr>
        <w:footnoteReference w:id="64"/>
      </w:r>
      <w:r w:rsidRPr="0063772B">
        <w:t>; napominje da je preliminarna evaluacija</w:t>
      </w:r>
      <w:r w:rsidRPr="0063772B">
        <w:rPr>
          <w:vertAlign w:val="superscript"/>
        </w:rPr>
        <w:footnoteReference w:id="65"/>
      </w:r>
      <w:r w:rsidRPr="0063772B">
        <w:t xml:space="preserve"> potpore iz ESF-a i Fonda europske pomoći za najpotrebitije u okviru inicijativa CRII i CRII+ koju je provela Komisija također bila uglavnom pozitivna; ističe da su inicijative CRII i CRII+ postigle svoje ciljeve u većini država članica jer su iskoristile te fleksibilnosti financiranja kako bi učinkovito preraspodijelile preostala sredstva za financiranje kratkoročnih modela rada, mjera socijalne uključenosti i svojih zdravstvenih sustava, ovisno već o nacionalnim kontekstima; naglašava da su zahvaljujući inicijativama CRII i CRII+ vlade također bile u mogućnosti zadržati svoju razinu dodjeljivanja ugovora tijekom tog teškog razdoblja; primjećuje da je potpora REACT-EU-a usmjerena na mjere oporavka koje se temelje na prioritetima usmjerenima na budućnost, kao što su zelena i digitalna tranzicija; ističe da je primjer takve potpore projekt Green </w:t>
      </w:r>
      <w:proofErr w:type="spellStart"/>
      <w:r w:rsidRPr="0063772B">
        <w:t>Change</w:t>
      </w:r>
      <w:proofErr w:type="spellEnd"/>
      <w:r w:rsidRPr="0063772B">
        <w:t xml:space="preserve"> </w:t>
      </w:r>
      <w:proofErr w:type="spellStart"/>
      <w:r w:rsidRPr="0063772B">
        <w:t>Zealand</w:t>
      </w:r>
      <w:proofErr w:type="spellEnd"/>
      <w:r w:rsidRPr="0063772B">
        <w:t>, koji je pomogao 20 MSP-ova u Danskoj da smanje svoju potrošnju energije i materijala s pomoću planova zelene konverzije;</w:t>
      </w:r>
    </w:p>
    <w:p w:rsidR="00C7319C" w:rsidRPr="0063772B" w:rsidRDefault="00C7319C" w:rsidP="00C7319C">
      <w:pPr>
        <w:pStyle w:val="NormalHanging12a"/>
        <w:rPr>
          <w:b/>
          <w:i/>
        </w:rPr>
      </w:pPr>
      <w:r w:rsidRPr="0063772B">
        <w:rPr>
          <w:b/>
          <w:i/>
        </w:rPr>
        <w:t>Buduća kohezijska politika</w:t>
      </w:r>
    </w:p>
    <w:p w:rsidR="00C7319C" w:rsidRPr="0063772B" w:rsidRDefault="00C7319C" w:rsidP="00C7319C">
      <w:pPr>
        <w:pStyle w:val="NormalHanging12a"/>
        <w:rPr>
          <w:i/>
        </w:rPr>
      </w:pPr>
      <w:r w:rsidRPr="0063772B">
        <w:rPr>
          <w:i/>
        </w:rPr>
        <w:t>Opća načela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14.</w:t>
      </w:r>
      <w:r w:rsidRPr="0063772B">
        <w:tab/>
        <w:t xml:space="preserve">inzistira na tome da bi kohezijska politika zbog svog naglaska na regionalnoj razini, lokaliziranog pristupa, strateškog planiranja i učinkovitog modela provedbe trebala </w:t>
      </w:r>
      <w:r w:rsidRPr="0063772B">
        <w:lastRenderedPageBreak/>
        <w:t>ostati glavni instrument financiranja EU-a za smanjenje razlika, jamčenje gospodarske, socijalne i teritorijalne kohezije i poticanje regionalnog i lokalnog održivog rasta te da bi trebala i dalje pružati ključnu potporu socijalno pravednoj tranziciji i oporavku od simetričnih i asimetričnih šokova, kao i borbi protiv klimatskih promjena;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15.</w:t>
      </w:r>
      <w:r w:rsidRPr="0063772B">
        <w:tab/>
        <w:t>izražava žaljenje zbog smanjenja udjela VFO-a za razdoblje 2021. – 2027. namijenjenog koheziji u usporedbi s prethodnim programskim razdobljem; podsjeća da su pandemija bolesti COVID-19 i ruska ratna agresija na Ukrajinu stvorile nove razlike među regijama; smatra da mora doći do realnog povećanja ukupnog kohezijskog proračuna i udjela koji ta politika predstavlja u VFO-u u odnosu na programsko razdoblje 2021. – 2027.;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16.</w:t>
      </w:r>
      <w:r w:rsidRPr="0063772B">
        <w:tab/>
        <w:t xml:space="preserve">smatra da bi programiranje i provedba kohezijskih ulaganja trebali ostati pod podijeljenim upravljanjem kako bi se moglo odgovoriti na potrebe država članica, regija te urbanih, ruralnih i udaljenih područja; priznaje da su </w:t>
      </w:r>
      <w:proofErr w:type="spellStart"/>
      <w:r w:rsidRPr="0063772B">
        <w:t>suprogramiranje</w:t>
      </w:r>
      <w:proofErr w:type="spellEnd"/>
      <w:r w:rsidRPr="0063772B">
        <w:t>, sufinanciranje, suodgovornost i suvlasništvo najučinkovitije metode za uspješnu provedbu dugoročne investicijske politike EU-a i projekata koje financira EU;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17.</w:t>
      </w:r>
      <w:r w:rsidRPr="0063772B">
        <w:tab/>
        <w:t>ističe da bi pojava instrumenata proračunske potpore koji se temelje na izravnom upravljanju i jednostavnijem modelu ostvarivanja politike mogla dovesti do ponovne nacionalizacije kohezijske politike te ugroziti jedno od temeljnih načela te politike: višerazinsko upravljanje; stoga odbija bilo kakvu ponovnu nacionalizaciju kohezijske politike;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18.</w:t>
      </w:r>
      <w:r w:rsidRPr="0063772B">
        <w:tab/>
        <w:t>naglašava da bi sve regije EU-a i dalje trebale ispunjavati uvjete za financiranje u okviru kohezijske politike; ističe da je to jedini način reagiranja na regionalne izazove kako bi se postigao uravnoteženiji obrazac razvoja diljem EU-a i rješavanja jedinstvenih problema regionalnog razvoja na terenu;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19.</w:t>
      </w:r>
      <w:r w:rsidRPr="0063772B">
        <w:tab/>
        <w:t>naglašava da se u okviru buduće kohezijske politike i dalje mora voditi računa o regijama koje su izložene ozbiljnim i trajnim prirodnim i demografskim ograničenjima, kao što su rijetko naseljena područja, otoci, planinska područja i prekogranične regije, u potpunosti u skladu s člankom 174. UFEU-a; u tom kontekstu konstatira da je EU izradio plan za gradove i plan za ruralna područja te da se očekuje i objava plana za otoke;</w:t>
      </w:r>
    </w:p>
    <w:p w:rsidR="00C7319C" w:rsidRPr="0063772B" w:rsidRDefault="00C7319C" w:rsidP="00C7319C">
      <w:pPr>
        <w:pStyle w:val="NormalHanging12a"/>
      </w:pPr>
      <w:r w:rsidRPr="0063772B">
        <w:t>20.</w:t>
      </w:r>
      <w:r w:rsidRPr="0063772B">
        <w:tab/>
        <w:t>poziva Vijeće da deblokira predmet o europskom prekograničnom mehanizmu i započne s radom na njemu;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21.</w:t>
      </w:r>
      <w:r w:rsidRPr="0063772B">
        <w:tab/>
        <w:t>ističe važnost primjene članka 349. UFEU-a u svim politikama EU-a s ciljem da se postignu u njemu utvrđeni ciljevi; podsjeća na ključnu ulogu kohezijske politike u najudaljenijim regijama; naglašava važnost osmišljavanja i održavanja prilagođenih programa i mjera za te regije jer se većina najudaljenijih regija i dalje nalazi među slabije razvijenim regijama ili bi ih trebalo tretirati kao takve; poziva Komisiju da zajamči visoke stope sufinanciranja, posebno za najudaljenije regije, tako da sve te regije u tu svrhu odredi kao slabije razvijene regije;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22.</w:t>
      </w:r>
      <w:r w:rsidRPr="0063772B">
        <w:tab/>
        <w:t xml:space="preserve">naglašava da bi nerazmjerna opterećenja, kao što su inherentni strukturni nedostaci s kojima se suočavaju sve pogranične regije, trebala biti kompenzirana zasebnim sustavom regionalnih potpora posebno osmišljenim za pogranične regije; zahtijeva da se na početku svakog novog programskog razdoblja 0,26 % proračuna EU-a za kohezijsku </w:t>
      </w:r>
      <w:r w:rsidRPr="0063772B">
        <w:lastRenderedPageBreak/>
        <w:t>politiku rezervira isključivo za razvoj pograničnih regija, počevši od razdoblja 2028. – 2034. („milijarda za pogranične regije”);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23.</w:t>
      </w:r>
      <w:r w:rsidRPr="0063772B">
        <w:tab/>
        <w:t>smatra da se kriterijima „ne nanosi bitnu štetu” moraju spriječiti mjere štetne za okoliš kako bi se postigao cilj ugljično neutralne Europe najkasnije do 2050.; poziva Komisiju da u pravni okvir predstojeće kohezijske politike za razdoblje nakon 2027. uvede stroge kriterije s ciljem poboljšanja primjene načela „ne nanosi bitnu štetu”; nadalje, poziva na to da se barem ista količina rashoda povezanih s klimom unutar novog okvira potroši kako bi se ostvarili klimatski ciljevi utvrđeni Pariškim sporazumom te usklađeni s UN-ovim ciljevima održivog razvoja i europskim zelenim planom;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24.</w:t>
      </w:r>
      <w:r w:rsidRPr="0063772B">
        <w:tab/>
        <w:t xml:space="preserve">ističe da je glavna svrha kohezijske politike EU-a smanjenje razlika među državama članicama, naročito među regijama u državama članicama i unutar njih; naglašava da bi se proračun kohezijske politike trebao u prvom redu koristiti za ciljeve kohezijske politike, a ne za nove instrumente i programe </w:t>
      </w:r>
      <w:proofErr w:type="spellStart"/>
      <w:r w:rsidRPr="0063772B">
        <w:t>nekohezijske</w:t>
      </w:r>
      <w:proofErr w:type="spellEnd"/>
      <w:r w:rsidRPr="0063772B">
        <w:t xml:space="preserve"> politike, ni u okviru VFO-a ni izvan njega, uključujući neobvezne prijenose;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25.</w:t>
      </w:r>
      <w:r w:rsidRPr="0063772B">
        <w:tab/>
        <w:t>uviđa potrebu za ugrađenom fleksibilnošću za slučaj krize; predlaže stvaranje posebne osi za lokalne i regionalne vlasti kako bi se odgovorilo na nove prioritete; međutim, naglašava da prenamjena kohezijskih sredstava ne bi trebala biti potaknuta novim zakonodavnim inicijativama Komisije, već bi je trebalo pokrenuti upravljačko tijelo u postupku odozdo prema gore, nakon obveznih savjetovanja s regionalnim i lokalnim vlastima i uz odgovarajuće sudjelovanje civilnog društva, kako je predviđeno Uredbom o zajedničkim odredbama i Kodeksom ponašanja za partnerstvo; naglašava da se time neće narušiti višegodišnja usmjerenost te politike, već će se na najbolji način omogućiti prilagođavanje promjenjivoj prirodi današnjice;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26.</w:t>
      </w:r>
      <w:r w:rsidRPr="0063772B">
        <w:tab/>
        <w:t>izražava žaljenje zbog toga što su kašnjenja u pregovorima o VFO-u dovela do znatnih kašnjenja u programskom razdoblju 2021. – 2027., što je onda utjecalo na korisnike, a posebno na upravljačka tijela koja se suočavaju s golemim opterećenjem jer se moraju nositi s finalizacijom razdoblja financiranja 2014. – 2020. kao i s početkom trenutačnog razdoblja financiranja; stoga poziva Komisiju da ocijeni pravnu izvedivost stvaranja dvaju zasebnih dijelova u okviru Uredbe o zajedničkim odredbama, odnosno dijela koji se odnosi na sadržaj (politički) i dijela koji se odnosi na VFO (financijski resursi) za programsko razdoblje nakon 2027.; smatra da bi se o dijelu koji se odnosi na sadržaj trebalo pregovarati i zaključiti ga prije dijela koji se odnosi na VFO kako bi se upravljačkim tijelima omogućilo da se pravodobno počnu pripremati da bi se zajamčilo načelo istinskog partnerstva i učinkovita upotreba instrumenata kohezijske politike;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27.</w:t>
      </w:r>
      <w:r w:rsidRPr="0063772B">
        <w:tab/>
        <w:t>upozorava da postojanje više fondova s kohezijskim ciljevima, ponekad s prioritetima koji se preklapaju, može otežati učinkovitu provedbu kohezijske politike; poziva na jasno razgraničenje te na usklađenost i komplementarnost između kohezijske politike i drugih instrumenata kako bi se izbjegla preklapanja i konkurencije među instrumentima EU-a; ustraje u tome da je potrebno poboljšati takvu komplementarnost jačanjem mogućnosti financiranja zajedničkih projekata;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28.</w:t>
      </w:r>
      <w:r w:rsidRPr="0063772B">
        <w:tab/>
        <w:t xml:space="preserve">skreće pozornost na to da su poteškoće s kojima se suočavaju lokalne, regionalne i nacionalne vlasti u zapošljavanju kvalificirane radne snage u provedbi i reviziji fondova kohezijske politike te u njihovu upravljanju jedan od razloga za kašnjenja njihove provedbe; poziva države članice i njihove regije da započnu s osposobljavanjem i zapošljavanjem osoblja kako bi se u budućnosti </w:t>
      </w:r>
      <w:proofErr w:type="spellStart"/>
      <w:r w:rsidRPr="0063772B">
        <w:t>optimirala</w:t>
      </w:r>
      <w:proofErr w:type="spellEnd"/>
      <w:r w:rsidRPr="0063772B">
        <w:t xml:space="preserve"> provedba i revizija fondova </w:t>
      </w:r>
      <w:r w:rsidRPr="0063772B">
        <w:lastRenderedPageBreak/>
        <w:t>EU-a te upravljanje njima te tako zajamčila najveća moguća djelotvornost i učinkovitost tih fondova;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29.</w:t>
      </w:r>
      <w:r w:rsidRPr="0063772B">
        <w:tab/>
        <w:t>napominje da, kao što je vidljivo iz analiza uspješnosti fondova kohezijske politike, uključujući one Europskog revizorskog suda, ima prostora za poboljšanje učinkovitosti intervencija kohezijske politike s ciljem ostvarivanja glavnih prioriteta i svladavanja teritorijalnih izazova EU-a, kao što su konkurentnost ili ozelenjivanje gospodarstva; smatra da će stoga širi odgovor, koji uključuje više politika EU-a i učinkovito usmjeravanje sredstava, biti ključan u borbi protiv tzv. geografije nezadovoljstva;</w:t>
      </w:r>
    </w:p>
    <w:p w:rsidR="00C7319C" w:rsidRPr="0063772B" w:rsidRDefault="00C7319C" w:rsidP="00C7319C">
      <w:pPr>
        <w:pStyle w:val="NormalHanging12a"/>
      </w:pPr>
      <w:r w:rsidRPr="0063772B">
        <w:t>30.</w:t>
      </w:r>
      <w:r w:rsidRPr="0063772B">
        <w:tab/>
        <w:t>smatra da se zakonodavni prijedlog za buduću kohezijsku politiku mora objaviti tek nakon što se u obzir uzmu rezultati sveobuhvatnog savjetovanja te niza događanja i formata na terenu na razini EU-a koji okupljaju sve razine upravljanja i sve druge dionike;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31.</w:t>
      </w:r>
      <w:r w:rsidRPr="0063772B">
        <w:tab/>
        <w:t xml:space="preserve">naglašava potrebu za sveobuhvatnom procjenom učinka europskih strukturnih i investicijskih fondova u državama članicama te regijama i općinama korisnicama, s naglaskom ne samo na razinu provedbe dodijeljenih sredstava, nego i na </w:t>
      </w:r>
      <w:proofErr w:type="spellStart"/>
      <w:r w:rsidRPr="0063772B">
        <w:t>transformativnu</w:t>
      </w:r>
      <w:proofErr w:type="spellEnd"/>
      <w:r w:rsidRPr="0063772B">
        <w:t xml:space="preserve"> prirodu ulaganja i njihov utjecaj na gospodarstvo i zapošljavanje u tom području;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32.</w:t>
      </w:r>
      <w:r w:rsidRPr="0063772B">
        <w:tab/>
        <w:t>napominje da su regulatornim okvirom za razdoblje 2021. – 2027. već uvedene mjere za pojednostavnjenje provedbe kohezijske politike i upravljanja njome; ističe, iako je postignut stvaran napredak, da smo još uvijek daleko od pojednostavnjenja postupaka za krajnje korisnike i pružanja pravne sigurnosti za upravljačka tijela; naglašava da bi trebalo izbjegavati preklapanje kontrola i revizija fondova; naglašava da bi daljnje pojednostavnjenje također trebalo omogućiti ubrzanu provedbu i apsorpciju;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33.</w:t>
      </w:r>
      <w:r w:rsidRPr="0063772B">
        <w:tab/>
        <w:t>stoga ističe da bi pojednostavnjenje trebalo biti jedan od ključnih pokretača buduće kohezijske politike; smatra da je potrebno pojednostavniti postupke javne nabave, poboljšati usklađenost kohezijske politike s pravilima o državnim potporama, povećati upotrebu pojednostavnjenih mogućnosti obračuna troškova, provesti načelo jedinstvene revizije i utvrditi jedinstvene kontaktne točke za potencijalne korisnike; smatra da primjena pravila za ekstrapolaciju stope pogreške stvara nerazmjerno administrativno opterećenje za upravljačka tijela i traži od Komisije da razmotri reviziju tih pravila; poziva države članice da izbjegavaju prekomjernu regulaciju kako bi se zajamčila pravna sigurnost za korisnike;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34.</w:t>
      </w:r>
      <w:r w:rsidRPr="0063772B">
        <w:tab/>
        <w:t>smatra da bi se dodatno pojednostavnjenje strukture instrumenata financiranja EU-a trebalo postići u okviru Kohezijskog fonda, EFRR-a, ESF-a + i Fonda za pravednu tranziciju te možda proširiti na EPFRR jer bi to trebalo biti obuhvaćeno Uredbom o zajedničkim odredbama; potvrđuje da bi se takvim pojednostavnjenjem dodatno olakšalo programiranje i provedba politike, povećala njezina vidljivost i učinkovitost te poboljšao pristup korisnika financiranju; naglašava važnost pojednostavnjenja pojedinačnih propisa za pojedine fondove kako bi se na najmanju moguću mjeru svela povećanja kašnjenja u provedbi i složenosti programiranja; napominje da bi pri svakom pojednostavnjenju fondova trebalo zadržati njihovu tematsku orijentaciju i tokove financiranja za odgovarajuća područja politika;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35.</w:t>
      </w:r>
      <w:r w:rsidRPr="0063772B">
        <w:tab/>
        <w:t xml:space="preserve">potvrđuje da je okvir uspješnosti uveden u razdoblju 2014. – 2020. bio pokušaj postizanja veće usmjerenosti politike na rezultate; u tom pogledu poziva na temeljitu </w:t>
      </w:r>
      <w:r w:rsidRPr="0063772B">
        <w:lastRenderedPageBreak/>
        <w:t>modernizaciju modela ostvarivanja politike: prelazak s ciklusa aktivnost – plaćanje na provedbu koja se temelji na uspješnosti, na temelju konkretnih ključnih etapa, zajedno s povezivanjem s lokalnim i regionalnim reformama kojima se potiče rast, pri čemu se podupiru temelji kohezijske politike; naglašava da pristup koji se temelji na uspješnosti neće funkcionirati ako regionalna i lokalna razina ne budu imale glas kada je riječ o definiranju ciljeva čijim će se ostvarivanjem mjeriti uspjeh politike;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36.</w:t>
      </w:r>
      <w:r w:rsidRPr="0063772B">
        <w:tab/>
        <w:t>ističe da takva promjena prema provedbi utemeljenoj na uspješnosti ne bi smjela ugroziti transparentnost, odgovornost i zaštitu financijskih interesa Unije; napominje da bi sustave revizije i kontrole ipak trebalo prilagoditi okviru koji se temelji na uspješnosti;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37.</w:t>
      </w:r>
      <w:r w:rsidRPr="0063772B">
        <w:tab/>
        <w:t>poziva na širu upotrebu digitalnih tehnologija i rješenja u državama članicama kako bi se pojednostavnila provedba, praćenje i izvješćivanje, čime bi se doprinijelo učinkovitijoj administraciji i manjim količinama fizičke dokumentacije;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38.</w:t>
      </w:r>
      <w:r w:rsidRPr="0063772B">
        <w:tab/>
        <w:t>napominje da se javni novac poreznih obveznika ne smije zloupotrebljavati; traži od Komisije, država članica i regionalnih tijela da koriste i poboljšaju postojeće mehanizme za otkrivanje i borbu protiv nepravilnosti, prijevara i korupcije u financiranju kohezijske politike;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39.</w:t>
      </w:r>
      <w:r w:rsidRPr="0063772B">
        <w:tab/>
        <w:t>poziva Komisiju da osigura da sve države članice imaju učinkovit mehanizam za izvješćivanje o nepravilnostima u skladu s Delegiranom uredbom (EU) 2015/1970</w:t>
      </w:r>
      <w:r w:rsidRPr="0063772B">
        <w:rPr>
          <w:rStyle w:val="FootnoteReference"/>
        </w:rPr>
        <w:footnoteReference w:id="66"/>
      </w:r>
      <w:r w:rsidRPr="0063772B">
        <w:t>; preporučuje da se slučaj nepravilnosti smatra zaključenim u sustavu za upravljanje nepravilnostima (IMS) tek nakon što se povrati iznosa koji nedostaju provedu i na nacionalnoj razini, a ne samo nakon povrata nepravilnih iznosa Komisiji; preporučuje da države članice osiguraju, s pomoću alata za rudarenje podataka kao što je ARACHNE, da se podaci iz službenog izvješća o nepravilnostima i prijevarama u IMS-u unakrsno provjeravaju s podacima za odobrene projekte;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40.</w:t>
      </w:r>
      <w:r w:rsidRPr="0063772B">
        <w:tab/>
        <w:t>poziva Komisiju da poboljša koordinaciju nadležnosti između Europskog ureda za borbu protiv prijevara (OLAF) i Ureda europskog javnog tužitelja (EPPO) u ispitivanju nepravilnosti i prijevara povezanih s fondovima kohezijske politike;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41.</w:t>
      </w:r>
      <w:r w:rsidRPr="0063772B">
        <w:tab/>
        <w:t>poziva preostale države članice da se pridruže EPPO-u kako bi se poboljšala borba protiv korupcije i zlouporabe sredstava EU-a;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42.</w:t>
      </w:r>
      <w:r w:rsidRPr="0063772B">
        <w:tab/>
        <w:t>snažno podupire provedbu uvjetovanosti vladavine prava u svim državama članicama; stoga očekuje od Komisije da pri odobravanju sporazuma o partnerstvu i programa kohezijske politike u potpunosti uzme u obzir aspekte vladavine prava kako bi bili u potpunosti u skladu s uvjetima koji omogućuju učinkovitu primjenu i provedbu Povelje o temeljnim pravima, kako je navedeno u Prilogu III. Uredbi o zajedničkim odredbama; nadalje, očekuje od Komisije da ne odobrava nijedan sporazum o partnerstvu ili program sve dok ta dubinska analiza tih posebnih aspekata ne dovede do visoke razine jamstva da neće biti rizika;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lastRenderedPageBreak/>
        <w:t>43.</w:t>
      </w:r>
      <w:r w:rsidRPr="0063772B">
        <w:tab/>
        <w:t>ponavlja važnost zaštitnih mjera kojima bi se spriječilo nepošteno kažnjavanje korisnika koji se nalaze u zemljama koje bi mogle podlijegati aktivaciji mehanizma vladavine prava; traži od Komisije da razmotri načine na koje može isporučiti sredstva svojim krajnjim korisnicima;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44.</w:t>
      </w:r>
      <w:r w:rsidRPr="0063772B">
        <w:tab/>
        <w:t>naglašava da se kohezijska politika mora bolje prilagoditi izazovima zelene, digitalne i industrijske tranzicije i društvenim posljedicama koje one podrazumijevaju kako bi ostala relevantna i ostvarila ciljeve utvrđene u Ugovorima; smatra da je, kako bi se to postiglo, važno naučiti ne samo iz razdoblja financiranja 2014. – 2020., već i iz instrumenata kao što je Mehanizam za oporavak i otpornost, kako bi se riješili socioekonomski izazovi povezani s nedavnim krizama i pružila odgovarajuća potpora područjima i zajednicama u nepovoljnom položaju;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45.</w:t>
      </w:r>
      <w:r w:rsidRPr="0063772B">
        <w:tab/>
        <w:t>poziva Komisiju da u uredbama o kohezijskoj politici za razdoblje nakon 2027. nastavi isticati važnost, među ostalim, ublažavanja klimatskih promjena i prilagodbe tim promjenama, gubitka biološke raznolikosti i zaštite okoliša, uključujući bolje gospodarenje vodama i otpadom, resursnu i energetsku učinkovitost, otpornost na katastrofe te sprečavanje rizika i upravljanje rizicima; u tom kontekstu smatra da bi mehanizmi za uključivanje klimatskih pitanja i pitanja prilagodbe na klimatske promjene trebali biti sastavni dio programiranja i provedbe, a posebno odabira projekata; nadalje, podsjeća Komisiju da bi odgovarajuća potpora, posebno lokalnim i regionalnim vlastima, za svladavanje socioekonomskih izazova povezanih s nedavnim krizama i pomoć područjima i zajednicama u nepovoljnom položaju trebala biti važna značajka u provedbi fondova;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46.</w:t>
      </w:r>
      <w:r w:rsidRPr="0063772B">
        <w:tab/>
        <w:t>naglašava važnost održivijih rješenja za mobilnost diljem teritorija EU-a, uključujući politiku transeuropske prometne mreže (TEN-T); smatra da bi pametna i održiva rješenja za mobilnost trebala biti prioritet za financiranje sredstvima EU-a;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47.</w:t>
      </w:r>
      <w:r w:rsidRPr="0063772B">
        <w:tab/>
        <w:t>poziva Komisiju i države članice da učine sve što je u njihovoj moći kako bi se osiguralo da sve regije u EU-u imaju pristup širokopojasnoj mreži velike brzine kako bi bile na ravnopravnoj poziciji za ostvarenje digitalne tranzicije;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48.</w:t>
      </w:r>
      <w:r w:rsidRPr="0063772B">
        <w:tab/>
        <w:t>ističe da je, uz javni sektor, potrebno potaknuti uključivanje privatnog sektora u ulaganja u održivi razvoj; u tom pogledu ističe ulogu koju MSP-ovi mogu imati u inovacijama; poziva države članice i Komisiju da predlože mjere za poboljšanje prihvaćanja inovacija spremnih za tržište u malim i srednjim poduzećima;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49.</w:t>
      </w:r>
      <w:r w:rsidRPr="0063772B">
        <w:tab/>
        <w:t>poziva na bolji pristup financiranju za lokalna i regionalna tijela, kao i za prekogranične i slabije razvijene regije kako bi se omogućila ulaganja u lokalnu i regionalnu energetsku tranziciju, uključujući energetsku učinkovitost, decentraliziranu distribuciju energije i snažnu usredotočenost na obnovljivu energiju i održivo kružno gospodarstvo;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50.</w:t>
      </w:r>
      <w:r w:rsidRPr="0063772B">
        <w:tab/>
        <w:t>uvjeren je, s obzirom na strukturne promjene povezane s dvostrukom tranzicijom (zelenom i digitalnom) i njezinim nejednakim gospodarskim i socijalnim učinkom na regije EU-a, da bi načelo pravedne tranzicije, u kojem se nijedno područje i nikoga ne zapostavlja, trebalo biti vodeće načelo u sljedećem programskom razdoblju kohezijske politike;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51.</w:t>
      </w:r>
      <w:r w:rsidRPr="0063772B">
        <w:tab/>
        <w:t xml:space="preserve">prepoznaje važnost posvećivanja posebne pozornosti regijama pogođenima industrijskom tranzicijom; u tom smislu pozdravlja napore Komisije da riješi to pitanje </w:t>
      </w:r>
      <w:r w:rsidRPr="0063772B">
        <w:lastRenderedPageBreak/>
        <w:t>s pomoću Fonda za pravednu tranziciju, prvog stupa mehanizma za pravednu tranziciju; poziva Komisiju da izvuče pouke iz provedbe tog fonda i da dodatno pojasni njegove ciljeve;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52.</w:t>
      </w:r>
      <w:r w:rsidRPr="0063772B">
        <w:tab/>
        <w:t>poziva na nastavak financiranja pravedne tranzicije, koja bi trebala biti u potpunosti integrirana u Uredbu o zajedničkim odredbama i raspolagati odgovarajućim financijskim sredstvima za programsko razdoblje nakon 2027., te na primjenu načela podijeljenog upravljanja i partnerstva; smatra da bi to proširenje Fonda za pravednu tranziciju trebalo biti usmjereno na odgovarajuću razinu NUTS (nomenklatura prostornih jedinica za statistiku), uzeti u obzir regionalne posebnosti, imati šire područje primjene od postojećeg Fonda za pravednu tranziciju, biti osmišljeno tako da se omogući brz odgovor na novonastale izazove u različitim sektorima i industrijama; poziva na to da se u okviru nove generacije financiranja razlikuje ublažavanje klimatskih promjena i prilagodba klimatskim promjenama; naglašava da bi dio financijskih sredstava trebalo namijeniti socijalno pravednoj tranziciji i smanjenju ugljičnog otiska Unije;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53.</w:t>
      </w:r>
      <w:r w:rsidRPr="0063772B">
        <w:tab/>
        <w:t>poziva na uspostavu posebnog cilja politike za rješavanje socijalnih nejednakosti jer se regionalna konvergencija usporila i pojavili su se novi pokretači nejednakosti;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54.</w:t>
      </w:r>
      <w:r w:rsidRPr="0063772B">
        <w:tab/>
        <w:t>naglašava ključnu ulogu koju kohezijska ulaganja u visokokvalitetne javne usluge imaju u izgradnji socijalne otpornosti i rješavanju gospodarske, zdravstvene i socijalne krize;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55.</w:t>
      </w:r>
      <w:r w:rsidRPr="0063772B">
        <w:tab/>
        <w:t>ističe da opseg potpore iz kohezijske politike uključuje integraciju i uključivanje više od 3 milijuna ljudi kojima prijeti socijalna isključenost, uključujući potporu za 600 000 osoba iz marginaliziranih skupina poput Roma koji žive u slabije razvijenim regijama EU-a; ne odobrava nespremnost lokalnih vlasti određenih država članica da učinkovito iskoriste fondove kohezijske politike kako bi tim ljudima osigurale pristup kvalitetnim uslugama, kao što su pristup vodi i pristojnim životnim uvjetima; apelira na države članice da riješe ta najhitnija pitanja koja će znatno doprinijeti smanjenju regionalnih razlika;</w:t>
      </w:r>
    </w:p>
    <w:p w:rsidR="00C7319C" w:rsidRPr="0063772B" w:rsidRDefault="00C7319C" w:rsidP="00C7319C">
      <w:pPr>
        <w:pStyle w:val="NormalHanging12a"/>
      </w:pPr>
      <w:r w:rsidRPr="0063772B">
        <w:t>56.</w:t>
      </w:r>
      <w:r w:rsidRPr="0063772B">
        <w:tab/>
        <w:t xml:space="preserve">skreće pozornost na tešku situaciju u regijama koje dijele granicu s Rusijom i </w:t>
      </w:r>
      <w:proofErr w:type="spellStart"/>
      <w:r w:rsidRPr="0063772B">
        <w:t>Bjelarusom</w:t>
      </w:r>
      <w:proofErr w:type="spellEnd"/>
      <w:r w:rsidRPr="0063772B">
        <w:t xml:space="preserve"> nakon obustave suradnje zbog ruske ratne agresije na Ukrajinu; poziva Komisiju da blisko surađuje s pogođenim državama članicama kako bi se pronašla održiva rješenja za socijalne i gospodarske izazove u tim regijama;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57.</w:t>
      </w:r>
      <w:r w:rsidRPr="0063772B">
        <w:tab/>
        <w:t>ističe višedimenzionalnu prirodu ruralnog razvoja koja nadilazi samo poljoprivredu; napominje da samo 11,5 % osoba koje žive u ruralnim područjima radi u sektorima poljoprivrede, šumarstva i ribarstva;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58.</w:t>
      </w:r>
      <w:r w:rsidRPr="0063772B">
        <w:tab/>
        <w:t>podsjeća da je EPFRR trenutačno povezan s okvirom kohezijske politike te da bi trebao biti dodatno povezan s Uredbom o zajedničkim odredbama, što je potrebno za potpuni razvoj ruralnih regija; naglašava potrebu za daljnjim pojednostavnjenjem fondova u regionalnom razvoju, uključujući EPFRR, jer bi se time moglo osigurati postizanje sinergija i snažnijih partnerstava između ruralnih i urbanih područja za ulaganja u ruralna područja izvan poljoprivrede; inzistira na tome da bi EPFRR-om trebalo upravljati na regionalnoj razini ili uz odlučno regionalno i lokalno sudjelovanje, pri čemu bi veći naglasak nego prije trebalo staviti na mjere strukturne politike u rijetko naseljenim područjima;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lastRenderedPageBreak/>
        <w:t>59.</w:t>
      </w:r>
      <w:r w:rsidRPr="0063772B">
        <w:tab/>
        <w:t>ističe potrebu za provedbom mehanizma procjene učinka na ruralna područja kako bi se ocijenio učinak zakonodavnih inicijativa EU-a na ruralna područja;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60.</w:t>
      </w:r>
      <w:r w:rsidRPr="0063772B">
        <w:tab/>
        <w:t>ističe da će svako buduće proširenje Unije utjecati na razinu kohezije unutar Unije; ističe da će to vjerojatno utjecati na trenutačnu klasifikaciju različitih regija s obzirom na to da će se prosječni BDP po stanovniku znatno smanjiti kao posljedica statističkog učinka;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61.</w:t>
      </w:r>
      <w:r w:rsidRPr="0063772B">
        <w:tab/>
        <w:t>poziva Europsku komisiju da provede detaljnu ocjenu prije predlaganja nove uredbe o kohezijskom okviru za razdoblje nakon 2027. kako bi kohezijska politika i dalje mogla pružati potporu svim regijama i kako bi se na odgovarajući način mogle ispraviti sve negativne posljedice za regije prouzročene „statističkim učinkom” na prihvatljivost kohezijske politike; osim toga, poziva Komisiju da u svoju procjenu uključi ocjenu dodatnih potreba za prekograničnom suradnjom koje bi proširenje moglo donijeti; poziva na savjetovanje i strukturirani rad između Komisije i Parlamenta o tom pitanju prije objave novog zakonodavnog prijedloga; poziva da se najkasnije do 2030. ostvari kohezijska politika prilagođena proširenju;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62.</w:t>
      </w:r>
      <w:r w:rsidRPr="0063772B">
        <w:tab/>
        <w:t xml:space="preserve">naglašava da se postojeći proračun kohezijske politike </w:t>
      </w:r>
      <w:proofErr w:type="spellStart"/>
      <w:r w:rsidRPr="0063772B">
        <w:t>usredotočava</w:t>
      </w:r>
      <w:proofErr w:type="spellEnd"/>
      <w:r w:rsidRPr="0063772B">
        <w:t xml:space="preserve"> na ciljeve konvergencije; naglašava da se u slučaju Ukrajine proračun kohezijske politike ne može i ne smije koristiti za očekivane financijske zahtjeve obnove; naglašava da bi sve ciljeve obnove trebalo ostvariti različitim mehanizmima financiranja, izvan područja primjene VFO-a, preko izravnih proračunskih doprinosa država članica, privatnog sektora i vanjskih resursa;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63.</w:t>
      </w:r>
      <w:r w:rsidRPr="0063772B">
        <w:tab/>
        <w:t>poziva Komisiju da razmotri mogućnost da se javna potrošnja u okviru kohezijske politike država članica te regionalnih i lokalnih tijela u okviru europskih strukturnih i investicijskih fondova ne smatra nacionalnim ili istovjetnim strukturnim rashodima kako je definirano u novim pravilima o gospodarskom upravljanju, posebno ako ne odstupaju od ispunjenja ciljeva Pariškog sporazuma;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64.</w:t>
      </w:r>
      <w:r w:rsidRPr="0063772B">
        <w:tab/>
        <w:t>naglašava potrebu za poboljšanjem odnosa između kohezijske politike i gospodarskog upravljanja EU-a, izbjegavajući pritom kazneni pristup; naglašava da bi europski semestar trebao biti u skladu s ciljevima kohezijske politike utvrđenima u člancima 174. i 175. UFEU-a i europskim stupom socijalnih prava; poziva na sudjelovanje regija u provedbi preporuka za pojedine zemlje i na snažniji teritorijalni pristup; poziva na ponovno razmatranje koncepta makroekonomske uvjetovanosti i na razmatranje mogućnosti zamjene tog koncepta novim oblicima uvjetovanosti kako bi se bolje odrazili novi izazovi koji nam predstoje;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65.</w:t>
      </w:r>
      <w:r w:rsidRPr="0063772B">
        <w:tab/>
        <w:t>podsjeća na načelo „</w:t>
      </w:r>
      <w:proofErr w:type="spellStart"/>
      <w:r w:rsidRPr="0063772B">
        <w:t>nenanošenja</w:t>
      </w:r>
      <w:proofErr w:type="spellEnd"/>
      <w:r w:rsidRPr="0063772B">
        <w:t xml:space="preserve"> štete koheziji”, uvedeno Osmim izvješćem o koheziji, prema kojemu nijedno djelovanje ne bi trebalo ometati proces konvergencije ili pridonijeti regionalnim razlikama; poziva na snažniju integraciju tog načela kao horizontalnog načela u svim politikama EU-a kako bi se na taj način poduprli ciljevi socijalne, gospodarske i teritorijalne kohezije, kako je navedeno u člancima 3. i 174. UFEU-a; ustraje u tome da bi promicanje kohezije također trebalo smatrati načinom poticanja solidarnosti i uzajamne potpore među državama članicama i njihovim regijama;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66.</w:t>
      </w:r>
      <w:r w:rsidRPr="0063772B">
        <w:tab/>
        <w:t xml:space="preserve">poziva Komisiju da učvrsti i razvije to načelo u okviru europskog semestra te da lokalne i regionalne vlasti uključi u sve faze postupaka povezanih s europskim semestrom i </w:t>
      </w:r>
      <w:r w:rsidRPr="0063772B">
        <w:lastRenderedPageBreak/>
        <w:t>njegovim preporukama po državama članicama;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67.</w:t>
      </w:r>
      <w:r w:rsidRPr="0063772B">
        <w:tab/>
        <w:t>čvrsto vjeruje u važnost horizontalnih načela višerazinskog upravljanja i partnerstva te smatra da bi ona trebala ostati vodeća načela kohezijske politike nakon 2027.;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68.</w:t>
      </w:r>
      <w:r w:rsidRPr="0063772B">
        <w:tab/>
        <w:t xml:space="preserve">poziva Komisiju, države članice, regije i lokalne vlasti da strogo i učinkovito primjenjuju načelo višerazinskog upravljanja; 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69.</w:t>
      </w:r>
      <w:r w:rsidRPr="0063772B">
        <w:tab/>
        <w:t>naglašava važnost poštovanja načela partnerstva u svim programima, provedbi i praćenju kohezijske politike EU-a te uspostave snažne suradnje između regionalnih i lokalnih vlasti, nevladinih organizacija i drugih dionika; poziva na to da načelo partnerstva ostane obvezujuće i traži njegovo uključivanje u europski semestar; poziva Komisiju i Europski revizorski sud da temeljito provode daljnje mjere, obavljaju provjere i daju korektivne preporuke;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70.</w:t>
      </w:r>
      <w:r w:rsidRPr="0063772B">
        <w:tab/>
        <w:t xml:space="preserve">pozdravlja odluku Komisije da produlji valjanost kodeksa ponašanja za partnerstva u okviru europskih strukturnih i investicijskih fondova (Delegirana uredba </w:t>
      </w:r>
      <w:r w:rsidR="00CD45D3">
        <w:t xml:space="preserve">(EU) </w:t>
      </w:r>
      <w:r w:rsidRPr="0063772B">
        <w:t xml:space="preserve">br. </w:t>
      </w:r>
      <w:bookmarkStart w:id="8" w:name="_GoBack"/>
      <w:r w:rsidRPr="0063772B">
        <w:t>240/2014</w:t>
      </w:r>
      <w:bookmarkEnd w:id="8"/>
      <w:r w:rsidRPr="0063772B">
        <w:t>); smatra da te smjernice znatno doprinose boljoj uključenosti lokalnih i regionalnih vlasti te drugih dionika, ali da bi ih trebalo revidirati kako bi se dodatno poboljšala njihova učinkovitost i osigurala veća uključenost partnera u promicanje lokaliziranih djelovanja;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71.</w:t>
      </w:r>
      <w:r w:rsidRPr="0063772B">
        <w:tab/>
        <w:t>podsjeća da se u okvir kohezijske politike za razdoblje 2021. – 2027. rodna ravnopravnost i rodna perspektiva uključuju i promiču u svim fazama postupka pripreme, provedbe, praćenja i evaluacije kohezijskih programa; nadalje, ističe posebnu ulogu žena, posebno u udaljenim i ruralnim područjima, s obzirom na to da su one izrazito važni akteri civilnog društva i održivog gospodarskog rasta; međutim, istodobno napominje da se često suočavaju s poteškoćama u pristupu tržištu rada, javnim uslugama, zdravstvenoj skrbi, skrbi za djecu i jednakim plaćama;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72.</w:t>
      </w:r>
      <w:r w:rsidRPr="0063772B">
        <w:tab/>
        <w:t>nadalje, ističe posebnu važnost uključivanja mladih u kohezijsku politiku;</w:t>
      </w:r>
    </w:p>
    <w:p w:rsidR="00C7319C" w:rsidRPr="0063772B" w:rsidRDefault="00C7319C" w:rsidP="00C7319C">
      <w:pPr>
        <w:pStyle w:val="NormalHanging12a"/>
      </w:pPr>
      <w:r w:rsidRPr="0063772B">
        <w:t>73.</w:t>
      </w:r>
      <w:r w:rsidRPr="0063772B">
        <w:tab/>
        <w:t>poziva Komisiju i države članice da ulože dodatne napore u pogledu poticanja ostvarenja prava djece na način da se ESF+ upotrijebi za potporu djelotvornim intervencijama koje doprinose tom cilju;</w:t>
      </w:r>
    </w:p>
    <w:p w:rsidR="00C7319C" w:rsidRPr="0063772B" w:rsidRDefault="00C7319C" w:rsidP="00C7319C">
      <w:pPr>
        <w:pStyle w:val="NormalHanging12a"/>
      </w:pPr>
      <w:r w:rsidRPr="0063772B">
        <w:t>74.</w:t>
      </w:r>
      <w:r w:rsidRPr="0063772B">
        <w:tab/>
        <w:t>poziva na daljnje jačanje komunikacije i vidljivosti programa i projekata koje financira EU u svim državama članicama, i to definiranjem njihovih ciljeva, ciljne publike, komunikacijskih kanala, obuhvata društvenih medija, planiranog proračuna i relevantnih pokazatelja za praćenje i evaluaciju;</w:t>
      </w:r>
    </w:p>
    <w:p w:rsidR="00C7319C" w:rsidRPr="0063772B" w:rsidRDefault="00C7319C" w:rsidP="00C7319C">
      <w:pPr>
        <w:pStyle w:val="NormalHanging12a"/>
        <w:rPr>
          <w:i/>
        </w:rPr>
      </w:pPr>
      <w:r w:rsidRPr="0063772B">
        <w:rPr>
          <w:i/>
        </w:rPr>
        <w:t>Naglasak na regionalnoj i lokalnoj razini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75.</w:t>
      </w:r>
      <w:r w:rsidRPr="0063772B">
        <w:tab/>
        <w:t xml:space="preserve">poziva da se ulaganja u prilagodbu klimatskim promjenama te u sprečavanje katastrofa i pripravnost na njih zajamče putem namjenskog cilja politike, tematske koncentracije ili posebnih poticajnih uvjeta kako bi se osigurala održiva ulaganja u lokalnu i regionalnu infrastrukturu i upravljanje rizikom u manje razvijenim urbanim i ruralnim područjima, uključujući pogranične regije, otoke i najudaljenije regije; smatra da bi se ciljano financiranje trebalo usmjeriti na smanjenje rizika i pripravnost na širok spektar katastrofa (klimatskih, geoloških, zdravstvenih, izazvanih ljudskim djelovanjem); smatra da bi to trebalo uključivati snažan naglasak na ublažavanje klimatskih promjena i prilagodbu klimatskim promjenama kako bi se lokalnim i regionalnim vlastima </w:t>
      </w:r>
      <w:r w:rsidRPr="0063772B">
        <w:lastRenderedPageBreak/>
        <w:t>pomoglo da bolje upravljaju rizicima i pripreme se za odgovor na lokalne učinke klimatskih promjena, od sporo nastupajućih pojava do ekstremnih vremenskih pojava, uključujući eroziju obale, dezertifikaciju, porast razine mora, šumske požare, poplave, klizišta, toplinske valove i druge prirodne katastrofe;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76.</w:t>
      </w:r>
      <w:r w:rsidRPr="0063772B">
        <w:tab/>
        <w:t>smatra da bi kohezijsko financiranje trebalo koristiti i urbanim i ruralnim područjima na uravnotežen način; poziva na jačanje urbane i ruralne dimenzije u kohezijskoj politici putem namjenskih ulaganja u urbana i ruralna područja, kao i snažniju povezanost između urbanih i ruralnih projekata i održivih ulaganja kako bi se riješili demografski izazovi, razvojna zamka i jaz između urbanih i ruralnih područja s kojima se suočavaju regije EU-a;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77.</w:t>
      </w:r>
      <w:r w:rsidRPr="0063772B">
        <w:tab/>
        <w:t xml:space="preserve">poziva na povećanje udjela sredstava iz EFRR-a dodijeljenih na nacionalnoj razini za urbani razvoj; poziva države članice da se pobrinu za to da manje općine imaju pristup sredstvima EFRR-a namijenjenima financiranju održivih i integriranih projekata urbanog razvoja; također poziva na izdvajanje sredstava za ruralna područja i regije koje su izložene ozbiljnim i trajnim prirodnim ili demografskim poteškoćama; poziva na to da se navedeno financiranje </w:t>
      </w:r>
      <w:proofErr w:type="spellStart"/>
      <w:r w:rsidRPr="0063772B">
        <w:t>suprogramira</w:t>
      </w:r>
      <w:proofErr w:type="spellEnd"/>
      <w:r w:rsidRPr="0063772B">
        <w:t xml:space="preserve"> s lokalnim i regionalnim vlastima te da bude na korist lokalnim zajednicama i regijama;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78.</w:t>
      </w:r>
      <w:r w:rsidRPr="0063772B">
        <w:tab/>
        <w:t>poziva na uspostavu istinske strukturne politike za ruralna područja s odgovarajućim tematskim ciljevima kojima se odgovara na posebne izazove tih područja, kao što su dezertifikacija ruralnih područja, starenje stanovništva, depopulacija, napuštanje ruralnih područja, opadanje zajednica općenito i nedostatne zdravstvene i obrazovne mogućnosti;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79.</w:t>
      </w:r>
      <w:r w:rsidRPr="0063772B">
        <w:tab/>
        <w:t>potiče sinergije između zajedničkih projekata i sporazume o suradnji različitih upravljačkih razina kako bi se iskoristili združeni kapaciteti i ekonomija razmjera u ulaganjima EU-a u infrastrukturu, inovacije, ublažavanje klimatskih promjena i prilagodbu njima te zelenu i digitalnu tranziciju; smatra da bi taj proces trebao dovesti do većeg osjećaja vlasništva nad projektima i konsolidacije održivih ulaganja, umjesto osjećaja rascjepkanosti i nedostatka sinergije;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80.</w:t>
      </w:r>
      <w:r w:rsidRPr="0063772B">
        <w:tab/>
        <w:t>ističe dodanu vrijednost teritorijalne suradnje općenito, a posebno prekogranične suradnje; poziva na povećanje proračuna za programe europske teritorijalne suradnje jer oni pružaju jedinstven okvir za međuregionalnu, prekograničnu i transnacionalnu suradnju i pomažu u svladavanju zajedničkih izazova, uz poticanje partnerstava i promicanje gospodarskog razvoja, socijalne kohezije i okolišne održivosti; predlaže da se „milijarda za pogranične regije” izravno povjeri Europskoj grupaciji za teritorijalnu suradnju, koja bi trebala biti zadužena za neovisno upravljanje tim sredstvima i njihovu raspodjelu među projektima;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81.</w:t>
      </w:r>
      <w:r w:rsidRPr="0063772B">
        <w:tab/>
        <w:t>smatra da je Teritorijalni program 2030. pravi i odgovarajući instrument kojim se osigurava kohezija EU-a putem upravljanja svakom od njegovih regija i njihovih posebnosti; poziva Komisiju da razmotri izmjenu uloge Teritorijalnog programa 2030. kako bi se nadišla njegova uloga vodiča za teritorijalno upravljanje; poziva države članice da razviju svoje teritorijalne programe u skladu s Teritorijalnim programom 2030. kao osnovom za programiranje svojih teritorijalnih strategija, uzimajući u obzir specifičnosti svake svoje regije i služeći kao poticaj, te s ciljem da se potakne proces donošenja odluka i osmišljavanje teritorijalnih i urbanih politika;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lastRenderedPageBreak/>
        <w:t>82.</w:t>
      </w:r>
      <w:r w:rsidRPr="0063772B">
        <w:tab/>
        <w:t>priznaje da integrirani instrumenti teritorijalnog razvoja imaju temeljnu ulogu u kvalitetnoj provedbi i apsorpciji sredstava; poziva na to da se određeni iznos sredstava kohezijske politike namijeni za razvoj teritorijalnih pristupa u ruralnim područjima ili za urbano-ruralne teritorijalne pristupe putem integriranih teritorijalnih ulaganja, lokalnog razvoja pod vodstvom zajednice ili drugih mehanizama za nepoljoprivredni ruralni razvoj kako bi se dopunile aktivnosti koje se podupiru unutar pristupa LEADER u okviru zajedničke poljoprivredne politike, jer će to biti i jedan od temeljnih načina borbe protiv tzv. geografije nezadovoljstva;</w:t>
      </w:r>
    </w:p>
    <w:p w:rsidR="00C7319C" w:rsidRPr="0063772B" w:rsidRDefault="00C7319C" w:rsidP="00C7319C">
      <w:pPr>
        <w:pStyle w:val="NormalHanging12a"/>
      </w:pPr>
      <w:r w:rsidRPr="0063772B">
        <w:t>83.</w:t>
      </w:r>
      <w:r w:rsidRPr="0063772B">
        <w:tab/>
        <w:t>smatra da bi uporaba opozvanih kohezijskih sredstava za rezerve u okviru kohezijske politike pomogla, među ostalim, u apsorpciji budućih inflacijskih skokova ili šokova u vezi s opskrbnim lancem; smatra da bi ta uporaba trebala djelovati kružno na temelju potreba i u skladu s višegodišnjim i godišnjim ciklusima opoziva;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84.</w:t>
      </w:r>
      <w:r w:rsidRPr="0063772B">
        <w:tab/>
        <w:t>smatra da bi se kompromis između potrebne orijentacije prema lokaciji i potpore tematskim prioritetima Unije mogao riješiti većom fleksibilnošću, izbornikom tematskih ciljeva i izazova koji se mogu odabrati, a koji je dostupan regijama i općinama razmjerno njihovim razinama razvoja i potrebama, uz poštovanje tematske koncentracije na nacionalnoj razini; ističe da se takvim modelom smanjuje složenost postupka programiranja te se uzimaju u obzir regionalne značajke; naglašava da bi se kohezijskom politikom trebalo nastaviti odgovarati na lokalne potrebe kako bi se one učinkovito zadovoljile u kontekstu smanjenja regionalnih razlika diljem EU-a;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85.</w:t>
      </w:r>
      <w:r w:rsidRPr="0063772B">
        <w:tab/>
        <w:t>naglašava da je tematska koncentracija i dalje temelj za postizanje prijelaza na konkurentniju, pametniju, socijalniju i otporniju Uniju, kao i na gospodarstvo s nultom neto stopom emisija ugljika; međutim, naglašava da bi se trebala prilagoditi stvarnim potrebama regija i gradova i načinu na koji djeluju u praktičnom smislu, od programiranja i reprogramiranja do provedbe i zaključenja; smatra da bi ključno načelo trebalo biti pristup ulaganju prilagođen konkretnim potrebama na terenu;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86.</w:t>
      </w:r>
      <w:r w:rsidRPr="0063772B">
        <w:tab/>
        <w:t>traži od Komisije da pri utvrđivanju razine potpore za svaku regiju vodi računa o dodatnim karakteristikama, kao što su područja unutar regije s potencijalom za rast, intenzitet njihovih specifičnih izazova ili razina izloženosti učincima aktualnih tranzicija, kao što su zelena, digitalna i industrijska tranzicija, ili njihova razina socijalnog napretka, kako bi se bolje definirao put svake regije prema konvergenciji; naglašava da BDP kao jedini pokazatelj razvoja ne uzima u obzir sve te aspekte i poziva da ga se dopuni drugim pokazateljima, kao što su indeks društvenog napretka EU-a i indeks osjetljivosti na klimatske promjene; naglašava važnost posvećivanja posebne pozornosti potpori regijama koje se suočavaju s razvojnom zamkom, kako je istaknuto u Osmom izvješću o koheziji;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87.</w:t>
      </w:r>
      <w:r w:rsidRPr="0063772B">
        <w:tab/>
        <w:t>poziva na rješavanje međuregionalnih razlika posvećivanjem veće pozornosti raznolikosti teritorija; poziva Komisiju da razmotri mogućnost procjene početnih dodijeljenih sredstava i stopa sufinanciranja na temelju NUTS 3 kako bi se sredstva usmjerila tamo gdje su najpotrebnija i spriječila pojava siromašnih i nedovoljno razvijenih područja; naglašava da bi u toj promjeni trebalo uzeti u obzir moguće negativne učinke na financiranje EU-a za veća urbana područja, kao što su metropolitanska područja;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88.</w:t>
      </w:r>
      <w:r w:rsidRPr="0063772B">
        <w:tab/>
        <w:t xml:space="preserve">smatra da bi se pri dodjeli sredstava za lokalne projekte u urbanim i ruralnim područjima naglasak trebao staviti na zajedničke projekte od zajedničkog interesa, uz </w:t>
      </w:r>
      <w:r w:rsidRPr="0063772B">
        <w:lastRenderedPageBreak/>
        <w:t>istodobno promicanje sudjelovanja malih i srednjih poduzeća; poziva na kombiniranje manjih regionalnih financijskih instrumenata s većim regionalnim inicijativama kako bi se povećala njihova učinkovitost i učinak politika; poziva Komisiju da pruži smjernice i potporu planiranju, posebno za integrirane teritorijalne i male projekte, kako bi se izbjegli opozivi i prenamjena; ističe važnost jačanja pristupa teritorijalnom razvoju odozdo prema gore, koji je sredstvo za socijalne inovacije i izgradnju kapaciteta;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89.</w:t>
      </w:r>
      <w:r w:rsidRPr="0063772B">
        <w:tab/>
        <w:t>ističe važnost dobrog upravljanja na svim razinama upravljanja kohezijskom politikom; ističe da kvaliteta upravljačkih struktura može odrediti optimalnu kombinaciju prioriteta ulaganja kako bi se postigla potrebna vertikalna i horizontalna koordinacija na više razina za osmišljavanje i provedbu integriranih razvojnih strategija;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90.</w:t>
      </w:r>
      <w:r w:rsidRPr="0063772B">
        <w:tab/>
        <w:t>poziva na veću zastupljenost gradskih i ruralnih vlasti u odborima za praćenje, koji bi mogli zajedno procijeniti učinkovitost upravljanja sredstvima; ponavlja da bi ti predstavnici, između ostalog, trebali dijeliti odgovornost za programiranje i reprogramiranje kako bi se poštovalo višerazinsko upravljanje;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91.</w:t>
      </w:r>
      <w:r w:rsidRPr="0063772B">
        <w:tab/>
        <w:t>poziva Komisiju da poduzme potrebne mjere za rješavanje nedostataka utvrđenih u upravljanju fondovima kohezijskih sredstava od strane upravljačkih tijela te da u isto vrijeme pojednostavni pristup tehničkoj pomoći kako bi se poboljšali administrativni i upravljački kapaciteti nadležnih tijela;</w:t>
      </w:r>
    </w:p>
    <w:p w:rsidR="00C7319C" w:rsidRPr="0063772B" w:rsidRDefault="00C7319C" w:rsidP="00C7319C">
      <w:pPr>
        <w:pStyle w:val="NormalHanging12a"/>
      </w:pPr>
      <w:r w:rsidRPr="0063772B">
        <w:t>92.</w:t>
      </w:r>
      <w:r w:rsidRPr="0063772B">
        <w:tab/>
        <w:t>poziva na daljnje uključivanje inicijativa Komisije kao što je Sporazum gradonačelnika EU-a za klimu i energiju u postupak osmišljavanja i provedbe sljedeće generacije pravila kohezijske politike; smatra da gradske mreže imaju neizostavnu ulogu u premošćivanju jaza između donošenja politika i provedbe na terenu; uviđa da potpora politikama i provedbi, usmjerena na gradonačelnike i lokalne vlasti, donosi znatno bolje rezultate u kontekstu provedbe politika;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93.</w:t>
      </w:r>
      <w:r w:rsidRPr="0063772B">
        <w:tab/>
        <w:t>naglašava da postoje razlike među državama članicama kad je riječ o nadležnostima lokalnih i regionalnih tijela; poziva na poboljšani lokalizirani pristup kako bi se upravljanje kohezijskom politikom približilo regionalnoj i lokalnoj razini; naglašava da su pripremni rad, odgovarajući administrativni kapaciteti i institucionalna podrška ključni kako bi se osigurala učinkovitost politike, smanjio broj nepravilnosti i prijevara te spriječilo dodatno administrativno opterećenje za upravljačka tijela, izvođače i krajnje korisnike;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94.</w:t>
      </w:r>
      <w:r w:rsidRPr="0063772B">
        <w:tab/>
        <w:t>uvjeren je da se dugoročno promicanje većeg osjećaja lokalnog i regionalnog vlasništva, kao i trajnosti projekata EU-a i većeg utjecaja sufinanciranja može postići povećanjem fiskalnih kapaciteta regija i općina; priznaje da se takvim usmjerenjem poboljšava sposobnost regija i općina za zaduživanje povezana s financijskim instrumentima koji se osiguravaju iz proračuna EU-a; naglašava da bi regionalni i lokalni proračuni trebali moći nadoknaditi učinak inflacijskih šokova i mogućih kriza na projekte koje sufinancira EU;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95.</w:t>
      </w:r>
      <w:r w:rsidRPr="0063772B">
        <w:tab/>
        <w:t xml:space="preserve">poziva na daljnje uključivanje Grupe EIB-a u ulaganja kohezijske politike, posebno u manje razvijenim regijama kroz pružanje potpore održivim gradovima, održivoj energiji, kružnom gospodarstvu, zelenim poslovima i lokalnim i regionalnim inovacijskim projektima, među ostalim kroz veću upotrebu financijskih instrumenata i potpore za ulaganja privatnog sektora; poziva na proširenje pomoći lokalnim i regionalnim projektima i financijskih instrumenata koji nadopunjuju bespovratna </w:t>
      </w:r>
      <w:r w:rsidRPr="0063772B">
        <w:lastRenderedPageBreak/>
        <w:t>sredstva EU-a i potiču učinak poluge; potvrđuje da u mnogim državama članicama financiranje EIB-a, kao primjerice zajmovi za strukturne programe, znatno doprinosi obvezama nacionalnog sufinanciranja u okviru kohezijske politike, čime se olakšava i ubrzava provedba programa;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96.</w:t>
      </w:r>
      <w:r w:rsidRPr="0063772B">
        <w:tab/>
        <w:t>naglašava da je tehnički, financijski i administrativni kapacitet ključan kako bi se osiguralo da upravljačka tijela te lokalne i regionalne vlasti steknu tehničko znanje, posebno o klimatskim promjenama, koje mogu upotrijebiti za urbano i ruralno planiranje i upravljanje; uvjeren je da će to dovesti do boljeg projektiranja i evaluacije projektnih prijedloga, učinkovitije dodjele sredstava i zadovoljavajuće provedbe proračuna bez značajnog rizika od opoziva;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97.</w:t>
      </w:r>
      <w:r w:rsidRPr="0063772B">
        <w:tab/>
        <w:t>poziva na to da se postojeći programi tehničke pomoći i savjetodavni programi posebno usmjere na manje općine te na prekogranična, udaljena i ruralna područja, kao i na najudaljenije i otočne regije, kako bi im se pomoglo suočiti s novim izazovima kao što su zelena tranzicija i klimatske promjene; ističe da je u tom kontekstu važno razviti instrumente tehničke pomoći u suradnji s EIB-om i Komisijom, među ostalim u području energetske učinkovitosti; poziva na ciljanu potporu u obliku 100 % financiranja EU-a za izgradnju tehničkih, financijskih i administrativnih kapaciteta, osmišljavanje i pripremu projekata, utvrđivanje i izradu portfelja projekata, kao i kapaciteta za strateško planiranje, uključujući instrumente za planiranje; smatra da bi trebalo dodatno razviti platformu URBIS, kao jedinstvenu kontaktnu točku za općine;</w:t>
      </w:r>
    </w:p>
    <w:p w:rsidR="00C7319C" w:rsidRPr="0063772B" w:rsidRDefault="00C7319C" w:rsidP="00C7319C">
      <w:pPr>
        <w:pStyle w:val="NormalHanging12a"/>
        <w:rPr>
          <w:szCs w:val="24"/>
        </w:rPr>
      </w:pPr>
      <w:r w:rsidRPr="0063772B">
        <w:t>98.</w:t>
      </w:r>
      <w:r w:rsidRPr="0063772B">
        <w:tab/>
        <w:t xml:space="preserve">inzistira na kritičkom pregledu </w:t>
      </w:r>
      <w:r w:rsidRPr="0063772B">
        <w:rPr>
          <w:i/>
          <w:iCs/>
        </w:rPr>
        <w:t>ad hoc</w:t>
      </w:r>
      <w:r w:rsidRPr="0063772B">
        <w:t xml:space="preserve"> inicijativa Komisije i na temeljitoj provjeri novih inicijativa u smislu njihove kvalitete i kvantitete; zahtijeva da se tim postupkom upravlja zajednički i u duhu partnerstva, uz zajamčenu zastupljenost lokalne razine, uključujući gradova i ruralnih područja, kao i regija te organizacija civilnog društva; upozorava na to da bi povećanje broja </w:t>
      </w:r>
      <w:r w:rsidRPr="0063772B">
        <w:rPr>
          <w:i/>
          <w:iCs/>
        </w:rPr>
        <w:t>ad hoc</w:t>
      </w:r>
      <w:r w:rsidRPr="0063772B">
        <w:t xml:space="preserve"> inicijativa Komisije koje se financiraju iz fondova kohezijske politike, bez dodane vrijednosti na lokalnoj i regionalnoj razini, moglo ugroziti učinkovitost ukupnih kohezijskih odobrenih sredstava planiranih unaprijed; inzistira na tome da se svaka nova inicijativa Komisije poprati odgovarajućim proračunskim dopunama;</w:t>
      </w:r>
    </w:p>
    <w:p w:rsidR="00C7319C" w:rsidRPr="0063772B" w:rsidRDefault="00C7319C" w:rsidP="00C7319C">
      <w:pPr>
        <w:pStyle w:val="NormalHanging12a"/>
        <w:jc w:val="center"/>
      </w:pPr>
      <w:r w:rsidRPr="0063772B">
        <w:t>°</w:t>
      </w:r>
    </w:p>
    <w:p w:rsidR="00C7319C" w:rsidRPr="0063772B" w:rsidRDefault="00C7319C" w:rsidP="00C7319C">
      <w:pPr>
        <w:pStyle w:val="NormalHanging12a"/>
        <w:jc w:val="center"/>
      </w:pPr>
      <w:r w:rsidRPr="0063772B">
        <w:t>°</w:t>
      </w:r>
      <w:r w:rsidRPr="0063772B">
        <w:tab/>
        <w:t>°</w:t>
      </w:r>
    </w:p>
    <w:p w:rsidR="00C7319C" w:rsidRPr="0063772B" w:rsidRDefault="00C7319C" w:rsidP="00482FEA">
      <w:pPr>
        <w:ind w:left="567" w:hanging="567"/>
      </w:pPr>
      <w:r w:rsidRPr="0063772B">
        <w:t>99.</w:t>
      </w:r>
      <w:r w:rsidRPr="0063772B">
        <w:tab/>
        <w:t>nalaže svojoj predsjednici da ovu Rezoluciju proslijedi Vijeću, Komisiji, Europskom gospodarskom i socijalnom odboru, Europskom odboru regija te nacionalnim i regionalnim parlamentima država članica.</w:t>
      </w:r>
    </w:p>
    <w:sectPr w:rsidR="00C7319C" w:rsidRPr="0063772B" w:rsidSect="00AB1F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6B5" w:rsidRPr="00AB1FA9" w:rsidRDefault="003C56B5">
      <w:r w:rsidRPr="00AB1FA9">
        <w:separator/>
      </w:r>
    </w:p>
  </w:endnote>
  <w:endnote w:type="continuationSeparator" w:id="0">
    <w:p w:rsidR="003C56B5" w:rsidRPr="00AB1FA9" w:rsidRDefault="003C56B5">
      <w:r w:rsidRPr="00AB1F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1F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1F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1F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6B5" w:rsidRPr="00AB1FA9" w:rsidRDefault="003C56B5">
      <w:r w:rsidRPr="00AB1FA9">
        <w:separator/>
      </w:r>
    </w:p>
  </w:footnote>
  <w:footnote w:type="continuationSeparator" w:id="0">
    <w:p w:rsidR="003C56B5" w:rsidRPr="00AB1FA9" w:rsidRDefault="003C56B5">
      <w:r w:rsidRPr="00AB1FA9">
        <w:continuationSeparator/>
      </w:r>
    </w:p>
  </w:footnote>
  <w:footnote w:id="1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347, 20.12.2013., str. 320.</w:t>
      </w:r>
    </w:p>
  </w:footnote>
  <w:footnote w:id="2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347, 20.12.2013., str. 289.</w:t>
      </w:r>
    </w:p>
  </w:footnote>
  <w:footnote w:id="3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347, 20.12.2013., str. 281.</w:t>
      </w:r>
    </w:p>
  </w:footnote>
  <w:footnote w:id="4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347, 20.12.2013., str. 259.</w:t>
      </w:r>
    </w:p>
  </w:footnote>
  <w:footnote w:id="5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347, 20.12.2013., str. 470.</w:t>
      </w:r>
    </w:p>
  </w:footnote>
  <w:footnote w:id="6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99, 31.3.2020., str. 5.</w:t>
      </w:r>
    </w:p>
  </w:footnote>
  <w:footnote w:id="7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130, 24.4.2020., str. 1.</w:t>
      </w:r>
    </w:p>
  </w:footnote>
  <w:footnote w:id="8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109, 8.4.2022., str. 1.</w:t>
      </w:r>
    </w:p>
  </w:footnote>
  <w:footnote w:id="9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L 275, 25.10.2022., str. 23.</w:t>
      </w:r>
    </w:p>
  </w:footnote>
  <w:footnote w:id="10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Usvojeni tekstovi, P9_TA(2023)0439.</w:t>
      </w:r>
    </w:p>
  </w:footnote>
  <w:footnote w:id="11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 C, C/2023/1061, 15.12.2023., ELI: http://data.europa.eu/eli/C/2023/1061/oj.</w:t>
      </w:r>
    </w:p>
  </w:footnote>
  <w:footnote w:id="12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C 125, 5.4.2023., str. 100.</w:t>
      </w:r>
    </w:p>
  </w:footnote>
  <w:footnote w:id="13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C 125, 5.4.2023., str. 114.</w:t>
      </w:r>
    </w:p>
  </w:footnote>
  <w:footnote w:id="14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C 342, 6.9.2022., str. 2.</w:t>
      </w:r>
    </w:p>
  </w:footnote>
  <w:footnote w:id="15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 C 117, 11.3.2022., str. 18.</w:t>
      </w:r>
    </w:p>
  </w:footnote>
  <w:footnote w:id="16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C 15, 12.1.2022., str. 125.</w:t>
      </w:r>
    </w:p>
  </w:footnote>
  <w:footnote w:id="17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C 494, 8.12.2021., str. 26.</w:t>
      </w:r>
    </w:p>
  </w:footnote>
  <w:footnote w:id="18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C 28, 27.1.2020., str. 40.</w:t>
      </w:r>
    </w:p>
  </w:footnote>
  <w:footnote w:id="19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C 162, 10.5.2019., str. 24.</w:t>
      </w:r>
    </w:p>
  </w:footnote>
  <w:footnote w:id="20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SL C, C/2024/1041, 9.2.2024., ELI: http://data.europa.eu/eli/C/2024/1041/oj.</w:t>
      </w:r>
    </w:p>
  </w:footnote>
  <w:footnote w:id="21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Studija – Istraživanje za Odbor za regionalni razvoj „EU </w:t>
      </w:r>
      <w:proofErr w:type="spellStart"/>
      <w:r w:rsidRPr="00AB1FA9">
        <w:rPr>
          <w:sz w:val="24"/>
          <w:lang w:val="hr-HR"/>
        </w:rPr>
        <w:t>lagging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regions</w:t>
      </w:r>
      <w:proofErr w:type="spellEnd"/>
      <w:r w:rsidRPr="00AB1FA9">
        <w:rPr>
          <w:sz w:val="24"/>
          <w:lang w:val="hr-HR"/>
        </w:rPr>
        <w:t xml:space="preserve">: </w:t>
      </w:r>
      <w:proofErr w:type="spellStart"/>
      <w:r w:rsidRPr="00AB1FA9">
        <w:rPr>
          <w:sz w:val="24"/>
          <w:lang w:val="hr-HR"/>
        </w:rPr>
        <w:t>state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of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play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and</w:t>
      </w:r>
      <w:proofErr w:type="spellEnd"/>
      <w:r w:rsidRPr="00AB1FA9">
        <w:rPr>
          <w:sz w:val="24"/>
          <w:lang w:val="hr-HR"/>
        </w:rPr>
        <w:t xml:space="preserve"> future </w:t>
      </w:r>
      <w:proofErr w:type="spellStart"/>
      <w:r w:rsidRPr="00AB1FA9">
        <w:rPr>
          <w:sz w:val="24"/>
          <w:lang w:val="hr-HR"/>
        </w:rPr>
        <w:t>challenges</w:t>
      </w:r>
      <w:proofErr w:type="spellEnd"/>
      <w:r w:rsidRPr="00AB1FA9">
        <w:rPr>
          <w:sz w:val="24"/>
          <w:lang w:val="hr-HR"/>
        </w:rPr>
        <w:t>” (Regije EU-a koje zaostaju: trenutačno stanje i budući izazovi), Europski parlament, Glavna uprava za unutarnju politiku, Resorni odjel za strukturnu i kohezijsku politiku, 26. listopada 2020.</w:t>
      </w:r>
    </w:p>
  </w:footnote>
  <w:footnote w:id="22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Europski revizorski sud, Tematsko izvješće 02/2023 „</w:t>
      </w:r>
      <w:hyperlink r:id="rId1" w:history="1">
        <w:r w:rsidRPr="00AB1FA9">
          <w:rPr>
            <w:rStyle w:val="Hyperlink"/>
            <w:sz w:val="24"/>
            <w:lang w:val="hr-HR"/>
          </w:rPr>
          <w:t>Prilagodba pravila kohezijske politike u svrhu odgovora na pandemiju bolesti COVID-19</w:t>
        </w:r>
      </w:hyperlink>
      <w:r w:rsidRPr="00AB1FA9">
        <w:rPr>
          <w:sz w:val="24"/>
          <w:lang w:val="hr-HR"/>
        </w:rPr>
        <w:t>”, 2. veljače 2023.</w:t>
      </w:r>
    </w:p>
  </w:footnote>
  <w:footnote w:id="23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Europski revizorski sud, </w:t>
      </w:r>
      <w:hyperlink r:id="rId2" w:history="1">
        <w:r w:rsidRPr="00AB1FA9">
          <w:rPr>
            <w:rStyle w:val="Hyperlink"/>
            <w:sz w:val="24"/>
            <w:lang w:val="hr-HR"/>
          </w:rPr>
          <w:t>Godišnje izvješće o izvršenju proračuna EU-a za financijsku godinu 2022.</w:t>
        </w:r>
      </w:hyperlink>
      <w:r w:rsidRPr="00AB1FA9">
        <w:rPr>
          <w:sz w:val="24"/>
          <w:lang w:val="hr-HR"/>
        </w:rPr>
        <w:t>, 5. listopada 2023.</w:t>
      </w:r>
    </w:p>
  </w:footnote>
  <w:footnote w:id="24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Delegirana uredba Komisije (EU) br. 240/2014 </w:t>
      </w:r>
      <w:proofErr w:type="spellStart"/>
      <w:r w:rsidRPr="00AB1FA9">
        <w:rPr>
          <w:sz w:val="24"/>
          <w:lang w:val="hr-HR"/>
        </w:rPr>
        <w:t>оd</w:t>
      </w:r>
      <w:proofErr w:type="spellEnd"/>
      <w:r w:rsidRPr="00AB1FA9">
        <w:rPr>
          <w:sz w:val="24"/>
          <w:lang w:val="hr-HR"/>
        </w:rPr>
        <w:t xml:space="preserve"> 7. siječnja 2014. o europskom kodeksu ponašanja za partnerstvo u okviru Europskih strukturnih</w:t>
      </w:r>
      <w:r w:rsidR="00EA49BE">
        <w:rPr>
          <w:sz w:val="24"/>
          <w:lang w:val="hr-HR"/>
        </w:rPr>
        <w:t xml:space="preserve"> i investicijskih fondova (SL L</w:t>
      </w:r>
      <w:r w:rsidRPr="00AB1FA9">
        <w:rPr>
          <w:sz w:val="24"/>
          <w:lang w:val="hr-HR"/>
        </w:rPr>
        <w:t xml:space="preserve"> 74, 14.3.2014., str. 1.).</w:t>
      </w:r>
    </w:p>
  </w:footnote>
  <w:footnote w:id="25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Radni dokument službi Komisije od 30. siječnja 2023. o sintezi nalaza evaluacija programa europskih strukturnih i investicijskih fondova za razdoblje 2014. – 2020. priložen godišnjem sažetom izvješću za 2022. (SWD(2023)0022).</w:t>
      </w:r>
    </w:p>
  </w:footnote>
  <w:footnote w:id="26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Radni dokument službi Komisije od 15. siječnja 2024. o sintezi nalaza evaluacija programa europskih strukturnih i investicijskih fondova za razdoblje 2014. – 2020. priložen godišnjem sažetom izvješću za 2023. (SWD(2024)0002).</w:t>
      </w:r>
    </w:p>
  </w:footnote>
  <w:footnote w:id="27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Izvješće Komisije od 15. siječnja 2024. naslovljeno „Europski strukturni i investicijski fondovi – Sažeto izvješće o godišnjim izvješćima o provedbi programa za 2023. kojim je obuhvaćena provedba u razdoblju 2014. – 2020.” (COM(2024)0006).</w:t>
      </w:r>
    </w:p>
  </w:footnote>
  <w:footnote w:id="28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Europska komisija, „</w:t>
      </w:r>
      <w:hyperlink r:id="rId3" w:history="1">
        <w:r w:rsidRPr="00AB1FA9">
          <w:rPr>
            <w:rStyle w:val="Hyperlink"/>
            <w:sz w:val="24"/>
            <w:lang w:val="hr-HR"/>
          </w:rPr>
          <w:t>Ključna postignuća regionalne politike za razdoblje 2014. – 2020.</w:t>
        </w:r>
      </w:hyperlink>
      <w:r w:rsidRPr="00AB1FA9">
        <w:rPr>
          <w:sz w:val="24"/>
          <w:lang w:val="hr-HR"/>
        </w:rPr>
        <w:t xml:space="preserve">”, </w:t>
      </w:r>
      <w:proofErr w:type="spellStart"/>
      <w:r w:rsidRPr="00AB1FA9">
        <w:rPr>
          <w:sz w:val="24"/>
          <w:lang w:val="hr-HR"/>
        </w:rPr>
        <w:t>pristupljeno</w:t>
      </w:r>
      <w:proofErr w:type="spellEnd"/>
      <w:r w:rsidRPr="00AB1FA9">
        <w:rPr>
          <w:sz w:val="24"/>
          <w:lang w:val="hr-HR"/>
        </w:rPr>
        <w:t xml:space="preserve"> 20. veljače 2024.</w:t>
      </w:r>
    </w:p>
  </w:footnote>
  <w:footnote w:id="29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Ibid.</w:t>
      </w:r>
    </w:p>
  </w:footnote>
  <w:footnote w:id="30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Ibid.</w:t>
      </w:r>
    </w:p>
  </w:footnote>
  <w:footnote w:id="31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SWD(2023)0022.</w:t>
      </w:r>
    </w:p>
  </w:footnote>
  <w:footnote w:id="32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Ibid.</w:t>
      </w:r>
    </w:p>
  </w:footnote>
  <w:footnote w:id="33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Studija – „Research for </w:t>
      </w:r>
      <w:proofErr w:type="spellStart"/>
      <w:r w:rsidRPr="00AB1FA9">
        <w:rPr>
          <w:sz w:val="24"/>
          <w:lang w:val="hr-HR"/>
        </w:rPr>
        <w:t>the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Committee</w:t>
      </w:r>
      <w:proofErr w:type="spellEnd"/>
      <w:r w:rsidRPr="00AB1FA9">
        <w:rPr>
          <w:sz w:val="24"/>
          <w:lang w:val="hr-HR"/>
        </w:rPr>
        <w:t xml:space="preserve"> on </w:t>
      </w:r>
      <w:proofErr w:type="spellStart"/>
      <w:r w:rsidRPr="00AB1FA9">
        <w:rPr>
          <w:sz w:val="24"/>
          <w:lang w:val="hr-HR"/>
        </w:rPr>
        <w:t>Regional</w:t>
      </w:r>
      <w:proofErr w:type="spellEnd"/>
      <w:r w:rsidRPr="00AB1FA9">
        <w:rPr>
          <w:sz w:val="24"/>
          <w:lang w:val="hr-HR"/>
        </w:rPr>
        <w:t xml:space="preserve"> Development – </w:t>
      </w:r>
      <w:hyperlink r:id="rId4" w:history="1">
        <w:proofErr w:type="spellStart"/>
        <w:r w:rsidRPr="00AB1FA9">
          <w:rPr>
            <w:rStyle w:val="Hyperlink"/>
            <w:sz w:val="24"/>
            <w:lang w:val="hr-HR"/>
          </w:rPr>
          <w:t>Cohesion</w:t>
        </w:r>
        <w:proofErr w:type="spellEnd"/>
        <w:r w:rsidRPr="00AB1FA9">
          <w:rPr>
            <w:rStyle w:val="Hyperlink"/>
            <w:sz w:val="24"/>
            <w:lang w:val="hr-HR"/>
          </w:rPr>
          <w:t xml:space="preserve"> </w:t>
        </w:r>
        <w:proofErr w:type="spellStart"/>
        <w:r w:rsidRPr="00AB1FA9">
          <w:rPr>
            <w:rStyle w:val="Hyperlink"/>
            <w:sz w:val="24"/>
            <w:lang w:val="hr-HR"/>
          </w:rPr>
          <w:t>Policy</w:t>
        </w:r>
        <w:proofErr w:type="spellEnd"/>
        <w:r w:rsidRPr="00AB1FA9">
          <w:rPr>
            <w:rStyle w:val="Hyperlink"/>
            <w:sz w:val="24"/>
            <w:lang w:val="hr-HR"/>
          </w:rPr>
          <w:t xml:space="preserve"> </w:t>
        </w:r>
        <w:proofErr w:type="spellStart"/>
        <w:r w:rsidRPr="00AB1FA9">
          <w:rPr>
            <w:rStyle w:val="Hyperlink"/>
            <w:sz w:val="24"/>
            <w:lang w:val="hr-HR"/>
          </w:rPr>
          <w:t>in</w:t>
        </w:r>
        <w:proofErr w:type="spellEnd"/>
        <w:r w:rsidRPr="00AB1FA9">
          <w:rPr>
            <w:rStyle w:val="Hyperlink"/>
            <w:sz w:val="24"/>
            <w:lang w:val="hr-HR"/>
          </w:rPr>
          <w:t xml:space="preserve"> EU </w:t>
        </w:r>
        <w:proofErr w:type="spellStart"/>
        <w:r w:rsidRPr="00AB1FA9">
          <w:rPr>
            <w:rStyle w:val="Hyperlink"/>
            <w:sz w:val="24"/>
            <w:lang w:val="hr-HR"/>
          </w:rPr>
          <w:t>Coal</w:t>
        </w:r>
        <w:proofErr w:type="spellEnd"/>
        <w:r w:rsidRPr="00AB1FA9">
          <w:rPr>
            <w:rStyle w:val="Hyperlink"/>
            <w:sz w:val="24"/>
            <w:lang w:val="hr-HR"/>
          </w:rPr>
          <w:t xml:space="preserve"> Regions</w:t>
        </w:r>
      </w:hyperlink>
      <w:r w:rsidRPr="00AB1FA9">
        <w:rPr>
          <w:sz w:val="24"/>
          <w:lang w:val="hr-HR"/>
        </w:rPr>
        <w:t>” (Istraživanje za Odbor za regionalni razvoj – Kohezijska politika u rudarskim regijama EU-a), Europski parlament, Glavna uprava za unutarnju politiku, Resorni odjel za strukturnu i kohezijsku politiku, 14. veljače 2023.</w:t>
      </w:r>
    </w:p>
  </w:footnote>
  <w:footnote w:id="34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Europska komisija, „</w:t>
      </w:r>
      <w:hyperlink r:id="rId5" w:history="1">
        <w:r w:rsidRPr="00AB1FA9">
          <w:rPr>
            <w:rStyle w:val="Hyperlink"/>
            <w:sz w:val="24"/>
            <w:lang w:val="hr-HR"/>
          </w:rPr>
          <w:t>Ključna postignuća regionalne politike za razdoblje 2014. – 2020.</w:t>
        </w:r>
      </w:hyperlink>
      <w:r w:rsidRPr="00AB1FA9">
        <w:rPr>
          <w:sz w:val="24"/>
          <w:lang w:val="hr-HR"/>
        </w:rPr>
        <w:t xml:space="preserve">”, </w:t>
      </w:r>
      <w:proofErr w:type="spellStart"/>
      <w:r w:rsidRPr="00AB1FA9">
        <w:rPr>
          <w:sz w:val="24"/>
          <w:lang w:val="hr-HR"/>
        </w:rPr>
        <w:t>pristupljeno</w:t>
      </w:r>
      <w:proofErr w:type="spellEnd"/>
      <w:r w:rsidRPr="00AB1FA9">
        <w:rPr>
          <w:sz w:val="24"/>
          <w:lang w:val="hr-HR"/>
        </w:rPr>
        <w:t xml:space="preserve"> 20. veljače 2024.</w:t>
      </w:r>
    </w:p>
  </w:footnote>
  <w:footnote w:id="35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SWD(2023)0022.</w:t>
      </w:r>
    </w:p>
  </w:footnote>
  <w:footnote w:id="36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SWD(2023)0022, str. 13.</w:t>
      </w:r>
    </w:p>
  </w:footnote>
  <w:footnote w:id="37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Europska komisija, „</w:t>
      </w:r>
      <w:hyperlink r:id="rId6" w:history="1">
        <w:r w:rsidRPr="00AB1FA9">
          <w:rPr>
            <w:sz w:val="24"/>
            <w:lang w:val="hr-HR"/>
          </w:rPr>
          <w:t>Platforma za otvorene podatke o koheziji – tema:</w:t>
        </w:r>
      </w:hyperlink>
      <w:hyperlink r:id="rId7" w:history="1">
        <w:r w:rsidRPr="00AB1FA9">
          <w:rPr>
            <w:sz w:val="24"/>
            <w:lang w:val="hr-HR"/>
          </w:rPr>
          <w:t xml:space="preserve"> Prilagodba klimatskim promjenama i sprečavanje rizika – razdoblje financiranja:</w:t>
        </w:r>
      </w:hyperlink>
      <w:hyperlink r:id="rId8" w:history="1">
        <w:r w:rsidRPr="00AB1FA9">
          <w:rPr>
            <w:sz w:val="24"/>
            <w:lang w:val="hr-HR"/>
          </w:rPr>
          <w:t xml:space="preserve"> 2014. – 2020.</w:t>
        </w:r>
      </w:hyperlink>
      <w:r w:rsidRPr="00AB1FA9">
        <w:rPr>
          <w:sz w:val="24"/>
          <w:lang w:val="hr-HR"/>
        </w:rPr>
        <w:t xml:space="preserve">”, </w:t>
      </w:r>
      <w:proofErr w:type="spellStart"/>
      <w:r w:rsidRPr="00AB1FA9">
        <w:rPr>
          <w:sz w:val="24"/>
          <w:lang w:val="hr-HR"/>
        </w:rPr>
        <w:t>pristupljeno</w:t>
      </w:r>
      <w:proofErr w:type="spellEnd"/>
      <w:r w:rsidRPr="00AB1FA9">
        <w:rPr>
          <w:sz w:val="24"/>
          <w:lang w:val="hr-HR"/>
        </w:rPr>
        <w:t xml:space="preserve"> 20. veljače 2024.</w:t>
      </w:r>
    </w:p>
  </w:footnote>
  <w:footnote w:id="38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Europska komisija, „</w:t>
      </w:r>
      <w:hyperlink r:id="rId9" w:history="1">
        <w:r w:rsidRPr="00AB1FA9">
          <w:rPr>
            <w:rStyle w:val="Hyperlink"/>
            <w:sz w:val="24"/>
            <w:lang w:val="hr-HR"/>
          </w:rPr>
          <w:t>Platforma za otvorene podatke o koheziji – tema:</w:t>
        </w:r>
      </w:hyperlink>
      <w:hyperlink r:id="rId10" w:history="1">
        <w:r w:rsidRPr="00AB1FA9">
          <w:rPr>
            <w:rStyle w:val="Hyperlink"/>
            <w:sz w:val="24"/>
            <w:lang w:val="hr-HR"/>
          </w:rPr>
          <w:t xml:space="preserve"> Zaštita okoliša i učinkovito korištenje resursa – razdoblje financiranja:</w:t>
        </w:r>
      </w:hyperlink>
      <w:hyperlink r:id="rId11" w:history="1">
        <w:r w:rsidRPr="00AB1FA9">
          <w:rPr>
            <w:rStyle w:val="Hyperlink"/>
            <w:sz w:val="24"/>
            <w:lang w:val="hr-HR"/>
          </w:rPr>
          <w:t xml:space="preserve"> 2014. – 2020.</w:t>
        </w:r>
      </w:hyperlink>
      <w:r w:rsidRPr="00AB1FA9">
        <w:rPr>
          <w:sz w:val="24"/>
          <w:lang w:val="hr-HR"/>
        </w:rPr>
        <w:t xml:space="preserve">”, </w:t>
      </w:r>
      <w:proofErr w:type="spellStart"/>
      <w:r w:rsidRPr="00AB1FA9">
        <w:rPr>
          <w:sz w:val="24"/>
          <w:lang w:val="hr-HR"/>
        </w:rPr>
        <w:t>pristupljeno</w:t>
      </w:r>
      <w:proofErr w:type="spellEnd"/>
      <w:r w:rsidRPr="00AB1FA9">
        <w:rPr>
          <w:sz w:val="24"/>
          <w:lang w:val="hr-HR"/>
        </w:rPr>
        <w:t xml:space="preserve"> 20. veljače 2024.</w:t>
      </w:r>
    </w:p>
  </w:footnote>
  <w:footnote w:id="39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SWD(2023)0022, str. 14.</w:t>
      </w:r>
    </w:p>
  </w:footnote>
  <w:footnote w:id="40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Ibid.</w:t>
      </w:r>
    </w:p>
  </w:footnote>
  <w:footnote w:id="41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SWD(2024)0002, str. 9.</w:t>
      </w:r>
    </w:p>
  </w:footnote>
  <w:footnote w:id="42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SWD(2023)0022, str. 14.</w:t>
      </w:r>
    </w:p>
  </w:footnote>
  <w:footnote w:id="43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Europska komisija, „</w:t>
      </w:r>
      <w:hyperlink r:id="rId12" w:history="1">
        <w:r w:rsidRPr="00AB1FA9">
          <w:rPr>
            <w:rStyle w:val="Hyperlink"/>
            <w:sz w:val="24"/>
            <w:lang w:val="hr-HR"/>
          </w:rPr>
          <w:t>Godišnje izvješće o radu za 2022. – Glavna uprava za regionalnu i urbanu politiku</w:t>
        </w:r>
      </w:hyperlink>
      <w:r w:rsidRPr="00AB1FA9">
        <w:rPr>
          <w:sz w:val="24"/>
          <w:lang w:val="hr-HR"/>
        </w:rPr>
        <w:t>”, 20. lipnja 2023.</w:t>
      </w:r>
    </w:p>
  </w:footnote>
  <w:footnote w:id="44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COM(2024)0006, str. 14.</w:t>
      </w:r>
    </w:p>
  </w:footnote>
  <w:footnote w:id="45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SWD(2023)0022, str. 15.</w:t>
      </w:r>
    </w:p>
  </w:footnote>
  <w:footnote w:id="46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proofErr w:type="spellStart"/>
      <w:r w:rsidRPr="00AB1FA9">
        <w:rPr>
          <w:sz w:val="24"/>
          <w:lang w:val="hr-HR"/>
        </w:rPr>
        <w:t>Equinox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Consulting</w:t>
      </w:r>
      <w:proofErr w:type="spellEnd"/>
      <w:r w:rsidRPr="00AB1FA9">
        <w:rPr>
          <w:sz w:val="24"/>
          <w:lang w:val="hr-HR"/>
        </w:rPr>
        <w:t>, „</w:t>
      </w:r>
      <w:proofErr w:type="spellStart"/>
      <w:r w:rsidRPr="00AB1FA9">
        <w:fldChar w:fldCharType="begin"/>
      </w:r>
      <w:r w:rsidRPr="00AB1FA9">
        <w:rPr>
          <w:sz w:val="24"/>
          <w:lang w:val="hr-HR"/>
        </w:rPr>
        <w:instrText xml:space="preserve"> HYPERLINK "https://files.evaluationhelpdesk.eu/evaluations/HUE31.pdf" </w:instrText>
      </w:r>
      <w:r w:rsidRPr="00AB1FA9">
        <w:fldChar w:fldCharType="separate"/>
      </w:r>
      <w:r w:rsidRPr="00AB1FA9">
        <w:rPr>
          <w:rStyle w:val="Hyperlink"/>
          <w:sz w:val="24"/>
          <w:lang w:val="hr-HR"/>
        </w:rPr>
        <w:t>Az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Ifjúsági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foglalkoztatási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Kezdeményezés</w:t>
      </w:r>
      <w:proofErr w:type="spellEnd"/>
      <w:r w:rsidRPr="00AB1FA9">
        <w:rPr>
          <w:rStyle w:val="Hyperlink"/>
          <w:sz w:val="24"/>
          <w:lang w:val="hr-HR"/>
        </w:rPr>
        <w:t xml:space="preserve"> – </w:t>
      </w:r>
      <w:proofErr w:type="spellStart"/>
      <w:r w:rsidRPr="00AB1FA9">
        <w:rPr>
          <w:rStyle w:val="Hyperlink"/>
          <w:sz w:val="24"/>
          <w:lang w:val="hr-HR"/>
        </w:rPr>
        <w:t>eredményeinek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értékelése</w:t>
      </w:r>
      <w:proofErr w:type="spellEnd"/>
      <w:r w:rsidRPr="00AB1FA9">
        <w:rPr>
          <w:rStyle w:val="Hyperlink"/>
          <w:sz w:val="24"/>
          <w:lang w:val="hr-HR"/>
        </w:rPr>
        <w:fldChar w:fldCharType="end"/>
      </w:r>
      <w:r w:rsidRPr="00AB1FA9">
        <w:rPr>
          <w:sz w:val="24"/>
          <w:lang w:val="hr-HR"/>
        </w:rPr>
        <w:t xml:space="preserve">” (Evaluacija </w:t>
      </w:r>
      <w:r w:rsidR="00D37EC7">
        <w:rPr>
          <w:sz w:val="24"/>
          <w:lang w:val="hr-HR"/>
        </w:rPr>
        <w:t xml:space="preserve">Inicijative za zapošljavanje </w:t>
      </w:r>
      <w:proofErr w:type="spellStart"/>
      <w:r w:rsidR="00D37EC7">
        <w:rPr>
          <w:sz w:val="24"/>
          <w:lang w:val="hr-HR"/>
        </w:rPr>
        <w:t>mladih</w:t>
      </w:r>
      <w:r w:rsidRPr="00AB1FA9">
        <w:rPr>
          <w:sz w:val="24"/>
          <w:lang w:val="hr-HR"/>
        </w:rPr>
        <w:t>j</w:t>
      </w:r>
      <w:proofErr w:type="spellEnd"/>
      <w:r w:rsidRPr="00AB1FA9">
        <w:rPr>
          <w:sz w:val="24"/>
          <w:lang w:val="hr-HR"/>
        </w:rPr>
        <w:t>)”, 2018.</w:t>
      </w:r>
    </w:p>
  </w:footnote>
  <w:footnote w:id="47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proofErr w:type="spellStart"/>
      <w:r w:rsidRPr="00AB1FA9">
        <w:rPr>
          <w:sz w:val="24"/>
          <w:lang w:val="hr-HR"/>
        </w:rPr>
        <w:t>Kopint-Tárki</w:t>
      </w:r>
      <w:proofErr w:type="spellEnd"/>
      <w:r w:rsidRPr="00AB1FA9">
        <w:rPr>
          <w:sz w:val="24"/>
          <w:lang w:val="hr-HR"/>
        </w:rPr>
        <w:t>, Izvješće pripremljeno za mađarsko Ministarstvo inovacija i tehnologije „</w:t>
      </w:r>
      <w:hyperlink r:id="rId13" w:history="1">
        <w:r w:rsidRPr="00AB1FA9">
          <w:rPr>
            <w:rStyle w:val="Hyperlink"/>
            <w:sz w:val="24"/>
            <w:lang w:val="hr-HR"/>
          </w:rPr>
          <w:t>Procjena programa potpore integraciji na tržište rada – Okvirni ugovor za provedbu procjena razvojnih programa koji se sufinanciraju iz fondova u okviru kohezijske politike EU-a, u 9 dijelova – Dio III.:</w:t>
        </w:r>
      </w:hyperlink>
      <w:hyperlink r:id="rId14" w:history="1">
        <w:r w:rsidRPr="00AB1FA9">
          <w:rPr>
            <w:rStyle w:val="Hyperlink"/>
            <w:sz w:val="24"/>
            <w:lang w:val="hr-HR"/>
          </w:rPr>
          <w:t xml:space="preserve"> Procjena učinka na tržište rada i socijalne ishode</w:t>
        </w:r>
      </w:hyperlink>
      <w:r w:rsidRPr="00AB1FA9">
        <w:rPr>
          <w:sz w:val="24"/>
          <w:lang w:val="hr-HR"/>
        </w:rPr>
        <w:t>”, 15. siječnja 2021.</w:t>
      </w:r>
    </w:p>
  </w:footnote>
  <w:footnote w:id="48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proofErr w:type="spellStart"/>
      <w:r w:rsidRPr="00AB1FA9">
        <w:rPr>
          <w:sz w:val="24"/>
          <w:lang w:val="hr-HR"/>
        </w:rPr>
        <w:t>Wolf-Watz</w:t>
      </w:r>
      <w:proofErr w:type="spellEnd"/>
      <w:r w:rsidRPr="00AB1FA9">
        <w:rPr>
          <w:sz w:val="24"/>
          <w:lang w:val="hr-HR"/>
        </w:rPr>
        <w:t xml:space="preserve">, O. </w:t>
      </w:r>
      <w:r w:rsidRPr="00AB1FA9">
        <w:rPr>
          <w:sz w:val="24"/>
          <w:lang w:val="hr-HR"/>
        </w:rPr>
        <w:t xml:space="preserve">i </w:t>
      </w:r>
      <w:proofErr w:type="spellStart"/>
      <w:r w:rsidRPr="00AB1FA9">
        <w:rPr>
          <w:sz w:val="24"/>
          <w:lang w:val="hr-HR"/>
        </w:rPr>
        <w:t>Öhlin</w:t>
      </w:r>
      <w:proofErr w:type="spellEnd"/>
      <w:r w:rsidRPr="00AB1FA9">
        <w:rPr>
          <w:sz w:val="24"/>
          <w:lang w:val="hr-HR"/>
        </w:rPr>
        <w:t>, J., „</w:t>
      </w:r>
      <w:proofErr w:type="spellStart"/>
      <w:r w:rsidRPr="00AB1FA9">
        <w:fldChar w:fldCharType="begin"/>
      </w:r>
      <w:r w:rsidRPr="00AB1FA9">
        <w:rPr>
          <w:sz w:val="24"/>
          <w:lang w:val="hr-HR"/>
        </w:rPr>
        <w:instrText xml:space="preserve"> HYPERLINK "https://ec.europa.eu/regional_policy/policy/evaluations/member-states/see14_en" </w:instrText>
      </w:r>
      <w:r w:rsidRPr="00AB1FA9">
        <w:fldChar w:fldCharType="separate"/>
      </w:r>
      <w:r w:rsidRPr="00AB1FA9">
        <w:rPr>
          <w:rStyle w:val="Hyperlink"/>
          <w:sz w:val="24"/>
          <w:lang w:val="hr-HR"/>
        </w:rPr>
        <w:t>Evaluation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of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the</w:t>
      </w:r>
      <w:proofErr w:type="spellEnd"/>
      <w:r w:rsidRPr="00AB1FA9">
        <w:rPr>
          <w:rStyle w:val="Hyperlink"/>
          <w:sz w:val="24"/>
          <w:lang w:val="hr-HR"/>
        </w:rPr>
        <w:t xml:space="preserve"> YEI</w:t>
      </w:r>
      <w:r w:rsidRPr="00AB1FA9">
        <w:rPr>
          <w:rStyle w:val="Hyperlink"/>
          <w:sz w:val="24"/>
          <w:lang w:val="hr-HR"/>
        </w:rPr>
        <w:fldChar w:fldCharType="end"/>
      </w:r>
      <w:r w:rsidRPr="00AB1FA9">
        <w:rPr>
          <w:sz w:val="24"/>
          <w:lang w:val="hr-HR"/>
        </w:rPr>
        <w:t>” (Evaluacija Inicijative za zapošljavanje mladih), prosinac 2018.</w:t>
      </w:r>
    </w:p>
  </w:footnote>
  <w:footnote w:id="49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SWD(2023)0022, str. 16.</w:t>
      </w:r>
    </w:p>
  </w:footnote>
  <w:footnote w:id="50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SÖSTRA – Institut </w:t>
      </w:r>
      <w:proofErr w:type="spellStart"/>
      <w:r w:rsidRPr="00AB1FA9">
        <w:rPr>
          <w:sz w:val="24"/>
          <w:lang w:val="hr-HR"/>
        </w:rPr>
        <w:t>für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sozialökonomische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Strukturanalysen</w:t>
      </w:r>
      <w:proofErr w:type="spellEnd"/>
      <w:r w:rsidRPr="00AB1FA9">
        <w:rPr>
          <w:sz w:val="24"/>
          <w:lang w:val="hr-HR"/>
        </w:rPr>
        <w:t>, „</w:t>
      </w:r>
      <w:proofErr w:type="spellStart"/>
      <w:r w:rsidRPr="00AB1FA9">
        <w:fldChar w:fldCharType="begin"/>
      </w:r>
      <w:r w:rsidRPr="00AB1FA9">
        <w:rPr>
          <w:sz w:val="24"/>
          <w:lang w:val="hr-HR"/>
        </w:rPr>
        <w:instrText xml:space="preserve"> HYPERLINK "https://files.evaluationhelpdesk.eu/evaluations/DEE168.pdf" </w:instrText>
      </w:r>
      <w:r w:rsidRPr="00AB1FA9">
        <w:fldChar w:fldCharType="separate"/>
      </w:r>
      <w:r w:rsidRPr="00AB1FA9">
        <w:rPr>
          <w:rStyle w:val="Hyperlink"/>
          <w:sz w:val="24"/>
          <w:lang w:val="hr-HR"/>
        </w:rPr>
        <w:t>Übergreifende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Programmevaluierung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der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Förderung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durch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den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Europäischen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Sozialfonds</w:t>
      </w:r>
      <w:proofErr w:type="spellEnd"/>
      <w:r w:rsidRPr="00AB1FA9">
        <w:rPr>
          <w:rStyle w:val="Hyperlink"/>
          <w:sz w:val="24"/>
          <w:lang w:val="hr-HR"/>
        </w:rPr>
        <w:t xml:space="preserve"> (ESF) im </w:t>
      </w:r>
      <w:proofErr w:type="spellStart"/>
      <w:r w:rsidRPr="00AB1FA9">
        <w:rPr>
          <w:rStyle w:val="Hyperlink"/>
          <w:sz w:val="24"/>
          <w:lang w:val="hr-HR"/>
        </w:rPr>
        <w:t>Freistaat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Thüringen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in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der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Förderperiode</w:t>
      </w:r>
      <w:proofErr w:type="spellEnd"/>
      <w:r w:rsidRPr="00AB1FA9">
        <w:rPr>
          <w:rStyle w:val="Hyperlink"/>
          <w:sz w:val="24"/>
          <w:lang w:val="hr-HR"/>
        </w:rPr>
        <w:t xml:space="preserve"> 2014 bis 2020 – </w:t>
      </w:r>
      <w:proofErr w:type="spellStart"/>
      <w:r w:rsidRPr="00AB1FA9">
        <w:rPr>
          <w:rStyle w:val="Hyperlink"/>
          <w:sz w:val="24"/>
          <w:lang w:val="hr-HR"/>
        </w:rPr>
        <w:t>Abschlussbericht</w:t>
      </w:r>
      <w:proofErr w:type="spellEnd"/>
      <w:r w:rsidRPr="00AB1FA9">
        <w:rPr>
          <w:rStyle w:val="Hyperlink"/>
          <w:sz w:val="24"/>
          <w:lang w:val="hr-HR"/>
        </w:rPr>
        <w:fldChar w:fldCharType="end"/>
      </w:r>
      <w:r w:rsidRPr="00AB1FA9">
        <w:rPr>
          <w:sz w:val="24"/>
          <w:lang w:val="hr-HR"/>
        </w:rPr>
        <w:t>” (</w:t>
      </w:r>
      <w:proofErr w:type="spellStart"/>
      <w:r w:rsidRPr="00AB1FA9">
        <w:rPr>
          <w:sz w:val="24"/>
          <w:lang w:val="hr-HR"/>
        </w:rPr>
        <w:t>Prekosektorska</w:t>
      </w:r>
      <w:proofErr w:type="spellEnd"/>
      <w:r w:rsidRPr="00AB1FA9">
        <w:rPr>
          <w:sz w:val="24"/>
          <w:lang w:val="hr-HR"/>
        </w:rPr>
        <w:t xml:space="preserve"> evaluacija programa financiranja iz Europskog socijalnog fonda (ESF) u Slobodnoj državi Tiringiji u razdoblju financiranja od 2014. do 2020. – završno izvješće), 2020.</w:t>
      </w:r>
    </w:p>
  </w:footnote>
  <w:footnote w:id="51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proofErr w:type="spellStart"/>
      <w:r w:rsidRPr="00AB1FA9">
        <w:rPr>
          <w:sz w:val="24"/>
          <w:lang w:val="hr-HR"/>
        </w:rPr>
        <w:t>Touchpoints</w:t>
      </w:r>
      <w:proofErr w:type="spellEnd"/>
      <w:r w:rsidRPr="00AB1FA9">
        <w:rPr>
          <w:sz w:val="24"/>
          <w:lang w:val="hr-HR"/>
        </w:rPr>
        <w:t xml:space="preserve"> ASBL, „</w:t>
      </w:r>
      <w:hyperlink r:id="rId15" w:history="1">
        <w:r w:rsidRPr="00AB1FA9">
          <w:rPr>
            <w:rStyle w:val="Hyperlink"/>
            <w:sz w:val="24"/>
            <w:lang w:val="hr-HR"/>
          </w:rPr>
          <w:t>Godišnje izvješće za 2020.</w:t>
        </w:r>
      </w:hyperlink>
      <w:r w:rsidRPr="00AB1FA9">
        <w:rPr>
          <w:sz w:val="24"/>
          <w:lang w:val="hr-HR"/>
        </w:rPr>
        <w:t>”, 1. lipnja 2021.</w:t>
      </w:r>
    </w:p>
  </w:footnote>
  <w:footnote w:id="52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Europska komisija, „</w:t>
      </w:r>
      <w:hyperlink r:id="rId16" w:history="1">
        <w:r w:rsidRPr="00AB1FA9">
          <w:rPr>
            <w:rStyle w:val="Hyperlink"/>
            <w:sz w:val="24"/>
            <w:lang w:val="hr-HR"/>
          </w:rPr>
          <w:t>Platforma za otvorene podatke o koheziji – tema:</w:t>
        </w:r>
      </w:hyperlink>
      <w:hyperlink r:id="rId17" w:history="1">
        <w:r w:rsidRPr="00AB1FA9">
          <w:rPr>
            <w:rStyle w:val="Hyperlink"/>
            <w:sz w:val="24"/>
            <w:lang w:val="hr-HR"/>
          </w:rPr>
          <w:t xml:space="preserve"> Socijalna uključenost – razdoblje financiranja:</w:t>
        </w:r>
      </w:hyperlink>
      <w:hyperlink r:id="rId18" w:history="1">
        <w:r w:rsidRPr="00AB1FA9">
          <w:rPr>
            <w:rStyle w:val="Hyperlink"/>
            <w:sz w:val="24"/>
            <w:lang w:val="hr-HR"/>
          </w:rPr>
          <w:t>2014. – 2020.</w:t>
        </w:r>
      </w:hyperlink>
      <w:r w:rsidRPr="00AB1FA9">
        <w:rPr>
          <w:sz w:val="24"/>
          <w:lang w:val="hr-HR"/>
        </w:rPr>
        <w:t xml:space="preserve">”, </w:t>
      </w:r>
      <w:proofErr w:type="spellStart"/>
      <w:r w:rsidRPr="00AB1FA9">
        <w:rPr>
          <w:sz w:val="24"/>
          <w:lang w:val="hr-HR"/>
        </w:rPr>
        <w:t>pristupljeno</w:t>
      </w:r>
      <w:proofErr w:type="spellEnd"/>
      <w:r w:rsidRPr="00AB1FA9">
        <w:rPr>
          <w:sz w:val="24"/>
          <w:lang w:val="hr-HR"/>
        </w:rPr>
        <w:t xml:space="preserve"> 20. veljače 2024. </w:t>
      </w:r>
    </w:p>
  </w:footnote>
  <w:footnote w:id="53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SWD(2023)0022, str. 17.</w:t>
      </w:r>
    </w:p>
  </w:footnote>
  <w:footnote w:id="54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Europska komisija, „</w:t>
      </w:r>
      <w:hyperlink r:id="rId19" w:anchor="achievements" w:history="1">
        <w:r w:rsidRPr="00AB1FA9">
          <w:rPr>
            <w:rStyle w:val="Hyperlink"/>
            <w:sz w:val="24"/>
            <w:lang w:val="hr-HR"/>
          </w:rPr>
          <w:t>Platforma za otvorene podatke o koheziji – fond:</w:t>
        </w:r>
      </w:hyperlink>
      <w:hyperlink r:id="rId20" w:anchor="achievements" w:history="1">
        <w:r w:rsidRPr="00AB1FA9">
          <w:rPr>
            <w:rStyle w:val="Hyperlink"/>
            <w:sz w:val="24"/>
            <w:lang w:val="hr-HR"/>
          </w:rPr>
          <w:t xml:space="preserve"> EFRR – Razdoblje financiranja:</w:t>
        </w:r>
      </w:hyperlink>
      <w:hyperlink r:id="rId21" w:anchor="achievements" w:history="1">
        <w:r w:rsidRPr="00AB1FA9">
          <w:rPr>
            <w:rStyle w:val="Hyperlink"/>
            <w:sz w:val="24"/>
            <w:lang w:val="hr-HR"/>
          </w:rPr>
          <w:t>2014. – 2020.</w:t>
        </w:r>
      </w:hyperlink>
      <w:r w:rsidRPr="00AB1FA9">
        <w:rPr>
          <w:sz w:val="24"/>
          <w:lang w:val="hr-HR"/>
        </w:rPr>
        <w:t xml:space="preserve">”, </w:t>
      </w:r>
      <w:proofErr w:type="spellStart"/>
      <w:r w:rsidRPr="00AB1FA9">
        <w:rPr>
          <w:sz w:val="24"/>
          <w:lang w:val="hr-HR"/>
        </w:rPr>
        <w:t>pristupljeno</w:t>
      </w:r>
      <w:proofErr w:type="spellEnd"/>
      <w:r w:rsidRPr="00AB1FA9">
        <w:rPr>
          <w:sz w:val="24"/>
          <w:lang w:val="hr-HR"/>
        </w:rPr>
        <w:t xml:space="preserve"> 20. veljače 2024.</w:t>
      </w:r>
    </w:p>
  </w:footnote>
  <w:footnote w:id="55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SWD(2024)0002, str. 15. </w:t>
      </w:r>
    </w:p>
  </w:footnote>
  <w:footnote w:id="56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SWD(2024)0002, str. 15. </w:t>
      </w:r>
    </w:p>
  </w:footnote>
  <w:footnote w:id="57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proofErr w:type="spellStart"/>
      <w:r w:rsidRPr="00AB1FA9">
        <w:rPr>
          <w:sz w:val="24"/>
          <w:lang w:val="hr-HR"/>
        </w:rPr>
        <w:t>Civitta</w:t>
      </w:r>
      <w:proofErr w:type="spellEnd"/>
      <w:r w:rsidRPr="00AB1FA9">
        <w:rPr>
          <w:sz w:val="24"/>
          <w:lang w:val="hr-HR"/>
        </w:rPr>
        <w:t xml:space="preserve"> International i Bečki institut za međunarodne ekonomske studije, „</w:t>
      </w:r>
      <w:proofErr w:type="spellStart"/>
      <w:r w:rsidRPr="00AB1FA9">
        <w:fldChar w:fldCharType="begin"/>
      </w:r>
      <w:r w:rsidRPr="00AB1FA9">
        <w:rPr>
          <w:sz w:val="24"/>
          <w:lang w:val="hr-HR"/>
        </w:rPr>
        <w:instrText xml:space="preserve"> HYPERLINK "https://ec.europa.eu/regional_policy/policy/evaluations/member-states/ate37_en" </w:instrText>
      </w:r>
      <w:r w:rsidRPr="00AB1FA9">
        <w:fldChar w:fldCharType="separate"/>
      </w:r>
      <w:r w:rsidRPr="00AB1FA9">
        <w:rPr>
          <w:rStyle w:val="Hyperlink"/>
          <w:sz w:val="24"/>
          <w:lang w:val="hr-HR"/>
        </w:rPr>
        <w:t>Impact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Evaluation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Report</w:t>
      </w:r>
      <w:proofErr w:type="spellEnd"/>
      <w:r w:rsidRPr="00AB1FA9">
        <w:rPr>
          <w:rStyle w:val="Hyperlink"/>
          <w:sz w:val="24"/>
          <w:lang w:val="hr-HR"/>
        </w:rPr>
        <w:t xml:space="preserve"> for </w:t>
      </w:r>
      <w:proofErr w:type="spellStart"/>
      <w:r w:rsidRPr="00AB1FA9">
        <w:rPr>
          <w:rStyle w:val="Hyperlink"/>
          <w:sz w:val="24"/>
          <w:lang w:val="hr-HR"/>
        </w:rPr>
        <w:t>the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Impact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Evaluation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of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the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Interreg</w:t>
      </w:r>
      <w:proofErr w:type="spellEnd"/>
      <w:r w:rsidRPr="00AB1FA9">
        <w:rPr>
          <w:rStyle w:val="Hyperlink"/>
          <w:sz w:val="24"/>
          <w:lang w:val="hr-HR"/>
        </w:rPr>
        <w:t xml:space="preserve"> CENTRAL EUROPE </w:t>
      </w:r>
      <w:proofErr w:type="spellStart"/>
      <w:r w:rsidRPr="00AB1FA9">
        <w:rPr>
          <w:rStyle w:val="Hyperlink"/>
          <w:sz w:val="24"/>
          <w:lang w:val="hr-HR"/>
        </w:rPr>
        <w:t>Programme</w:t>
      </w:r>
      <w:proofErr w:type="spellEnd"/>
      <w:r w:rsidRPr="00AB1FA9">
        <w:rPr>
          <w:rStyle w:val="Hyperlink"/>
          <w:sz w:val="24"/>
          <w:lang w:val="hr-HR"/>
        </w:rPr>
        <w:t xml:space="preserve"> – </w:t>
      </w:r>
      <w:proofErr w:type="spellStart"/>
      <w:r w:rsidRPr="00AB1FA9">
        <w:rPr>
          <w:rStyle w:val="Hyperlink"/>
          <w:sz w:val="24"/>
          <w:lang w:val="hr-HR"/>
        </w:rPr>
        <w:t>Phase</w:t>
      </w:r>
      <w:proofErr w:type="spellEnd"/>
      <w:r w:rsidRPr="00AB1FA9">
        <w:rPr>
          <w:rStyle w:val="Hyperlink"/>
          <w:sz w:val="24"/>
          <w:lang w:val="hr-HR"/>
        </w:rPr>
        <w:t xml:space="preserve"> 1</w:t>
      </w:r>
      <w:r w:rsidRPr="00AB1FA9">
        <w:rPr>
          <w:rStyle w:val="Hyperlink"/>
          <w:sz w:val="24"/>
          <w:lang w:val="hr-HR"/>
        </w:rPr>
        <w:fldChar w:fldCharType="end"/>
      </w:r>
      <w:r w:rsidRPr="00AB1FA9">
        <w:rPr>
          <w:sz w:val="24"/>
          <w:lang w:val="hr-HR"/>
        </w:rPr>
        <w:t xml:space="preserve">” (Izvješće o evaluaciji učinka za evaluaciju učinka programa </w:t>
      </w:r>
      <w:proofErr w:type="spellStart"/>
      <w:r w:rsidRPr="00AB1FA9">
        <w:rPr>
          <w:sz w:val="24"/>
          <w:lang w:val="hr-HR"/>
        </w:rPr>
        <w:t>Interreg</w:t>
      </w:r>
      <w:proofErr w:type="spellEnd"/>
      <w:r w:rsidRPr="00AB1FA9">
        <w:rPr>
          <w:sz w:val="24"/>
          <w:lang w:val="hr-HR"/>
        </w:rPr>
        <w:t xml:space="preserve"> za središnju Europu – faza 1.), veljača 2022. </w:t>
      </w:r>
    </w:p>
  </w:footnote>
  <w:footnote w:id="58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SWD(2023)0022, str. 20. </w:t>
      </w:r>
    </w:p>
  </w:footnote>
  <w:footnote w:id="59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SWD(2024)0002, str. 15. </w:t>
      </w:r>
    </w:p>
  </w:footnote>
  <w:footnote w:id="60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SWD(2023)0022, str. 20.</w:t>
      </w:r>
    </w:p>
  </w:footnote>
  <w:footnote w:id="61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Europska komisija, „</w:t>
      </w:r>
      <w:proofErr w:type="spellStart"/>
      <w:r w:rsidRPr="00AB1FA9">
        <w:fldChar w:fldCharType="begin"/>
      </w:r>
      <w:r w:rsidRPr="00AB1FA9">
        <w:rPr>
          <w:sz w:val="24"/>
          <w:lang w:val="hr-HR"/>
        </w:rPr>
        <w:instrText xml:space="preserve"> HYPERLINK "https://cohesiondata.ec.europa.eu/stories/s/CORONAVIRUS-DASHBOARD-COHESION-POLICY-RESPONSE/4e2z-pw8r/" </w:instrText>
      </w:r>
      <w:r w:rsidRPr="00AB1FA9">
        <w:fldChar w:fldCharType="separate"/>
      </w:r>
      <w:r w:rsidRPr="00AB1FA9">
        <w:rPr>
          <w:rStyle w:val="Hyperlink"/>
          <w:sz w:val="24"/>
          <w:lang w:val="hr-HR"/>
        </w:rPr>
        <w:t>Coronavirus</w:t>
      </w:r>
      <w:proofErr w:type="spellEnd"/>
      <w:r w:rsidRPr="00AB1FA9">
        <w:rPr>
          <w:rStyle w:val="Hyperlink"/>
          <w:sz w:val="24"/>
          <w:lang w:val="hr-HR"/>
        </w:rPr>
        <w:t xml:space="preserve"> </w:t>
      </w:r>
      <w:proofErr w:type="spellStart"/>
      <w:r w:rsidRPr="00AB1FA9">
        <w:rPr>
          <w:rStyle w:val="Hyperlink"/>
          <w:sz w:val="24"/>
          <w:lang w:val="hr-HR"/>
        </w:rPr>
        <w:t>Dashboard</w:t>
      </w:r>
      <w:proofErr w:type="spellEnd"/>
      <w:r w:rsidRPr="00AB1FA9">
        <w:rPr>
          <w:rStyle w:val="Hyperlink"/>
          <w:sz w:val="24"/>
          <w:lang w:val="hr-HR"/>
        </w:rPr>
        <w:t>:</w:t>
      </w:r>
      <w:r w:rsidRPr="00AB1FA9">
        <w:rPr>
          <w:rStyle w:val="Hyperlink"/>
          <w:sz w:val="24"/>
          <w:lang w:val="hr-HR"/>
        </w:rPr>
        <w:fldChar w:fldCharType="end"/>
      </w:r>
      <w:hyperlink r:id="rId22" w:history="1">
        <w:r w:rsidRPr="00AB1FA9">
          <w:rPr>
            <w:rStyle w:val="Hyperlink"/>
            <w:sz w:val="24"/>
            <w:lang w:val="hr-HR"/>
          </w:rPr>
          <w:t xml:space="preserve"> EU </w:t>
        </w:r>
        <w:proofErr w:type="spellStart"/>
        <w:r w:rsidRPr="00AB1FA9">
          <w:rPr>
            <w:rStyle w:val="Hyperlink"/>
            <w:sz w:val="24"/>
            <w:lang w:val="hr-HR"/>
          </w:rPr>
          <w:t>cohesion</w:t>
        </w:r>
        <w:proofErr w:type="spellEnd"/>
        <w:r w:rsidRPr="00AB1FA9">
          <w:rPr>
            <w:rStyle w:val="Hyperlink"/>
            <w:sz w:val="24"/>
            <w:lang w:val="hr-HR"/>
          </w:rPr>
          <w:t xml:space="preserve"> </w:t>
        </w:r>
        <w:proofErr w:type="spellStart"/>
        <w:r w:rsidRPr="00AB1FA9">
          <w:rPr>
            <w:rStyle w:val="Hyperlink"/>
            <w:sz w:val="24"/>
            <w:lang w:val="hr-HR"/>
          </w:rPr>
          <w:t>policy</w:t>
        </w:r>
        <w:proofErr w:type="spellEnd"/>
        <w:r w:rsidRPr="00AB1FA9">
          <w:rPr>
            <w:rStyle w:val="Hyperlink"/>
            <w:sz w:val="24"/>
            <w:lang w:val="hr-HR"/>
          </w:rPr>
          <w:t xml:space="preserve"> </w:t>
        </w:r>
        <w:proofErr w:type="spellStart"/>
        <w:r w:rsidRPr="00AB1FA9">
          <w:rPr>
            <w:rStyle w:val="Hyperlink"/>
            <w:sz w:val="24"/>
            <w:lang w:val="hr-HR"/>
          </w:rPr>
          <w:t>response</w:t>
        </w:r>
        <w:proofErr w:type="spellEnd"/>
        <w:r w:rsidRPr="00AB1FA9">
          <w:rPr>
            <w:rStyle w:val="Hyperlink"/>
            <w:sz w:val="24"/>
            <w:lang w:val="hr-HR"/>
          </w:rPr>
          <w:t xml:space="preserve"> to </w:t>
        </w:r>
        <w:proofErr w:type="spellStart"/>
        <w:r w:rsidRPr="00AB1FA9">
          <w:rPr>
            <w:rStyle w:val="Hyperlink"/>
            <w:sz w:val="24"/>
            <w:lang w:val="hr-HR"/>
          </w:rPr>
          <w:t>the</w:t>
        </w:r>
        <w:proofErr w:type="spellEnd"/>
        <w:r w:rsidRPr="00AB1FA9">
          <w:rPr>
            <w:rStyle w:val="Hyperlink"/>
            <w:sz w:val="24"/>
            <w:lang w:val="hr-HR"/>
          </w:rPr>
          <w:t xml:space="preserve"> </w:t>
        </w:r>
        <w:proofErr w:type="spellStart"/>
        <w:r w:rsidRPr="00AB1FA9">
          <w:rPr>
            <w:rStyle w:val="Hyperlink"/>
            <w:sz w:val="24"/>
            <w:lang w:val="hr-HR"/>
          </w:rPr>
          <w:t>crisis</w:t>
        </w:r>
        <w:proofErr w:type="spellEnd"/>
      </w:hyperlink>
      <w:r w:rsidRPr="00AB1FA9">
        <w:rPr>
          <w:sz w:val="24"/>
          <w:lang w:val="hr-HR"/>
        </w:rPr>
        <w:t xml:space="preserve">” (Pregled podataka o </w:t>
      </w:r>
      <w:proofErr w:type="spellStart"/>
      <w:r w:rsidRPr="00AB1FA9">
        <w:rPr>
          <w:sz w:val="24"/>
          <w:lang w:val="hr-HR"/>
        </w:rPr>
        <w:t>koronavirusu</w:t>
      </w:r>
      <w:proofErr w:type="spellEnd"/>
      <w:r w:rsidRPr="00AB1FA9">
        <w:rPr>
          <w:sz w:val="24"/>
          <w:lang w:val="hr-HR"/>
        </w:rPr>
        <w:t>: odgovor kohezijske politike EU-a na krizu), 18. listopada 2023.</w:t>
      </w:r>
    </w:p>
  </w:footnote>
  <w:footnote w:id="62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Ibid. </w:t>
      </w:r>
    </w:p>
  </w:footnote>
  <w:footnote w:id="63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SWD(2024)0002, str. 16. </w:t>
      </w:r>
    </w:p>
  </w:footnote>
  <w:footnote w:id="64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 xml:space="preserve">SWD(2023)0022, str. 18. </w:t>
      </w:r>
    </w:p>
  </w:footnote>
  <w:footnote w:id="65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Radni dokument službi Komisije od 14. srpnja 2023. naslovljen „</w:t>
      </w:r>
      <w:proofErr w:type="spellStart"/>
      <w:r w:rsidRPr="00AB1FA9">
        <w:rPr>
          <w:sz w:val="24"/>
          <w:lang w:val="hr-HR"/>
        </w:rPr>
        <w:t>Preliminary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evaluation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of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the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support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provided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by</w:t>
      </w:r>
      <w:proofErr w:type="spellEnd"/>
      <w:r w:rsidRPr="00AB1FA9">
        <w:rPr>
          <w:sz w:val="24"/>
          <w:lang w:val="hr-HR"/>
        </w:rPr>
        <w:t xml:space="preserve"> ESF </w:t>
      </w:r>
      <w:proofErr w:type="spellStart"/>
      <w:r w:rsidRPr="00AB1FA9">
        <w:rPr>
          <w:sz w:val="24"/>
          <w:lang w:val="hr-HR"/>
        </w:rPr>
        <w:t>and</w:t>
      </w:r>
      <w:proofErr w:type="spellEnd"/>
      <w:r w:rsidRPr="00AB1FA9">
        <w:rPr>
          <w:sz w:val="24"/>
          <w:lang w:val="hr-HR"/>
        </w:rPr>
        <w:t xml:space="preserve"> FEAD </w:t>
      </w:r>
      <w:proofErr w:type="spellStart"/>
      <w:r w:rsidRPr="00AB1FA9">
        <w:rPr>
          <w:sz w:val="24"/>
          <w:lang w:val="hr-HR"/>
        </w:rPr>
        <w:t>under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the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Coronavirus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Response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Investment</w:t>
      </w:r>
      <w:proofErr w:type="spellEnd"/>
      <w:r w:rsidRPr="00AB1FA9">
        <w:rPr>
          <w:sz w:val="24"/>
          <w:lang w:val="hr-HR"/>
        </w:rPr>
        <w:t xml:space="preserve"> </w:t>
      </w:r>
      <w:proofErr w:type="spellStart"/>
      <w:r w:rsidRPr="00AB1FA9">
        <w:rPr>
          <w:sz w:val="24"/>
          <w:lang w:val="hr-HR"/>
        </w:rPr>
        <w:t>Initiatives</w:t>
      </w:r>
      <w:proofErr w:type="spellEnd"/>
      <w:r w:rsidRPr="00AB1FA9">
        <w:rPr>
          <w:sz w:val="24"/>
          <w:lang w:val="hr-HR"/>
        </w:rPr>
        <w:t xml:space="preserve"> (CRII </w:t>
      </w:r>
      <w:proofErr w:type="spellStart"/>
      <w:r w:rsidRPr="00AB1FA9">
        <w:rPr>
          <w:sz w:val="24"/>
          <w:lang w:val="hr-HR"/>
        </w:rPr>
        <w:t>and</w:t>
      </w:r>
      <w:proofErr w:type="spellEnd"/>
      <w:r w:rsidRPr="00AB1FA9">
        <w:rPr>
          <w:sz w:val="24"/>
          <w:lang w:val="hr-HR"/>
        </w:rPr>
        <w:t xml:space="preserve"> CRII+)” (Preliminarna procjena potpore koju pružaju ESF i FEAD u okviru investicijskih inicijativa kao odgovor na koronavirus (CRII i CRII+)) (SWD(2023)0249).</w:t>
      </w:r>
    </w:p>
  </w:footnote>
  <w:footnote w:id="66">
    <w:p w:rsidR="00C7319C" w:rsidRPr="00AB1FA9" w:rsidRDefault="00C7319C" w:rsidP="00AB1FA9">
      <w:pPr>
        <w:pStyle w:val="FootnoteText"/>
        <w:ind w:left="567" w:hanging="567"/>
        <w:rPr>
          <w:sz w:val="24"/>
          <w:lang w:val="hr-HR"/>
        </w:rPr>
      </w:pPr>
      <w:r w:rsidRPr="00AB1FA9">
        <w:rPr>
          <w:rStyle w:val="FootnoteReference"/>
          <w:sz w:val="24"/>
          <w:lang w:val="hr-HR"/>
        </w:rPr>
        <w:footnoteRef/>
      </w:r>
      <w:r w:rsidR="00AB1FA9" w:rsidRPr="00AB1FA9">
        <w:rPr>
          <w:sz w:val="24"/>
          <w:lang w:val="hr-HR"/>
        </w:rPr>
        <w:t xml:space="preserve"> </w:t>
      </w:r>
      <w:r w:rsidR="00AB1FA9" w:rsidRPr="00AB1FA9">
        <w:rPr>
          <w:sz w:val="24"/>
          <w:lang w:val="hr-HR"/>
        </w:rPr>
        <w:tab/>
      </w:r>
      <w:r w:rsidRPr="00AB1FA9">
        <w:rPr>
          <w:sz w:val="24"/>
          <w:lang w:val="hr-HR"/>
        </w:rPr>
        <w:t>Delegirana uredba Komisije (EU) 2015/1970 od 8. srpnja 2015. o dopuni Uredbe (EU) br. 1303/2013 Europskog parlamenta i Vijeća posebnim odredbama o izvješćivanju o nepravilnostima povezanima s Europskim fondom za regionalni razvoj, Europskim socijalnim fondom, Kohezijskim fondom i Europskim fondom za pomorstvo i ribarstvo (SL L 293, 10.11.2015., str. 1.).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1F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1F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1F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9/2024"/>
    <w:docVar w:name="dvlangue" w:val="HR"/>
    <w:docVar w:name="dvnumam" w:val="0"/>
    <w:docVar w:name="dvpe" w:val="756.089"/>
    <w:docVar w:name="dvrapporteur" w:val="Izvjestitelj: "/>
    <w:docVar w:name="dvtitre" w:val="Rezolucija Europskog parlamenta od .... 2024. o kohezijskoj politici za razdoblje 2014. – 2020. – provedba i rezultati u državama članicama(2023/2121(INI))"/>
  </w:docVars>
  <w:rsids>
    <w:rsidRoot w:val="003C56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56B5"/>
    <w:rsid w:val="003E15D4"/>
    <w:rsid w:val="00411CCE"/>
    <w:rsid w:val="0041666E"/>
    <w:rsid w:val="00421060"/>
    <w:rsid w:val="00471C19"/>
    <w:rsid w:val="00482FE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772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287"/>
    <w:rsid w:val="00A778C7"/>
    <w:rsid w:val="00AB1FA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319C"/>
    <w:rsid w:val="00C941CB"/>
    <w:rsid w:val="00CC2357"/>
    <w:rsid w:val="00CD45D3"/>
    <w:rsid w:val="00CF071A"/>
    <w:rsid w:val="00D058B8"/>
    <w:rsid w:val="00D37EC7"/>
    <w:rsid w:val="00D56C11"/>
    <w:rsid w:val="00D834A0"/>
    <w:rsid w:val="00D872DF"/>
    <w:rsid w:val="00D91E21"/>
    <w:rsid w:val="00DA7FCD"/>
    <w:rsid w:val="00E365E1"/>
    <w:rsid w:val="00E820A4"/>
    <w:rsid w:val="00EA49B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36825"/>
  <w15:chartTrackingRefBased/>
  <w15:docId w15:val="{25DF48BA-BEAF-4478-B802-549ED20A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319C"/>
    <w:pPr>
      <w:spacing w:after="240"/>
      <w:ind w:left="567" w:hanging="567"/>
    </w:pPr>
  </w:style>
  <w:style w:type="paragraph" w:customStyle="1" w:styleId="EPComma">
    <w:name w:val="EPComma"/>
    <w:basedOn w:val="Normal"/>
    <w:rsid w:val="00C7319C"/>
    <w:pPr>
      <w:spacing w:before="480" w:after="240"/>
    </w:pPr>
  </w:style>
  <w:style w:type="character" w:styleId="Hyperlink">
    <w:name w:val="Hyperlink"/>
    <w:basedOn w:val="DefaultParagraphFont"/>
    <w:unhideWhenUsed/>
    <w:rsid w:val="00C7319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7319C"/>
    <w:rPr>
      <w:sz w:val="24"/>
      <w:lang w:val="hr-HR"/>
    </w:rPr>
  </w:style>
  <w:style w:type="character" w:customStyle="1" w:styleId="expandableitem">
    <w:name w:val="expandableitem"/>
    <w:basedOn w:val="DefaultParagraphFont"/>
    <w:rsid w:val="00C7319C"/>
  </w:style>
  <w:style w:type="paragraph" w:styleId="BalloonText">
    <w:name w:val="Balloon Text"/>
    <w:basedOn w:val="Normal"/>
    <w:link w:val="BalloonTextChar"/>
    <w:rsid w:val="00D37E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7EC7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ohesiondata.ec.europa.eu/themes/5/14-20" TargetMode="External"/><Relationship Id="rId13" Type="http://schemas.openxmlformats.org/officeDocument/2006/relationships/hyperlink" Target="https://files.evaluationhelpdesk.eu/evaluations/HUE63.pdf" TargetMode="External"/><Relationship Id="rId18" Type="http://schemas.openxmlformats.org/officeDocument/2006/relationships/hyperlink" Target="https://cohesiondata.ec.europa.eu/themes/9/14-20" TargetMode="External"/><Relationship Id="rId3" Type="http://schemas.openxmlformats.org/officeDocument/2006/relationships/hyperlink" Target="https://ec.europa.eu/regional_policy/policy/what/key-achievements_en" TargetMode="External"/><Relationship Id="rId21" Type="http://schemas.openxmlformats.org/officeDocument/2006/relationships/hyperlink" Target="https://cohesiondata.ec.europa.eu/funds/erdf/14-20" TargetMode="External"/><Relationship Id="rId7" Type="http://schemas.openxmlformats.org/officeDocument/2006/relationships/hyperlink" Target="https://cohesiondata.ec.europa.eu/themes/5/14-20" TargetMode="External"/><Relationship Id="rId12" Type="http://schemas.openxmlformats.org/officeDocument/2006/relationships/hyperlink" Target="https://commission.europa.eu/publications/annual-activity-report-2022-regional-and-urban-policy_en" TargetMode="External"/><Relationship Id="rId17" Type="http://schemas.openxmlformats.org/officeDocument/2006/relationships/hyperlink" Target="https://cohesiondata.ec.europa.eu/themes/9/14-20" TargetMode="External"/><Relationship Id="rId2" Type="http://schemas.openxmlformats.org/officeDocument/2006/relationships/hyperlink" Target="https://www.eca.europa.eu/ECAPublications/AR-2022/AR-2022_HR.pdf" TargetMode="External"/><Relationship Id="rId16" Type="http://schemas.openxmlformats.org/officeDocument/2006/relationships/hyperlink" Target="https://cohesiondata.ec.europa.eu/themes/9/14-20" TargetMode="External"/><Relationship Id="rId20" Type="http://schemas.openxmlformats.org/officeDocument/2006/relationships/hyperlink" Target="https://cohesiondata.ec.europa.eu/funds/erdf/14-20" TargetMode="External"/><Relationship Id="rId1" Type="http://schemas.openxmlformats.org/officeDocument/2006/relationships/hyperlink" Target="https://www.eca.europa.eu/hr/publications?did=63210" TargetMode="External"/><Relationship Id="rId6" Type="http://schemas.openxmlformats.org/officeDocument/2006/relationships/hyperlink" Target="https://cohesiondata.ec.europa.eu/themes/5/14-20" TargetMode="External"/><Relationship Id="rId11" Type="http://schemas.openxmlformats.org/officeDocument/2006/relationships/hyperlink" Target="https://cohesiondata.ec.europa.eu/themes/6/14-20" TargetMode="External"/><Relationship Id="rId5" Type="http://schemas.openxmlformats.org/officeDocument/2006/relationships/hyperlink" Target="https://ec.europa.eu/regional_policy/policy/what/key-achievements_en" TargetMode="External"/><Relationship Id="rId15" Type="http://schemas.openxmlformats.org/officeDocument/2006/relationships/hyperlink" Target="https://www.touchpoints.lu/single-post/2020-annual-report-of-touchpoints-asbl?lang=en" TargetMode="External"/><Relationship Id="rId10" Type="http://schemas.openxmlformats.org/officeDocument/2006/relationships/hyperlink" Target="https://cohesiondata.ec.europa.eu/themes/6/14-20" TargetMode="External"/><Relationship Id="rId19" Type="http://schemas.openxmlformats.org/officeDocument/2006/relationships/hyperlink" Target="https://cohesiondata.ec.europa.eu/funds/erdf/14-20" TargetMode="External"/><Relationship Id="rId4" Type="http://schemas.openxmlformats.org/officeDocument/2006/relationships/hyperlink" Target="https://www.europarl.europa.eu/RegData/etudes/STUD/2023/733107/IPOL_STU(2023)733107_EN.pdf" TargetMode="External"/><Relationship Id="rId9" Type="http://schemas.openxmlformats.org/officeDocument/2006/relationships/hyperlink" Target="https://cohesiondata.ec.europa.eu/themes/6/14-20" TargetMode="External"/><Relationship Id="rId14" Type="http://schemas.openxmlformats.org/officeDocument/2006/relationships/hyperlink" Target="https://files.evaluationhelpdesk.eu/evaluations/HUE63.pdf" TargetMode="External"/><Relationship Id="rId22" Type="http://schemas.openxmlformats.org/officeDocument/2006/relationships/hyperlink" Target="https://cohesiondata.ec.europa.eu/stories/s/CORONAVIRUS-DASHBOARD-COHESION-POLICY-RESPONSE/4e2z-pw8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5B5DD-9423-4E98-A2A1-0243D150F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9680</Words>
  <Characters>59780</Characters>
  <Application>Microsoft Office Word</Application>
  <DocSecurity>4</DocSecurity>
  <Lines>498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GOROPECNIK Tina</cp:lastModifiedBy>
  <cp:revision>2</cp:revision>
  <cp:lastPrinted>2004-11-19T15:42:00Z</cp:lastPrinted>
  <dcterms:created xsi:type="dcterms:W3CDTF">2024-09-09T13:25:00Z</dcterms:created>
  <dcterms:modified xsi:type="dcterms:W3CDTF">2024-09-09T13:25:00Z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A9-0049/2024</vt:lpwstr>
  </property>
  <property fmtid="{D5CDD505-2E9C-101B-9397-08002B2CF9AE}" pid="4" name="&lt;Type&gt;">
    <vt:lpwstr>RR</vt:lpwstr>
  </property>
</Properties>
</file>