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937" w:rsidTr="0010095E">
        <w:trPr>
          <w:trHeight w:hRule="exact" w:val="1418"/>
        </w:trPr>
        <w:tc>
          <w:tcPr>
            <w:tcW w:w="6804" w:type="dxa"/>
            <w:shd w:val="clear" w:color="auto" w:fill="auto"/>
            <w:vAlign w:val="center"/>
          </w:tcPr>
          <w:p w:rsidR="00751A4A" w:rsidRPr="00284937" w:rsidRDefault="000755F0" w:rsidP="0010095E">
            <w:pPr>
              <w:pStyle w:val="EPName"/>
            </w:pPr>
            <w:r w:rsidRPr="00284937">
              <w:t>Eiropas Parlaments</w:t>
            </w:r>
          </w:p>
          <w:p w:rsidR="00751A4A" w:rsidRPr="00284937" w:rsidRDefault="00817416" w:rsidP="00756632">
            <w:pPr>
              <w:pStyle w:val="EPTerm"/>
              <w:rPr>
                <w:rStyle w:val="HideTWBExt"/>
                <w:noProof w:val="0"/>
                <w:vanish w:val="0"/>
                <w:color w:val="auto"/>
              </w:rPr>
            </w:pPr>
            <w:r w:rsidRPr="00284937">
              <w:t>2019-2024</w:t>
            </w:r>
          </w:p>
        </w:tc>
        <w:tc>
          <w:tcPr>
            <w:tcW w:w="2268" w:type="dxa"/>
            <w:shd w:val="clear" w:color="auto" w:fill="auto"/>
          </w:tcPr>
          <w:p w:rsidR="00751A4A" w:rsidRPr="00284937" w:rsidRDefault="00187494" w:rsidP="0010095E">
            <w:pPr>
              <w:pStyle w:val="EPLogo"/>
            </w:pPr>
            <w:r w:rsidRPr="002849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4937" w:rsidRDefault="00D058B8" w:rsidP="004C5D52">
      <w:pPr>
        <w:pStyle w:val="LineTop"/>
      </w:pPr>
    </w:p>
    <w:p w:rsidR="00680577" w:rsidRPr="00284937" w:rsidRDefault="000755F0" w:rsidP="00680577">
      <w:pPr>
        <w:pStyle w:val="EPBodyTA1"/>
      </w:pPr>
      <w:r w:rsidRPr="00284937">
        <w:t>PIEŅEMTIE TEKSTI</w:t>
      </w:r>
    </w:p>
    <w:p w:rsidR="00D058B8" w:rsidRPr="00284937" w:rsidRDefault="00D058B8" w:rsidP="00D058B8">
      <w:pPr>
        <w:pStyle w:val="LineBottom"/>
      </w:pPr>
    </w:p>
    <w:p w:rsidR="000755F0" w:rsidRPr="00284937" w:rsidRDefault="000755F0" w:rsidP="000755F0">
      <w:pPr>
        <w:pStyle w:val="ATHeading1"/>
      </w:pPr>
      <w:bookmarkStart w:id="0" w:name="TANumber"/>
      <w:r w:rsidRPr="00284937">
        <w:t>P9_TA(2024)0</w:t>
      </w:r>
      <w:bookmarkEnd w:id="0"/>
      <w:r w:rsidR="00284937" w:rsidRPr="00284937">
        <w:t>174</w:t>
      </w:r>
    </w:p>
    <w:p w:rsidR="000755F0" w:rsidRPr="00284937" w:rsidRDefault="00A57372" w:rsidP="000755F0">
      <w:pPr>
        <w:pStyle w:val="ATHeading2"/>
      </w:pPr>
      <w:r w:rsidRPr="00284937">
        <w:t>Kohēzijas politika 2014.–2020. gadam — īstenošana un rezultāti dalībvalstīs</w:t>
      </w:r>
    </w:p>
    <w:p w:rsidR="000755F0" w:rsidRPr="00284937" w:rsidRDefault="000755F0" w:rsidP="000755F0">
      <w:pPr>
        <w:rPr>
          <w:i/>
          <w:vanish/>
        </w:rPr>
      </w:pPr>
      <w:r w:rsidRPr="00284937">
        <w:rPr>
          <w:i/>
        </w:rPr>
        <w:fldChar w:fldCharType="begin"/>
      </w:r>
      <w:r w:rsidRPr="00284937">
        <w:rPr>
          <w:i/>
        </w:rPr>
        <w:instrText xml:space="preserve"> TC"(</w:instrText>
      </w:r>
      <w:bookmarkStart w:id="1" w:name="DocNumber"/>
      <w:r w:rsidRPr="00284937">
        <w:rPr>
          <w:i/>
        </w:rPr>
        <w:instrText>A9-0049/2024</w:instrText>
      </w:r>
      <w:bookmarkEnd w:id="1"/>
      <w:r w:rsidRPr="00284937">
        <w:rPr>
          <w:i/>
        </w:rPr>
        <w:instrText xml:space="preserve"> - Referents: </w:instrText>
      </w:r>
      <w:proofErr w:type="spellStart"/>
      <w:r w:rsidRPr="00284937">
        <w:rPr>
          <w:i/>
        </w:rPr>
        <w:instrText>Andrey</w:instrText>
      </w:r>
      <w:proofErr w:type="spellEnd"/>
      <w:r w:rsidRPr="00284937">
        <w:rPr>
          <w:i/>
        </w:rPr>
        <w:instrText> </w:instrText>
      </w:r>
      <w:proofErr w:type="spellStart"/>
      <w:r w:rsidRPr="00284937">
        <w:rPr>
          <w:i/>
        </w:rPr>
        <w:instrText>Novakov</w:instrText>
      </w:r>
      <w:proofErr w:type="spellEnd"/>
      <w:r w:rsidRPr="00284937">
        <w:rPr>
          <w:i/>
        </w:rPr>
        <w:instrText xml:space="preserve">)"\l3 \n&gt; \* MERGEFORMAT </w:instrText>
      </w:r>
      <w:r w:rsidRPr="00284937">
        <w:rPr>
          <w:i/>
        </w:rPr>
        <w:fldChar w:fldCharType="end"/>
      </w:r>
    </w:p>
    <w:p w:rsidR="000755F0" w:rsidRPr="00284937" w:rsidRDefault="000755F0" w:rsidP="000755F0">
      <w:pPr>
        <w:rPr>
          <w:vanish/>
        </w:rPr>
      </w:pPr>
      <w:bookmarkStart w:id="2" w:name="Commission"/>
      <w:r w:rsidRPr="00284937">
        <w:rPr>
          <w:vanish/>
        </w:rPr>
        <w:t>Reģionālās attīstības komiteja</w:t>
      </w:r>
      <w:bookmarkEnd w:id="2"/>
    </w:p>
    <w:p w:rsidR="000755F0" w:rsidRPr="00284937" w:rsidRDefault="000755F0" w:rsidP="000755F0">
      <w:pPr>
        <w:rPr>
          <w:vanish/>
        </w:rPr>
      </w:pPr>
      <w:bookmarkStart w:id="3" w:name="PE"/>
      <w:r w:rsidRPr="00284937">
        <w:rPr>
          <w:vanish/>
        </w:rPr>
        <w:t>PE756.089</w:t>
      </w:r>
      <w:bookmarkEnd w:id="3"/>
    </w:p>
    <w:p w:rsidR="003D0B32" w:rsidRPr="00284937" w:rsidRDefault="000755F0" w:rsidP="00A57372">
      <w:pPr>
        <w:pStyle w:val="ATHeading3"/>
      </w:pPr>
      <w:bookmarkStart w:id="4" w:name="Sujet"/>
      <w:r w:rsidRPr="00284937">
        <w:t xml:space="preserve">Eiropas Parlamenta 2024. gada </w:t>
      </w:r>
      <w:r w:rsidR="00A57372" w:rsidRPr="00284937">
        <w:t>14</w:t>
      </w:r>
      <w:r w:rsidRPr="00284937">
        <w:t xml:space="preserve">. </w:t>
      </w:r>
      <w:r w:rsidR="00A57372" w:rsidRPr="00284937">
        <w:t>marta</w:t>
      </w:r>
      <w:r w:rsidRPr="00284937">
        <w:t xml:space="preserve"> rezolūcija par kohēzijas politiku 2014.–2020. gadam — īstenošana un rezultāti dalībvalstīs</w:t>
      </w:r>
      <w:bookmarkEnd w:id="4"/>
      <w:r w:rsidRPr="00284937">
        <w:t xml:space="preserve"> </w:t>
      </w:r>
      <w:bookmarkStart w:id="5" w:name="References"/>
      <w:r w:rsidRPr="00284937">
        <w:t>(2023/2121(INI))</w:t>
      </w:r>
      <w:bookmarkStart w:id="6" w:name="TextBodyBegin"/>
      <w:bookmarkEnd w:id="5"/>
      <w:bookmarkEnd w:id="6"/>
    </w:p>
    <w:p w:rsidR="003D0B32" w:rsidRPr="00284937" w:rsidRDefault="003D0B32" w:rsidP="003D0B32">
      <w:pPr>
        <w:pStyle w:val="EPComma"/>
      </w:pPr>
      <w:r w:rsidRPr="00284937">
        <w:rPr>
          <w:i/>
        </w:rPr>
        <w:t>Eiropas Parlaments</w:t>
      </w:r>
      <w:r w:rsidRPr="00284937">
        <w:t>,</w:t>
      </w:r>
    </w:p>
    <w:p w:rsidR="003D0B32" w:rsidRPr="00284937" w:rsidRDefault="003D0B32" w:rsidP="003D0B32">
      <w:pPr>
        <w:pStyle w:val="NormalHanging12a"/>
      </w:pPr>
      <w:r w:rsidRPr="00284937">
        <w:t>–</w:t>
      </w:r>
      <w:r w:rsidRPr="00284937">
        <w:tab/>
        <w:t>ņemot vērā Līguma par Eiropas Savienības darbību (LESD) 174. un 349. pantu,</w:t>
      </w:r>
    </w:p>
    <w:p w:rsidR="003D0B32" w:rsidRPr="00284937" w:rsidRDefault="003D0B32" w:rsidP="003D0B32">
      <w:pPr>
        <w:pStyle w:val="NormalHanging12a"/>
      </w:pPr>
      <w:r w:rsidRPr="00284937">
        <w:t>–</w:t>
      </w:r>
      <w:r w:rsidRPr="00284937">
        <w:tab/>
        <w:t>ņemot vērā Eiropas Parlamenta un Padomes 2013. gada 17. decembra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Pr="00284937">
        <w:rPr>
          <w:rStyle w:val="FootnoteReference"/>
        </w:rPr>
        <w:footnoteReference w:id="1"/>
      </w:r>
      <w:r w:rsidRPr="00284937">
        <w:t xml:space="preserve"> (Kopīgo noteikumu regula),</w:t>
      </w:r>
    </w:p>
    <w:p w:rsidR="003D0B32" w:rsidRPr="00284937" w:rsidRDefault="003D0B32" w:rsidP="003D0B32">
      <w:pPr>
        <w:pStyle w:val="NormalHanging12a"/>
      </w:pPr>
      <w:r w:rsidRPr="00284937">
        <w:t>–</w:t>
      </w:r>
      <w:r w:rsidRPr="00284937">
        <w:tab/>
        <w:t>ņemot vērā Eiropas Parlamenta un Padomes 2013. gada 17. decembra Regulu (ES) Nr. 1301/2013 par Eiropas Reģionālās attīstības fondu un īpašiem noteikumiem attiecībā uz mērķi "Investīcijas izaugsmei un nodarbinātībai" un ar ko atceļ Regulu (EK) Nr. 1080/2006</w:t>
      </w:r>
      <w:r w:rsidRPr="00284937">
        <w:rPr>
          <w:rStyle w:val="FootnoteReference"/>
          <w:color w:val="000000"/>
        </w:rPr>
        <w:footnoteReference w:id="2"/>
      </w:r>
      <w:r w:rsidRPr="00284937">
        <w:t>,</w:t>
      </w:r>
    </w:p>
    <w:p w:rsidR="003D0B32" w:rsidRPr="00284937" w:rsidRDefault="003D0B32" w:rsidP="003D0B32">
      <w:pPr>
        <w:pStyle w:val="NormalHanging12a"/>
      </w:pPr>
      <w:r w:rsidRPr="00284937">
        <w:t>–</w:t>
      </w:r>
      <w:r w:rsidRPr="00284937">
        <w:tab/>
        <w:t>ņemot vērā Eiropas Parlamenta un Padomes 2013. gada 17. decembra Regulu (ES) Nr. 1300/2013 par Kohēzijas fondu un ar ko atceļ Padomes Regulu (EK) Nr. 1084/2006</w:t>
      </w:r>
      <w:r w:rsidRPr="00284937">
        <w:rPr>
          <w:rStyle w:val="FootnoteReference"/>
        </w:rPr>
        <w:footnoteReference w:id="3"/>
      </w:r>
      <w:r w:rsidRPr="00284937">
        <w:t>,</w:t>
      </w:r>
    </w:p>
    <w:p w:rsidR="003D0B32" w:rsidRPr="00284937" w:rsidRDefault="003D0B32" w:rsidP="003D0B32">
      <w:pPr>
        <w:pStyle w:val="NormalHanging12a"/>
      </w:pPr>
      <w:r w:rsidRPr="00284937">
        <w:t>–</w:t>
      </w:r>
      <w:r w:rsidRPr="00284937">
        <w:tab/>
        <w:t>ņemot vērā Eiropas Parlamenta un Padomes Regulu (ES) Nr. 1299/2013 (2013. gada 17. decembris) par īpašiem noteikumiem par atbalstu no Eiropas Reģionālās attīstības fonda saistībā ar mērķi "Eiropas teritoriālā sadarbība"</w:t>
      </w:r>
      <w:r w:rsidRPr="00284937">
        <w:rPr>
          <w:rStyle w:val="FootnoteReference"/>
        </w:rPr>
        <w:footnoteReference w:id="4"/>
      </w:r>
      <w:r w:rsidRPr="00284937">
        <w:t>,</w:t>
      </w:r>
    </w:p>
    <w:p w:rsidR="003D0B32" w:rsidRPr="00284937" w:rsidRDefault="003D0B32" w:rsidP="003D0B32">
      <w:pPr>
        <w:pStyle w:val="NormalHanging12a"/>
      </w:pPr>
      <w:r w:rsidRPr="00284937">
        <w:t>–</w:t>
      </w:r>
      <w:r w:rsidRPr="00284937">
        <w:tab/>
        <w:t xml:space="preserve">ņemot vērā Eiropas Parlamenta un Padomes 2013. gada 17. decembra Regulu (ES) Nr. 1304/2013 par Eiropas Sociālo fondu un ar ko atceļ Padomes Regulu (EK) </w:t>
      </w:r>
      <w:r w:rsidRPr="00284937">
        <w:lastRenderedPageBreak/>
        <w:t>Nr. 1081/2006</w:t>
      </w:r>
      <w:r w:rsidRPr="00284937">
        <w:rPr>
          <w:rStyle w:val="FootnoteReference"/>
        </w:rPr>
        <w:footnoteReference w:id="5"/>
      </w:r>
      <w:r w:rsidRPr="00284937">
        <w:t>,</w:t>
      </w:r>
    </w:p>
    <w:p w:rsidR="003D0B32" w:rsidRPr="00284937" w:rsidRDefault="003D0B32" w:rsidP="003D0B32">
      <w:pPr>
        <w:pStyle w:val="NormalHanging12a"/>
      </w:pPr>
      <w:r w:rsidRPr="00284937">
        <w:t>–</w:t>
      </w:r>
      <w:r w:rsidRPr="00284937">
        <w:tab/>
        <w:t xml:space="preserve">ņemot vērā Eiropas Parlamenta un Padomes 2020. gada 30. marta Regulu (ES) 2020/460, ar kuru groza Regulas (ES) Nr. 1301/2013, (ES) Nr. 1303/2013 un (ES) Nr. 508/2014 attiecībā uz īpašiem pasākumiem, kas nepieciešami, lai mobilizētu investīcijas dalībvalstu veselības aprūpes sistēmās un citos to ekonomikas sektoros, reaģējot uz Covid-19 uzliesmojumu (Investīciju iniciatīva reaģēšanai uz </w:t>
      </w:r>
      <w:proofErr w:type="spellStart"/>
      <w:r w:rsidRPr="00284937">
        <w:t>koronavīrusu</w:t>
      </w:r>
      <w:proofErr w:type="spellEnd"/>
      <w:r w:rsidRPr="00284937">
        <w:t>)</w:t>
      </w:r>
      <w:r w:rsidRPr="00284937">
        <w:rPr>
          <w:rStyle w:val="FootnoteReference"/>
          <w:rFonts w:eastAsiaTheme="majorEastAsia"/>
          <w:color w:val="000000"/>
        </w:rPr>
        <w:footnoteReference w:id="6"/>
      </w:r>
      <w:r w:rsidRPr="00284937">
        <w:t>,</w:t>
      </w:r>
    </w:p>
    <w:p w:rsidR="003D0B32" w:rsidRPr="00284937" w:rsidRDefault="003D0B32" w:rsidP="003D0B32">
      <w:pPr>
        <w:pStyle w:val="NormalHanging12a"/>
      </w:pPr>
      <w:r w:rsidRPr="00284937">
        <w:t>–</w:t>
      </w:r>
      <w:r w:rsidRPr="00284937">
        <w:tab/>
        <w:t>ņemot vērā Eiropas Parlamenta un Padomes 2020. gada 23. aprīļa Regulu (ES) 2020/558, ar ko Regulas (ES) Nr. 1301/2013 un (ES) Nr. 1303/2013 groza attiecībā uz īpašiem pasākumiem, lai nodrošinātu ārkārtas elastību Eiropas strukturālo un investīciju fondu izmantošanā, reaģējot uz Covid-19 uzliesmojumu</w:t>
      </w:r>
      <w:r w:rsidRPr="00284937">
        <w:rPr>
          <w:rStyle w:val="FootnoteReference"/>
          <w:color w:val="000000"/>
        </w:rPr>
        <w:footnoteReference w:id="7"/>
      </w:r>
      <w:r w:rsidRPr="00284937">
        <w:t xml:space="preserve"> (Papildinātā investīciju iniciatīva reaģēšanai uz </w:t>
      </w:r>
      <w:proofErr w:type="spellStart"/>
      <w:r w:rsidRPr="00284937">
        <w:t>koronavīrusu</w:t>
      </w:r>
      <w:proofErr w:type="spellEnd"/>
      <w:r w:rsidRPr="00284937">
        <w:t>),</w:t>
      </w:r>
    </w:p>
    <w:p w:rsidR="003D0B32" w:rsidRPr="00284937" w:rsidRDefault="003D0B32" w:rsidP="003D0B32">
      <w:pPr>
        <w:pStyle w:val="NormalHanging12a"/>
      </w:pPr>
      <w:r w:rsidRPr="00284937">
        <w:t>–</w:t>
      </w:r>
      <w:r w:rsidRPr="00284937">
        <w:tab/>
        <w:t>ņemot vērā Eiropas Parlamenta un Padomes 2022. gada 6. aprīļa Regulu (ES) 2022/562, ar ko groza Regulas (ES) Nr. 1303/2013 un (ES) Nr. 223/2014 attiecībā uz kohēzijas rīcību bēgļu atbalstam Eiropā (</w:t>
      </w:r>
      <w:r w:rsidRPr="00284937">
        <w:rPr>
          <w:i/>
        </w:rPr>
        <w:t>CARE</w:t>
      </w:r>
      <w:r w:rsidRPr="00284937">
        <w:t>)</w:t>
      </w:r>
      <w:r w:rsidRPr="00284937">
        <w:rPr>
          <w:rStyle w:val="FootnoteReference"/>
          <w:rFonts w:eastAsiaTheme="majorEastAsia"/>
          <w:color w:val="000000"/>
        </w:rPr>
        <w:footnoteReference w:id="8"/>
      </w:r>
      <w:r w:rsidRPr="00284937">
        <w:t>,</w:t>
      </w:r>
    </w:p>
    <w:p w:rsidR="003D0B32" w:rsidRPr="00284937" w:rsidRDefault="003D0B32" w:rsidP="003D0B32">
      <w:pPr>
        <w:pStyle w:val="NormalHanging12a"/>
      </w:pPr>
      <w:r w:rsidRPr="00284937">
        <w:t>–</w:t>
      </w:r>
      <w:r w:rsidRPr="00284937">
        <w:tab/>
        <w:t xml:space="preserve">ņemot vērā Eiropas Parlamenta un Padomes 2022. gada 19. oktobra Regulu (ES) 2022/2039, ar ko groza Regulas (ES) Nr. 1303/2013 un (ES) 2021/1060 attiecībā uz papildu elastību nolūkā novērst Krievijas Federācijas militārās agresijas sekas </w:t>
      </w:r>
      <w:r w:rsidRPr="00284937">
        <w:rPr>
          <w:i/>
        </w:rPr>
        <w:t>FAST</w:t>
      </w:r>
      <w:r w:rsidRPr="00284937">
        <w:t xml:space="preserve"> – (elastīga palīdzība teritorijām) – </w:t>
      </w:r>
      <w:r w:rsidRPr="00284937">
        <w:rPr>
          <w:i/>
        </w:rPr>
        <w:t>CARE</w:t>
      </w:r>
      <w:r w:rsidRPr="00284937">
        <w:rPr>
          <w:rStyle w:val="FootnoteReference"/>
          <w:color w:val="000000"/>
        </w:rPr>
        <w:footnoteReference w:id="9"/>
      </w:r>
      <w:r w:rsidRPr="00284937">
        <w:t>,</w:t>
      </w:r>
    </w:p>
    <w:p w:rsidR="003D0B32" w:rsidRPr="00284937" w:rsidRDefault="003D0B32" w:rsidP="003D0B32">
      <w:pPr>
        <w:pStyle w:val="NormalHanging12a"/>
      </w:pPr>
      <w:r w:rsidRPr="00284937">
        <w:t>–</w:t>
      </w:r>
      <w:r w:rsidRPr="00284937">
        <w:tab/>
        <w:t>ņemot vērā Komisijas 2022. gada 4. februāra paziņojumu par 8. kohēzijas ziņojumu — Kohēzija Eiropā 2050. gada perspektīvā (COM(2022)0034),</w:t>
      </w:r>
    </w:p>
    <w:p w:rsidR="003D0B32" w:rsidRPr="00284937" w:rsidRDefault="003D0B32" w:rsidP="003D0B32">
      <w:pPr>
        <w:pStyle w:val="NormalHanging12a"/>
      </w:pPr>
      <w:r w:rsidRPr="00284937">
        <w:t>–</w:t>
      </w:r>
      <w:r w:rsidRPr="00284937">
        <w:tab/>
        <w:t>ņemot vērā Komisijas 2023. gada 17. janvāra paziņojumu "Talantu izmantošana Eiropas reģionos" (COM(2023)0032),</w:t>
      </w:r>
    </w:p>
    <w:p w:rsidR="003D0B32" w:rsidRPr="00284937" w:rsidRDefault="003D0B32" w:rsidP="003D0B32">
      <w:pPr>
        <w:pStyle w:val="NormalHanging12a"/>
        <w:rPr>
          <w:szCs w:val="24"/>
        </w:rPr>
      </w:pPr>
      <w:r w:rsidRPr="00284937">
        <w:t>–</w:t>
      </w:r>
      <w:r w:rsidRPr="00284937">
        <w:tab/>
        <w:t>ņemot vērā Komisijas 2018. gada 29. maija priekšlikumu Eiropas Parlamenta un Padomes regulai par mehānismu juridisku un administratīvu šķēršļu novēršanai pārrobežu kontekstā (COM(2018)0373),</w:t>
      </w:r>
    </w:p>
    <w:p w:rsidR="003D0B32" w:rsidRPr="00284937" w:rsidRDefault="003D0B32" w:rsidP="003D0B32">
      <w:pPr>
        <w:pStyle w:val="NormalHanging12a"/>
        <w:rPr>
          <w:szCs w:val="24"/>
        </w:rPr>
      </w:pPr>
      <w:r w:rsidRPr="00284937">
        <w:t>–</w:t>
      </w:r>
      <w:r w:rsidRPr="00284937">
        <w:tab/>
        <w:t>ņemot vērā Komisijas grozīto 2023. gada 12. decembra priekšlikumu Eiropas Parlamenta un Padomes regulai par mehānismu juridisku un administratīvu šķēršļu novēršanai pārrobežu kontekstā (COM(2023)0790),</w:t>
      </w:r>
    </w:p>
    <w:p w:rsidR="003D0B32" w:rsidRPr="00284937" w:rsidRDefault="003D0B32" w:rsidP="003D0B32">
      <w:pPr>
        <w:pStyle w:val="NormalHanging12a"/>
        <w:rPr>
          <w:szCs w:val="24"/>
        </w:rPr>
      </w:pPr>
      <w:r w:rsidRPr="00284937">
        <w:t>–</w:t>
      </w:r>
      <w:r w:rsidRPr="00284937">
        <w:tab/>
        <w:t xml:space="preserve">ņemot vērā Komisijas 2021. gada 30. jūnija paziņojumu "Ilgtermiņa redzējums par ES lauku apvidiem: kāds ceļš ejams, lai līdz 2040. gadam lauku apvidi kļūtu spēcīgāki, savienoti, </w:t>
      </w:r>
      <w:proofErr w:type="spellStart"/>
      <w:r w:rsidRPr="00284937">
        <w:t>izturētspējīgi</w:t>
      </w:r>
      <w:proofErr w:type="spellEnd"/>
      <w:r w:rsidRPr="00284937">
        <w:t xml:space="preserve"> un pārtikuši" (COM(2021)0345),</w:t>
      </w:r>
    </w:p>
    <w:p w:rsidR="003D0B32" w:rsidRPr="00284937" w:rsidRDefault="003D0B32" w:rsidP="003D0B32">
      <w:pPr>
        <w:pStyle w:val="NormalHanging12a"/>
        <w:rPr>
          <w:szCs w:val="24"/>
        </w:rPr>
      </w:pPr>
      <w:r w:rsidRPr="00284937">
        <w:t>–</w:t>
      </w:r>
      <w:r w:rsidRPr="00284937">
        <w:tab/>
        <w:t>ņemot vērā Eiropas Savienības Teritoriālās attīstības programmu 2030. gadam, kas pieņemta par teritoriālo kohēziju un/vai teritoriālo attīstību atbildīgo ministru neformālajā sanāksmē 2020. gada 1. decembrī,</w:t>
      </w:r>
    </w:p>
    <w:p w:rsidR="003D0B32" w:rsidRPr="00284937" w:rsidRDefault="003D0B32" w:rsidP="003D0B32">
      <w:pPr>
        <w:pStyle w:val="NormalHanging12a"/>
        <w:rPr>
          <w:szCs w:val="24"/>
        </w:rPr>
      </w:pPr>
      <w:r w:rsidRPr="00284937">
        <w:t>–</w:t>
      </w:r>
      <w:r w:rsidRPr="00284937">
        <w:tab/>
        <w:t>ņemot vērā Klimata pārmaiņu starpvaldību padomes (</w:t>
      </w:r>
      <w:r w:rsidRPr="00284937">
        <w:rPr>
          <w:i/>
        </w:rPr>
        <w:t>IPCC</w:t>
      </w:r>
      <w:r w:rsidRPr="00284937">
        <w:t xml:space="preserve">) 2022. gada ziņojumu </w:t>
      </w:r>
      <w:r w:rsidRPr="00284937">
        <w:lastRenderedPageBreak/>
        <w:t>"</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rPr>
          <w:i/>
        </w:rPr>
        <w:t xml:space="preserve"> 2022:</w:t>
      </w:r>
      <w:r w:rsidRPr="00284937">
        <w:t xml:space="preserve"> </w:t>
      </w:r>
      <w:proofErr w:type="spellStart"/>
      <w:r w:rsidRPr="00284937">
        <w:rPr>
          <w:i/>
        </w:rPr>
        <w:t>Mitigation</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rPr>
          <w:i/>
        </w:rPr>
        <w:t xml:space="preserve"> – </w:t>
      </w:r>
      <w:proofErr w:type="spellStart"/>
      <w:r w:rsidRPr="00284937">
        <w:rPr>
          <w:i/>
        </w:rPr>
        <w:t>Contribution</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Working</w:t>
      </w:r>
      <w:proofErr w:type="spellEnd"/>
      <w:r w:rsidRPr="00284937">
        <w:rPr>
          <w:i/>
        </w:rPr>
        <w:t xml:space="preserve"> </w:t>
      </w:r>
      <w:proofErr w:type="spellStart"/>
      <w:r w:rsidRPr="00284937">
        <w:rPr>
          <w:i/>
        </w:rPr>
        <w:t>Group</w:t>
      </w:r>
      <w:proofErr w:type="spellEnd"/>
      <w:r w:rsidRPr="00284937">
        <w:rPr>
          <w:i/>
        </w:rPr>
        <w:t xml:space="preserve"> III to </w:t>
      </w:r>
      <w:proofErr w:type="spellStart"/>
      <w:r w:rsidRPr="00284937">
        <w:rPr>
          <w:i/>
        </w:rPr>
        <w:t>the</w:t>
      </w:r>
      <w:proofErr w:type="spellEnd"/>
      <w:r w:rsidRPr="00284937">
        <w:rPr>
          <w:i/>
        </w:rPr>
        <w:t xml:space="preserve"> </w:t>
      </w:r>
      <w:proofErr w:type="spellStart"/>
      <w:r w:rsidRPr="00284937">
        <w:rPr>
          <w:i/>
        </w:rPr>
        <w:t>Sixth</w:t>
      </w:r>
      <w:proofErr w:type="spellEnd"/>
      <w:r w:rsidRPr="00284937">
        <w:rPr>
          <w:i/>
        </w:rPr>
        <w:t xml:space="preserve"> </w:t>
      </w:r>
      <w:proofErr w:type="spellStart"/>
      <w:r w:rsidRPr="00284937">
        <w:rPr>
          <w:i/>
        </w:rPr>
        <w:t>Assessment</w:t>
      </w:r>
      <w:proofErr w:type="spellEnd"/>
      <w:r w:rsidRPr="00284937">
        <w:rPr>
          <w:i/>
        </w:rPr>
        <w:t xml:space="preserve"> </w:t>
      </w:r>
      <w:proofErr w:type="spellStart"/>
      <w:r w:rsidRPr="00284937">
        <w:rPr>
          <w:i/>
        </w:rPr>
        <w:t>Report</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the</w:t>
      </w:r>
      <w:proofErr w:type="spellEnd"/>
      <w:r w:rsidRPr="00284937">
        <w:rPr>
          <w:i/>
        </w:rPr>
        <w:t xml:space="preserve"> </w:t>
      </w:r>
      <w:proofErr w:type="spellStart"/>
      <w:r w:rsidRPr="00284937">
        <w:rPr>
          <w:i/>
        </w:rPr>
        <w:t>Intergovernmental</w:t>
      </w:r>
      <w:proofErr w:type="spellEnd"/>
      <w:r w:rsidRPr="00284937">
        <w:rPr>
          <w:i/>
        </w:rPr>
        <w:t xml:space="preserve"> </w:t>
      </w:r>
      <w:proofErr w:type="spellStart"/>
      <w:r w:rsidRPr="00284937">
        <w:rPr>
          <w:i/>
        </w:rPr>
        <w:t>Panel</w:t>
      </w:r>
      <w:proofErr w:type="spellEnd"/>
      <w:r w:rsidRPr="00284937">
        <w:rPr>
          <w:i/>
        </w:rPr>
        <w:t xml:space="preserve"> </w:t>
      </w:r>
      <w:proofErr w:type="spellStart"/>
      <w:r w:rsidRPr="00284937">
        <w:rPr>
          <w:i/>
        </w:rPr>
        <w:t>on</w:t>
      </w:r>
      <w:proofErr w:type="spellEnd"/>
      <w:r w:rsidRPr="00284937">
        <w:rPr>
          <w:i/>
        </w:rPr>
        <w:t xml:space="preserve"> </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t>" (Klimata pārmaiņas 2022. gadā: klimata pārmaiņu mazināšana. III darba grupas ieguldījums Klimata pārmaiņu starpvaldību padomes sestajā novērtējuma ziņojumā),</w:t>
      </w:r>
    </w:p>
    <w:p w:rsidR="003D0B32" w:rsidRPr="00284937" w:rsidRDefault="003D0B32" w:rsidP="003D0B32">
      <w:pPr>
        <w:pStyle w:val="NormalHanging12a"/>
      </w:pPr>
      <w:r w:rsidRPr="00284937">
        <w:t>–</w:t>
      </w:r>
      <w:r w:rsidRPr="00284937">
        <w:tab/>
        <w:t xml:space="preserve">ņemot vērā </w:t>
      </w:r>
      <w:r w:rsidRPr="00284937">
        <w:rPr>
          <w:i/>
        </w:rPr>
        <w:t>IPCC</w:t>
      </w:r>
      <w:r w:rsidRPr="00284937">
        <w:t xml:space="preserve"> 2018. gada īpašo ziņojumu "</w:t>
      </w:r>
      <w:proofErr w:type="spellStart"/>
      <w:r w:rsidRPr="00284937">
        <w:rPr>
          <w:i/>
        </w:rPr>
        <w:t>Global</w:t>
      </w:r>
      <w:proofErr w:type="spellEnd"/>
      <w:r w:rsidRPr="00284937">
        <w:rPr>
          <w:i/>
        </w:rPr>
        <w:t xml:space="preserve"> </w:t>
      </w:r>
      <w:proofErr w:type="spellStart"/>
      <w:r w:rsidRPr="00284937">
        <w:rPr>
          <w:i/>
        </w:rPr>
        <w:t>warming</w:t>
      </w:r>
      <w:proofErr w:type="spellEnd"/>
      <w:r w:rsidRPr="00284937">
        <w:rPr>
          <w:i/>
        </w:rPr>
        <w:t xml:space="preserve"> </w:t>
      </w:r>
      <w:proofErr w:type="spellStart"/>
      <w:r w:rsidRPr="00284937">
        <w:rPr>
          <w:i/>
        </w:rPr>
        <w:t>of</w:t>
      </w:r>
      <w:proofErr w:type="spellEnd"/>
      <w:r w:rsidRPr="00284937">
        <w:rPr>
          <w:i/>
        </w:rPr>
        <w:t xml:space="preserve"> 1.5 °C – An IPCC </w:t>
      </w:r>
      <w:proofErr w:type="spellStart"/>
      <w:r w:rsidRPr="00284937">
        <w:rPr>
          <w:i/>
        </w:rPr>
        <w:t>Special</w:t>
      </w:r>
      <w:proofErr w:type="spellEnd"/>
      <w:r w:rsidRPr="00284937">
        <w:rPr>
          <w:i/>
        </w:rPr>
        <w:t xml:space="preserve"> </w:t>
      </w:r>
      <w:proofErr w:type="spellStart"/>
      <w:r w:rsidRPr="00284937">
        <w:rPr>
          <w:i/>
        </w:rPr>
        <w:t>Report</w:t>
      </w:r>
      <w:proofErr w:type="spellEnd"/>
      <w:r w:rsidRPr="00284937">
        <w:rPr>
          <w:i/>
        </w:rPr>
        <w:t xml:space="preserve"> </w:t>
      </w:r>
      <w:proofErr w:type="spellStart"/>
      <w:r w:rsidRPr="00284937">
        <w:rPr>
          <w:i/>
        </w:rPr>
        <w:t>on</w:t>
      </w:r>
      <w:proofErr w:type="spellEnd"/>
      <w:r w:rsidRPr="00284937">
        <w:rPr>
          <w:i/>
        </w:rPr>
        <w:t xml:space="preserve"> </w:t>
      </w:r>
      <w:proofErr w:type="spellStart"/>
      <w:r w:rsidRPr="00284937">
        <w:rPr>
          <w:i/>
        </w:rPr>
        <w:t>the</w:t>
      </w:r>
      <w:proofErr w:type="spellEnd"/>
      <w:r w:rsidRPr="00284937">
        <w:rPr>
          <w:i/>
        </w:rPr>
        <w:t xml:space="preserve"> </w:t>
      </w:r>
      <w:proofErr w:type="spellStart"/>
      <w:r w:rsidRPr="00284937">
        <w:rPr>
          <w:i/>
        </w:rPr>
        <w:t>impacts</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global</w:t>
      </w:r>
      <w:proofErr w:type="spellEnd"/>
      <w:r w:rsidRPr="00284937">
        <w:rPr>
          <w:i/>
        </w:rPr>
        <w:t xml:space="preserve"> </w:t>
      </w:r>
      <w:proofErr w:type="spellStart"/>
      <w:r w:rsidRPr="00284937">
        <w:rPr>
          <w:i/>
        </w:rPr>
        <w:t>warming</w:t>
      </w:r>
      <w:proofErr w:type="spellEnd"/>
      <w:r w:rsidRPr="00284937">
        <w:rPr>
          <w:i/>
        </w:rPr>
        <w:t xml:space="preserve"> </w:t>
      </w:r>
      <w:proofErr w:type="spellStart"/>
      <w:r w:rsidRPr="00284937">
        <w:rPr>
          <w:i/>
        </w:rPr>
        <w:t>of</w:t>
      </w:r>
      <w:proofErr w:type="spellEnd"/>
      <w:r w:rsidRPr="00284937">
        <w:rPr>
          <w:i/>
        </w:rPr>
        <w:t xml:space="preserve"> 1.5°C </w:t>
      </w:r>
      <w:proofErr w:type="spellStart"/>
      <w:r w:rsidRPr="00284937">
        <w:rPr>
          <w:i/>
        </w:rPr>
        <w:t>above</w:t>
      </w:r>
      <w:proofErr w:type="spellEnd"/>
      <w:r w:rsidRPr="00284937">
        <w:rPr>
          <w:i/>
        </w:rPr>
        <w:t xml:space="preserve"> </w:t>
      </w:r>
      <w:proofErr w:type="spellStart"/>
      <w:r w:rsidRPr="00284937">
        <w:rPr>
          <w:i/>
        </w:rPr>
        <w:t>pre-industrial</w:t>
      </w:r>
      <w:proofErr w:type="spellEnd"/>
      <w:r w:rsidRPr="00284937">
        <w:rPr>
          <w:i/>
        </w:rPr>
        <w:t xml:space="preserve"> </w:t>
      </w:r>
      <w:proofErr w:type="spellStart"/>
      <w:r w:rsidRPr="00284937">
        <w:rPr>
          <w:i/>
        </w:rPr>
        <w:t>levels</w:t>
      </w:r>
      <w:proofErr w:type="spellEnd"/>
      <w:r w:rsidRPr="00284937">
        <w:rPr>
          <w:i/>
        </w:rPr>
        <w:t xml:space="preserve"> </w:t>
      </w:r>
      <w:proofErr w:type="spellStart"/>
      <w:r w:rsidRPr="00284937">
        <w:rPr>
          <w:i/>
        </w:rPr>
        <w:t>and</w:t>
      </w:r>
      <w:proofErr w:type="spellEnd"/>
      <w:r w:rsidRPr="00284937">
        <w:rPr>
          <w:i/>
        </w:rPr>
        <w:t xml:space="preserve"> </w:t>
      </w:r>
      <w:proofErr w:type="spellStart"/>
      <w:r w:rsidRPr="00284937">
        <w:rPr>
          <w:i/>
        </w:rPr>
        <w:t>related</w:t>
      </w:r>
      <w:proofErr w:type="spellEnd"/>
      <w:r w:rsidRPr="00284937">
        <w:rPr>
          <w:i/>
        </w:rPr>
        <w:t xml:space="preserve"> </w:t>
      </w:r>
      <w:proofErr w:type="spellStart"/>
      <w:r w:rsidRPr="00284937">
        <w:rPr>
          <w:i/>
        </w:rPr>
        <w:t>global</w:t>
      </w:r>
      <w:proofErr w:type="spellEnd"/>
      <w:r w:rsidRPr="00284937">
        <w:rPr>
          <w:i/>
        </w:rPr>
        <w:t xml:space="preserve"> </w:t>
      </w:r>
      <w:proofErr w:type="spellStart"/>
      <w:r w:rsidRPr="00284937">
        <w:rPr>
          <w:i/>
        </w:rPr>
        <w:t>greenhouse</w:t>
      </w:r>
      <w:proofErr w:type="spellEnd"/>
      <w:r w:rsidRPr="00284937">
        <w:rPr>
          <w:i/>
        </w:rPr>
        <w:t xml:space="preserve"> </w:t>
      </w:r>
      <w:proofErr w:type="spellStart"/>
      <w:r w:rsidRPr="00284937">
        <w:rPr>
          <w:i/>
        </w:rPr>
        <w:t>gas</w:t>
      </w:r>
      <w:proofErr w:type="spellEnd"/>
      <w:r w:rsidRPr="00284937">
        <w:rPr>
          <w:i/>
        </w:rPr>
        <w:t xml:space="preserve"> </w:t>
      </w:r>
      <w:proofErr w:type="spellStart"/>
      <w:r w:rsidRPr="00284937">
        <w:rPr>
          <w:i/>
        </w:rPr>
        <w:t>emission</w:t>
      </w:r>
      <w:proofErr w:type="spellEnd"/>
      <w:r w:rsidRPr="00284937">
        <w:rPr>
          <w:i/>
        </w:rPr>
        <w:t xml:space="preserve"> </w:t>
      </w:r>
      <w:proofErr w:type="spellStart"/>
      <w:r w:rsidRPr="00284937">
        <w:rPr>
          <w:i/>
        </w:rPr>
        <w:t>pathways</w:t>
      </w:r>
      <w:proofErr w:type="spellEnd"/>
      <w:r w:rsidRPr="00284937">
        <w:rPr>
          <w:i/>
        </w:rPr>
        <w:t xml:space="preserve">, </w:t>
      </w:r>
      <w:proofErr w:type="spellStart"/>
      <w:r w:rsidRPr="00284937">
        <w:rPr>
          <w:i/>
        </w:rPr>
        <w:t>in</w:t>
      </w:r>
      <w:proofErr w:type="spellEnd"/>
      <w:r w:rsidRPr="00284937">
        <w:rPr>
          <w:i/>
        </w:rPr>
        <w:t xml:space="preserve"> </w:t>
      </w:r>
      <w:proofErr w:type="spellStart"/>
      <w:r w:rsidRPr="00284937">
        <w:rPr>
          <w:i/>
        </w:rPr>
        <w:t>the</w:t>
      </w:r>
      <w:proofErr w:type="spellEnd"/>
      <w:r w:rsidRPr="00284937">
        <w:rPr>
          <w:i/>
        </w:rPr>
        <w:t xml:space="preserve"> </w:t>
      </w:r>
      <w:proofErr w:type="spellStart"/>
      <w:r w:rsidRPr="00284937">
        <w:rPr>
          <w:i/>
        </w:rPr>
        <w:t>context</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strengthening</w:t>
      </w:r>
      <w:proofErr w:type="spellEnd"/>
      <w:r w:rsidRPr="00284937">
        <w:rPr>
          <w:i/>
        </w:rPr>
        <w:t xml:space="preserve"> </w:t>
      </w:r>
      <w:proofErr w:type="spellStart"/>
      <w:r w:rsidRPr="00284937">
        <w:rPr>
          <w:i/>
        </w:rPr>
        <w:t>the</w:t>
      </w:r>
      <w:proofErr w:type="spellEnd"/>
      <w:r w:rsidRPr="00284937">
        <w:rPr>
          <w:i/>
        </w:rPr>
        <w:t xml:space="preserve"> </w:t>
      </w:r>
      <w:proofErr w:type="spellStart"/>
      <w:r w:rsidRPr="00284937">
        <w:rPr>
          <w:i/>
        </w:rPr>
        <w:t>global</w:t>
      </w:r>
      <w:proofErr w:type="spellEnd"/>
      <w:r w:rsidRPr="00284937">
        <w:rPr>
          <w:i/>
        </w:rPr>
        <w:t xml:space="preserve"> </w:t>
      </w:r>
      <w:proofErr w:type="spellStart"/>
      <w:r w:rsidRPr="00284937">
        <w:rPr>
          <w:i/>
        </w:rPr>
        <w:t>response</w:t>
      </w:r>
      <w:proofErr w:type="spellEnd"/>
      <w:r w:rsidRPr="00284937">
        <w:rPr>
          <w:i/>
        </w:rPr>
        <w:t xml:space="preserve"> to </w:t>
      </w:r>
      <w:proofErr w:type="spellStart"/>
      <w:r w:rsidRPr="00284937">
        <w:rPr>
          <w:i/>
        </w:rPr>
        <w:t>the</w:t>
      </w:r>
      <w:proofErr w:type="spellEnd"/>
      <w:r w:rsidRPr="00284937">
        <w:rPr>
          <w:i/>
        </w:rPr>
        <w:t xml:space="preserve"> </w:t>
      </w:r>
      <w:proofErr w:type="spellStart"/>
      <w:r w:rsidRPr="00284937">
        <w:rPr>
          <w:i/>
        </w:rPr>
        <w:t>threat</w:t>
      </w:r>
      <w:proofErr w:type="spellEnd"/>
      <w:r w:rsidRPr="00284937">
        <w:rPr>
          <w:i/>
        </w:rPr>
        <w:t xml:space="preserve"> </w:t>
      </w:r>
      <w:proofErr w:type="spellStart"/>
      <w:r w:rsidRPr="00284937">
        <w:rPr>
          <w:i/>
        </w:rPr>
        <w:t>of</w:t>
      </w:r>
      <w:proofErr w:type="spellEnd"/>
      <w:r w:rsidRPr="00284937">
        <w:rPr>
          <w:i/>
        </w:rPr>
        <w:t xml:space="preserve"> </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rPr>
          <w:i/>
        </w:rPr>
        <w:t xml:space="preserve">, </w:t>
      </w:r>
      <w:proofErr w:type="spellStart"/>
      <w:r w:rsidRPr="00284937">
        <w:rPr>
          <w:i/>
        </w:rPr>
        <w:t>sustainable</w:t>
      </w:r>
      <w:proofErr w:type="spellEnd"/>
      <w:r w:rsidRPr="00284937">
        <w:rPr>
          <w:i/>
        </w:rPr>
        <w:t xml:space="preserve"> </w:t>
      </w:r>
      <w:proofErr w:type="spellStart"/>
      <w:r w:rsidRPr="00284937">
        <w:rPr>
          <w:i/>
        </w:rPr>
        <w:t>development</w:t>
      </w:r>
      <w:proofErr w:type="spellEnd"/>
      <w:r w:rsidRPr="00284937">
        <w:rPr>
          <w:i/>
        </w:rPr>
        <w:t xml:space="preserve">, </w:t>
      </w:r>
      <w:proofErr w:type="spellStart"/>
      <w:r w:rsidRPr="00284937">
        <w:rPr>
          <w:i/>
        </w:rPr>
        <w:t>and</w:t>
      </w:r>
      <w:proofErr w:type="spellEnd"/>
      <w:r w:rsidRPr="00284937">
        <w:rPr>
          <w:i/>
        </w:rPr>
        <w:t xml:space="preserve"> </w:t>
      </w:r>
      <w:proofErr w:type="spellStart"/>
      <w:r w:rsidRPr="00284937">
        <w:rPr>
          <w:i/>
        </w:rPr>
        <w:t>efforts</w:t>
      </w:r>
      <w:proofErr w:type="spellEnd"/>
      <w:r w:rsidRPr="00284937">
        <w:rPr>
          <w:i/>
        </w:rPr>
        <w:t xml:space="preserve"> to </w:t>
      </w:r>
      <w:proofErr w:type="spellStart"/>
      <w:r w:rsidRPr="00284937">
        <w:rPr>
          <w:i/>
        </w:rPr>
        <w:t>eradicate</w:t>
      </w:r>
      <w:proofErr w:type="spellEnd"/>
      <w:r w:rsidRPr="00284937">
        <w:rPr>
          <w:i/>
        </w:rPr>
        <w:t xml:space="preserve"> </w:t>
      </w:r>
      <w:proofErr w:type="spellStart"/>
      <w:r w:rsidRPr="00284937">
        <w:rPr>
          <w:i/>
        </w:rPr>
        <w:t>poverty</w:t>
      </w:r>
      <w:proofErr w:type="spellEnd"/>
      <w:r w:rsidRPr="00284937">
        <w:t xml:space="preserve">" (Globālā sasilšana 1,5 °C apmērā — </w:t>
      </w:r>
      <w:r w:rsidRPr="00284937">
        <w:rPr>
          <w:i/>
        </w:rPr>
        <w:t>IPCC</w:t>
      </w:r>
      <w:r w:rsidRPr="00284937">
        <w:t xml:space="preserve"> īpašais ziņojums par ietekmi, ko rada globālā sasilšana 1,5 °C apmērā virs </w:t>
      </w:r>
      <w:proofErr w:type="spellStart"/>
      <w:r w:rsidRPr="00284937">
        <w:t>pirmsindustriālā</w:t>
      </w:r>
      <w:proofErr w:type="spellEnd"/>
      <w:r w:rsidRPr="00284937">
        <w:t xml:space="preserve"> līmeņa un saistītie globālie siltumnīcefekta gāzu emisijas ceļi kontekstā ar stiprāku globālo atbildi klimata pārmaiņu draudiem, ilgtspējīgu attīstību un nabadzības izskaušanas centieniem), </w:t>
      </w:r>
    </w:p>
    <w:p w:rsidR="003D0B32" w:rsidRPr="00284937" w:rsidRDefault="003D0B32" w:rsidP="003D0B32">
      <w:pPr>
        <w:pStyle w:val="NormalHanging12a"/>
      </w:pPr>
      <w:r w:rsidRPr="00284937">
        <w:t>–</w:t>
      </w:r>
      <w:r w:rsidRPr="00284937">
        <w:tab/>
        <w:t xml:space="preserve">ņemot vērā </w:t>
      </w:r>
      <w:r w:rsidRPr="00284937">
        <w:rPr>
          <w:i/>
        </w:rPr>
        <w:t>IPCC</w:t>
      </w:r>
      <w:r w:rsidRPr="00284937">
        <w:t xml:space="preserve"> 2019. gada īpašo ziņojumu "</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rPr>
          <w:i/>
        </w:rPr>
        <w:t xml:space="preserve"> </w:t>
      </w:r>
      <w:proofErr w:type="spellStart"/>
      <w:r w:rsidRPr="00284937">
        <w:rPr>
          <w:i/>
        </w:rPr>
        <w:t>and</w:t>
      </w:r>
      <w:proofErr w:type="spellEnd"/>
      <w:r w:rsidRPr="00284937">
        <w:rPr>
          <w:i/>
        </w:rPr>
        <w:t xml:space="preserve"> </w:t>
      </w:r>
      <w:proofErr w:type="spellStart"/>
      <w:r w:rsidRPr="00284937">
        <w:rPr>
          <w:i/>
        </w:rPr>
        <w:t>land</w:t>
      </w:r>
      <w:proofErr w:type="spellEnd"/>
      <w:r w:rsidRPr="00284937">
        <w:rPr>
          <w:i/>
        </w:rPr>
        <w:t>:</w:t>
      </w:r>
      <w:r w:rsidRPr="00284937">
        <w:t xml:space="preserve"> </w:t>
      </w:r>
      <w:proofErr w:type="spellStart"/>
      <w:r w:rsidRPr="00284937">
        <w:rPr>
          <w:i/>
        </w:rPr>
        <w:t>an</w:t>
      </w:r>
      <w:proofErr w:type="spellEnd"/>
      <w:r w:rsidRPr="00284937">
        <w:rPr>
          <w:i/>
        </w:rPr>
        <w:t xml:space="preserve"> IPCC </w:t>
      </w:r>
      <w:proofErr w:type="spellStart"/>
      <w:r w:rsidRPr="00284937">
        <w:rPr>
          <w:i/>
        </w:rPr>
        <w:t>special</w:t>
      </w:r>
      <w:proofErr w:type="spellEnd"/>
      <w:r w:rsidRPr="00284937">
        <w:rPr>
          <w:i/>
        </w:rPr>
        <w:t xml:space="preserve"> </w:t>
      </w:r>
      <w:proofErr w:type="spellStart"/>
      <w:r w:rsidRPr="00284937">
        <w:rPr>
          <w:i/>
        </w:rPr>
        <w:t>report</w:t>
      </w:r>
      <w:proofErr w:type="spellEnd"/>
      <w:r w:rsidRPr="00284937">
        <w:rPr>
          <w:i/>
        </w:rPr>
        <w:t xml:space="preserve"> </w:t>
      </w:r>
      <w:proofErr w:type="spellStart"/>
      <w:r w:rsidRPr="00284937">
        <w:rPr>
          <w:i/>
        </w:rPr>
        <w:t>on</w:t>
      </w:r>
      <w:proofErr w:type="spellEnd"/>
      <w:r w:rsidRPr="00284937">
        <w:rPr>
          <w:i/>
        </w:rPr>
        <w:t xml:space="preserve"> </w:t>
      </w:r>
      <w:proofErr w:type="spellStart"/>
      <w:r w:rsidRPr="00284937">
        <w:rPr>
          <w:i/>
        </w:rPr>
        <w:t>climate</w:t>
      </w:r>
      <w:proofErr w:type="spellEnd"/>
      <w:r w:rsidRPr="00284937">
        <w:rPr>
          <w:i/>
        </w:rPr>
        <w:t xml:space="preserve"> </w:t>
      </w:r>
      <w:proofErr w:type="spellStart"/>
      <w:r w:rsidRPr="00284937">
        <w:rPr>
          <w:i/>
        </w:rPr>
        <w:t>change</w:t>
      </w:r>
      <w:proofErr w:type="spellEnd"/>
      <w:r w:rsidRPr="00284937">
        <w:rPr>
          <w:i/>
        </w:rPr>
        <w:t xml:space="preserve">, </w:t>
      </w:r>
      <w:proofErr w:type="spellStart"/>
      <w:r w:rsidRPr="00284937">
        <w:rPr>
          <w:i/>
        </w:rPr>
        <w:t>desertification</w:t>
      </w:r>
      <w:proofErr w:type="spellEnd"/>
      <w:r w:rsidRPr="00284937">
        <w:rPr>
          <w:i/>
        </w:rPr>
        <w:t xml:space="preserve">, </w:t>
      </w:r>
      <w:proofErr w:type="spellStart"/>
      <w:r w:rsidRPr="00284937">
        <w:rPr>
          <w:i/>
        </w:rPr>
        <w:t>land</w:t>
      </w:r>
      <w:proofErr w:type="spellEnd"/>
      <w:r w:rsidRPr="00284937">
        <w:rPr>
          <w:i/>
        </w:rPr>
        <w:t xml:space="preserve"> </w:t>
      </w:r>
      <w:proofErr w:type="spellStart"/>
      <w:r w:rsidRPr="00284937">
        <w:rPr>
          <w:i/>
        </w:rPr>
        <w:t>degradation</w:t>
      </w:r>
      <w:proofErr w:type="spellEnd"/>
      <w:r w:rsidRPr="00284937">
        <w:rPr>
          <w:i/>
        </w:rPr>
        <w:t xml:space="preserve">, </w:t>
      </w:r>
      <w:proofErr w:type="spellStart"/>
      <w:r w:rsidRPr="00284937">
        <w:rPr>
          <w:i/>
        </w:rPr>
        <w:t>sustainable</w:t>
      </w:r>
      <w:proofErr w:type="spellEnd"/>
      <w:r w:rsidRPr="00284937">
        <w:rPr>
          <w:i/>
        </w:rPr>
        <w:t xml:space="preserve"> </w:t>
      </w:r>
      <w:proofErr w:type="spellStart"/>
      <w:r w:rsidRPr="00284937">
        <w:rPr>
          <w:i/>
        </w:rPr>
        <w:t>land</w:t>
      </w:r>
      <w:proofErr w:type="spellEnd"/>
      <w:r w:rsidRPr="00284937">
        <w:rPr>
          <w:i/>
        </w:rPr>
        <w:t xml:space="preserve"> </w:t>
      </w:r>
      <w:proofErr w:type="spellStart"/>
      <w:r w:rsidRPr="00284937">
        <w:rPr>
          <w:i/>
        </w:rPr>
        <w:t>management</w:t>
      </w:r>
      <w:proofErr w:type="spellEnd"/>
      <w:r w:rsidRPr="00284937">
        <w:rPr>
          <w:i/>
        </w:rPr>
        <w:t xml:space="preserve">, </w:t>
      </w:r>
      <w:proofErr w:type="spellStart"/>
      <w:r w:rsidRPr="00284937">
        <w:rPr>
          <w:i/>
        </w:rPr>
        <w:t>food</w:t>
      </w:r>
      <w:proofErr w:type="spellEnd"/>
      <w:r w:rsidRPr="00284937">
        <w:rPr>
          <w:i/>
        </w:rPr>
        <w:t xml:space="preserve"> </w:t>
      </w:r>
      <w:proofErr w:type="spellStart"/>
      <w:r w:rsidRPr="00284937">
        <w:rPr>
          <w:i/>
        </w:rPr>
        <w:t>security</w:t>
      </w:r>
      <w:proofErr w:type="spellEnd"/>
      <w:r w:rsidRPr="00284937">
        <w:rPr>
          <w:i/>
        </w:rPr>
        <w:t xml:space="preserve">, </w:t>
      </w:r>
      <w:proofErr w:type="spellStart"/>
      <w:r w:rsidRPr="00284937">
        <w:rPr>
          <w:i/>
        </w:rPr>
        <w:t>and</w:t>
      </w:r>
      <w:proofErr w:type="spellEnd"/>
      <w:r w:rsidRPr="00284937">
        <w:rPr>
          <w:i/>
        </w:rPr>
        <w:t xml:space="preserve"> </w:t>
      </w:r>
      <w:proofErr w:type="spellStart"/>
      <w:r w:rsidRPr="00284937">
        <w:rPr>
          <w:i/>
        </w:rPr>
        <w:t>greenhouse</w:t>
      </w:r>
      <w:proofErr w:type="spellEnd"/>
      <w:r w:rsidRPr="00284937">
        <w:rPr>
          <w:i/>
        </w:rPr>
        <w:t xml:space="preserve"> </w:t>
      </w:r>
      <w:proofErr w:type="spellStart"/>
      <w:r w:rsidRPr="00284937">
        <w:rPr>
          <w:i/>
        </w:rPr>
        <w:t>gas</w:t>
      </w:r>
      <w:proofErr w:type="spellEnd"/>
      <w:r w:rsidRPr="00284937">
        <w:rPr>
          <w:i/>
        </w:rPr>
        <w:t xml:space="preserve"> </w:t>
      </w:r>
      <w:proofErr w:type="spellStart"/>
      <w:r w:rsidRPr="00284937">
        <w:rPr>
          <w:i/>
        </w:rPr>
        <w:t>fluxes</w:t>
      </w:r>
      <w:proofErr w:type="spellEnd"/>
      <w:r w:rsidRPr="00284937">
        <w:rPr>
          <w:i/>
        </w:rPr>
        <w:t xml:space="preserve"> </w:t>
      </w:r>
      <w:proofErr w:type="spellStart"/>
      <w:r w:rsidRPr="00284937">
        <w:rPr>
          <w:i/>
        </w:rPr>
        <w:t>in</w:t>
      </w:r>
      <w:proofErr w:type="spellEnd"/>
      <w:r w:rsidRPr="00284937">
        <w:rPr>
          <w:i/>
        </w:rPr>
        <w:t xml:space="preserve"> </w:t>
      </w:r>
      <w:proofErr w:type="spellStart"/>
      <w:r w:rsidRPr="00284937">
        <w:rPr>
          <w:i/>
        </w:rPr>
        <w:t>terrestrial</w:t>
      </w:r>
      <w:proofErr w:type="spellEnd"/>
      <w:r w:rsidRPr="00284937">
        <w:rPr>
          <w:i/>
        </w:rPr>
        <w:t xml:space="preserve"> </w:t>
      </w:r>
      <w:proofErr w:type="spellStart"/>
      <w:r w:rsidRPr="00284937">
        <w:rPr>
          <w:i/>
        </w:rPr>
        <w:t>ecosystems</w:t>
      </w:r>
      <w:proofErr w:type="spellEnd"/>
      <w:r w:rsidRPr="00284937">
        <w:t xml:space="preserve">" (Klimata pārmaiņas un zeme: </w:t>
      </w:r>
      <w:r w:rsidRPr="00284937">
        <w:rPr>
          <w:i/>
        </w:rPr>
        <w:t>IPCC</w:t>
      </w:r>
      <w:r w:rsidRPr="00284937">
        <w:t xml:space="preserve"> īpašais ziņojums par klimata pārmaiņām, </w:t>
      </w:r>
      <w:proofErr w:type="spellStart"/>
      <w:r w:rsidRPr="00284937">
        <w:t>pārtuksnešošanos</w:t>
      </w:r>
      <w:proofErr w:type="spellEnd"/>
      <w:r w:rsidRPr="00284937">
        <w:t xml:space="preserve">, zemes degradāciju, ilgtspējīgu zemes apsaimniekošanu, pārtikas nodrošinājumu un siltumnīcefekta gāzu plūsmām zemes ekosistēmās), </w:t>
      </w:r>
    </w:p>
    <w:p w:rsidR="003D0B32" w:rsidRPr="00284937" w:rsidRDefault="003D0B32" w:rsidP="003D0B32">
      <w:pPr>
        <w:pStyle w:val="NormalHanging12a"/>
        <w:rPr>
          <w:szCs w:val="24"/>
        </w:rPr>
      </w:pPr>
      <w:r w:rsidRPr="00284937">
        <w:t>–</w:t>
      </w:r>
      <w:r w:rsidRPr="00284937">
        <w:tab/>
        <w:t xml:space="preserve">ņemot vērā </w:t>
      </w:r>
      <w:r w:rsidRPr="00284937">
        <w:rPr>
          <w:i/>
        </w:rPr>
        <w:t>IPCC</w:t>
      </w:r>
      <w:r w:rsidRPr="00284937">
        <w:t xml:space="preserve"> 2019. gada īpašo ziņojumu "</w:t>
      </w:r>
      <w:r w:rsidRPr="00284937">
        <w:rPr>
          <w:i/>
        </w:rPr>
        <w:t xml:space="preserve">IPCC </w:t>
      </w:r>
      <w:proofErr w:type="spellStart"/>
      <w:r w:rsidRPr="00284937">
        <w:rPr>
          <w:i/>
        </w:rPr>
        <w:t>Special</w:t>
      </w:r>
      <w:proofErr w:type="spellEnd"/>
      <w:r w:rsidRPr="00284937">
        <w:rPr>
          <w:i/>
        </w:rPr>
        <w:t xml:space="preserve"> </w:t>
      </w:r>
      <w:proofErr w:type="spellStart"/>
      <w:r w:rsidRPr="00284937">
        <w:rPr>
          <w:i/>
        </w:rPr>
        <w:t>Report</w:t>
      </w:r>
      <w:proofErr w:type="spellEnd"/>
      <w:r w:rsidRPr="00284937">
        <w:rPr>
          <w:i/>
        </w:rPr>
        <w:t xml:space="preserve"> </w:t>
      </w:r>
      <w:proofErr w:type="spellStart"/>
      <w:r w:rsidRPr="00284937">
        <w:rPr>
          <w:i/>
        </w:rPr>
        <w:t>on</w:t>
      </w:r>
      <w:proofErr w:type="spellEnd"/>
      <w:r w:rsidRPr="00284937">
        <w:rPr>
          <w:i/>
        </w:rPr>
        <w:t xml:space="preserve"> </w:t>
      </w:r>
      <w:proofErr w:type="spellStart"/>
      <w:r w:rsidRPr="00284937">
        <w:rPr>
          <w:i/>
        </w:rPr>
        <w:t>the</w:t>
      </w:r>
      <w:proofErr w:type="spellEnd"/>
      <w:r w:rsidRPr="00284937">
        <w:rPr>
          <w:i/>
        </w:rPr>
        <w:t xml:space="preserve"> </w:t>
      </w:r>
      <w:proofErr w:type="spellStart"/>
      <w:r w:rsidRPr="00284937">
        <w:rPr>
          <w:i/>
        </w:rPr>
        <w:t>Ocean</w:t>
      </w:r>
      <w:proofErr w:type="spellEnd"/>
      <w:r w:rsidRPr="00284937">
        <w:rPr>
          <w:i/>
        </w:rPr>
        <w:t xml:space="preserve"> </w:t>
      </w:r>
      <w:proofErr w:type="spellStart"/>
      <w:r w:rsidRPr="00284937">
        <w:rPr>
          <w:i/>
        </w:rPr>
        <w:t>and</w:t>
      </w:r>
      <w:proofErr w:type="spellEnd"/>
      <w:r w:rsidRPr="00284937">
        <w:rPr>
          <w:i/>
        </w:rPr>
        <w:t xml:space="preserve"> </w:t>
      </w:r>
      <w:proofErr w:type="spellStart"/>
      <w:r w:rsidRPr="00284937">
        <w:rPr>
          <w:i/>
        </w:rPr>
        <w:t>Cryosphere</w:t>
      </w:r>
      <w:proofErr w:type="spellEnd"/>
      <w:r w:rsidRPr="00284937">
        <w:rPr>
          <w:i/>
        </w:rPr>
        <w:t xml:space="preserve"> </w:t>
      </w:r>
      <w:proofErr w:type="spellStart"/>
      <w:r w:rsidRPr="00284937">
        <w:rPr>
          <w:i/>
        </w:rPr>
        <w:t>in</w:t>
      </w:r>
      <w:proofErr w:type="spellEnd"/>
      <w:r w:rsidRPr="00284937">
        <w:rPr>
          <w:i/>
        </w:rPr>
        <w:t xml:space="preserve"> a </w:t>
      </w:r>
      <w:proofErr w:type="spellStart"/>
      <w:r w:rsidRPr="00284937">
        <w:rPr>
          <w:i/>
        </w:rPr>
        <w:t>Changing</w:t>
      </w:r>
      <w:proofErr w:type="spellEnd"/>
      <w:r w:rsidRPr="00284937">
        <w:rPr>
          <w:i/>
        </w:rPr>
        <w:t xml:space="preserve"> </w:t>
      </w:r>
      <w:proofErr w:type="spellStart"/>
      <w:r w:rsidRPr="00284937">
        <w:rPr>
          <w:i/>
        </w:rPr>
        <w:t>Climate</w:t>
      </w:r>
      <w:proofErr w:type="spellEnd"/>
      <w:r w:rsidRPr="00284937">
        <w:t xml:space="preserve">" (Klimata pārmaiņu starpvaldību padomes īpašais ziņojums par okeānu un </w:t>
      </w:r>
      <w:proofErr w:type="spellStart"/>
      <w:r w:rsidRPr="00284937">
        <w:t>kriosfēru</w:t>
      </w:r>
      <w:proofErr w:type="spellEnd"/>
      <w:r w:rsidRPr="00284937">
        <w:t xml:space="preserve"> mainīgā klimatā),</w:t>
      </w:r>
    </w:p>
    <w:p w:rsidR="003D0B32" w:rsidRPr="00284937" w:rsidRDefault="003D0B32" w:rsidP="003D0B32">
      <w:pPr>
        <w:pStyle w:val="NormalHanging12a"/>
        <w:rPr>
          <w:szCs w:val="24"/>
        </w:rPr>
      </w:pPr>
      <w:r w:rsidRPr="00284937">
        <w:t>–</w:t>
      </w:r>
      <w:r w:rsidRPr="00284937">
        <w:tab/>
        <w:t>ņemot vērā nolīgumu, ko 2015. gada 12. decembrī pieņēma ANO Vispārējās konvencijas par klimata pārmaiņām Pušu konferences 21. sesijā (</w:t>
      </w:r>
      <w:r w:rsidRPr="00284937">
        <w:rPr>
          <w:i/>
        </w:rPr>
        <w:t>COP 21</w:t>
      </w:r>
      <w:r w:rsidRPr="00284937">
        <w:t>) Parīzē (Parīzes nolīgums),</w:t>
      </w:r>
    </w:p>
    <w:p w:rsidR="003D0B32" w:rsidRPr="00284937" w:rsidRDefault="003D0B32" w:rsidP="003D0B32">
      <w:pPr>
        <w:pStyle w:val="NormalHanging12a"/>
        <w:rPr>
          <w:szCs w:val="24"/>
        </w:rPr>
      </w:pPr>
      <w:r w:rsidRPr="00284937">
        <w:t>–</w:t>
      </w:r>
      <w:r w:rsidRPr="00284937">
        <w:tab/>
        <w:t>ņemot vērā Parlamenta 2023. gada 23. novembra rezolūciju par talantu izmantošanu Eiropas reģionos</w:t>
      </w:r>
      <w:r w:rsidRPr="00284937">
        <w:rPr>
          <w:vertAlign w:val="superscript"/>
        </w:rPr>
        <w:footnoteReference w:id="10"/>
      </w:r>
      <w:r w:rsidRPr="00284937">
        <w:t>,</w:t>
      </w:r>
    </w:p>
    <w:p w:rsidR="003D0B32" w:rsidRPr="00284937" w:rsidRDefault="003D0B32" w:rsidP="003D0B32">
      <w:pPr>
        <w:pStyle w:val="NormalHanging12a"/>
        <w:rPr>
          <w:szCs w:val="24"/>
        </w:rPr>
      </w:pPr>
      <w:r w:rsidRPr="00284937">
        <w:t>–</w:t>
      </w:r>
      <w:r w:rsidRPr="00284937">
        <w:tab/>
        <w:t xml:space="preserve">ņemot vērā Parlamenta 2023. gada 9. maija rezolūciju par kohēzijas politikas nozīmi Vidusjūras baseina </w:t>
      </w:r>
      <w:proofErr w:type="spellStart"/>
      <w:r w:rsidRPr="00284937">
        <w:t>daudzdimensiālo</w:t>
      </w:r>
      <w:proofErr w:type="spellEnd"/>
      <w:r w:rsidRPr="00284937">
        <w:t xml:space="preserve"> vides problēmu risināšanā</w:t>
      </w:r>
      <w:r w:rsidRPr="00284937">
        <w:rPr>
          <w:rStyle w:val="FootnoteReference"/>
        </w:rPr>
        <w:footnoteReference w:id="11"/>
      </w:r>
      <w:r w:rsidRPr="00284937">
        <w:t>,</w:t>
      </w:r>
    </w:p>
    <w:p w:rsidR="003D0B32" w:rsidRPr="00284937" w:rsidRDefault="003D0B32" w:rsidP="003D0B32">
      <w:pPr>
        <w:pStyle w:val="NormalHanging12a"/>
      </w:pPr>
      <w:r w:rsidRPr="00284937">
        <w:t>–</w:t>
      </w:r>
      <w:r w:rsidRPr="00284937">
        <w:tab/>
        <w:t>ņemot vērā Parlamenta 2022. gada 15. septembra rezolūciju par ekonomisko, sociālo un teritoriālo kohēziju ES: 8. kohēzijas ziņojums</w:t>
      </w:r>
      <w:r w:rsidRPr="00284937">
        <w:rPr>
          <w:rStyle w:val="FootnoteReference"/>
          <w:color w:val="000000"/>
        </w:rPr>
        <w:footnoteReference w:id="12"/>
      </w:r>
      <w:r w:rsidRPr="00284937">
        <w:t>,</w:t>
      </w:r>
    </w:p>
    <w:p w:rsidR="003D0B32" w:rsidRPr="00284937" w:rsidRDefault="003D0B32" w:rsidP="003D0B32">
      <w:pPr>
        <w:pStyle w:val="NormalHanging12a"/>
        <w:rPr>
          <w:szCs w:val="24"/>
        </w:rPr>
      </w:pPr>
      <w:r w:rsidRPr="00284937">
        <w:t>–</w:t>
      </w:r>
      <w:r w:rsidRPr="00284937">
        <w:tab/>
        <w:t>ņemot vērā Parlamenta 2022. gada 15. septembra rezolūciju par ES pierobežas reģioniem: Eiropas integrācijas "dzīvās laboratorijas"</w:t>
      </w:r>
      <w:r w:rsidRPr="00284937">
        <w:rPr>
          <w:vertAlign w:val="superscript"/>
        </w:rPr>
        <w:footnoteReference w:id="13"/>
      </w:r>
      <w:r w:rsidRPr="00284937">
        <w:t>,</w:t>
      </w:r>
    </w:p>
    <w:p w:rsidR="003D0B32" w:rsidRPr="00284937" w:rsidRDefault="003D0B32" w:rsidP="003D0B32">
      <w:pPr>
        <w:pStyle w:val="NormalHanging12a"/>
      </w:pPr>
      <w:r w:rsidRPr="00284937">
        <w:t>–</w:t>
      </w:r>
      <w:r w:rsidRPr="00284937">
        <w:tab/>
        <w:t>ņemot vērā Parlamenta 2022. gada 15. februāra rezolūciju par problēmām pilsētu teritorijās laikā pēc COVID-19 pandēmijas</w:t>
      </w:r>
      <w:r w:rsidRPr="00284937">
        <w:rPr>
          <w:rStyle w:val="FootnoteReference"/>
          <w:rFonts w:eastAsiaTheme="majorEastAsia"/>
          <w:color w:val="000000"/>
        </w:rPr>
        <w:footnoteReference w:id="14"/>
      </w:r>
      <w:r w:rsidRPr="00284937">
        <w:t>,</w:t>
      </w:r>
    </w:p>
    <w:p w:rsidR="003D0B32" w:rsidRPr="00284937" w:rsidRDefault="003D0B32" w:rsidP="003D0B32">
      <w:pPr>
        <w:pStyle w:val="NormalHanging12a"/>
        <w:rPr>
          <w:szCs w:val="24"/>
        </w:rPr>
      </w:pPr>
      <w:r w:rsidRPr="00284937">
        <w:lastRenderedPageBreak/>
        <w:t>–</w:t>
      </w:r>
      <w:r w:rsidRPr="00284937">
        <w:tab/>
        <w:t>ņemot vērā Parlamenta 2021. gada 14. septembra rezolūciju par virzību uz spēcīgāku partnerību ar ES tālākajiem reģioniem</w:t>
      </w:r>
      <w:r w:rsidRPr="00284937">
        <w:rPr>
          <w:rStyle w:val="FootnoteReference"/>
        </w:rPr>
        <w:footnoteReference w:id="15"/>
      </w:r>
      <w:r w:rsidRPr="00284937">
        <w:t>,</w:t>
      </w:r>
    </w:p>
    <w:p w:rsidR="003D0B32" w:rsidRPr="00284937" w:rsidRDefault="003D0B32" w:rsidP="003D0B32">
      <w:pPr>
        <w:pStyle w:val="NormalHanging12a"/>
      </w:pPr>
      <w:r w:rsidRPr="00284937">
        <w:t>–</w:t>
      </w:r>
      <w:r w:rsidRPr="00284937">
        <w:tab/>
        <w:t>ņemot vērā Parlamenta 2021. gada 20. maija rezolūciju par ES reģionos vērojamo demogrāfisko tendenču apvēršanu pretējā virzienā, izmantojot kohēzijas politikas instrumentus</w:t>
      </w:r>
      <w:r w:rsidRPr="00284937">
        <w:rPr>
          <w:rStyle w:val="FootnoteReference"/>
          <w:rFonts w:eastAsiaTheme="majorEastAsia"/>
          <w:color w:val="000000"/>
        </w:rPr>
        <w:footnoteReference w:id="16"/>
      </w:r>
      <w:r w:rsidRPr="00284937">
        <w:t>,</w:t>
      </w:r>
    </w:p>
    <w:p w:rsidR="003D0B32" w:rsidRPr="00284937" w:rsidRDefault="003D0B32" w:rsidP="003D0B32">
      <w:pPr>
        <w:pStyle w:val="NormalHanging12a"/>
      </w:pPr>
      <w:r w:rsidRPr="00284937">
        <w:t>–</w:t>
      </w:r>
      <w:r w:rsidRPr="00284937">
        <w:tab/>
        <w:t>ņemot vērā Parlamenta 2021. gada 25. marta rezolūciju par kohēzijas politiku un reģionālajām vides stratēģijām cīņā pret klimata pārmaiņām</w:t>
      </w:r>
      <w:r w:rsidRPr="00284937">
        <w:rPr>
          <w:rStyle w:val="FootnoteReference"/>
          <w:rFonts w:eastAsiaTheme="majorEastAsia"/>
          <w:color w:val="000000"/>
        </w:rPr>
        <w:footnoteReference w:id="17"/>
      </w:r>
      <w:r w:rsidRPr="00284937">
        <w:t>,</w:t>
      </w:r>
    </w:p>
    <w:p w:rsidR="003D0B32" w:rsidRPr="00284937" w:rsidRDefault="003D0B32" w:rsidP="003D0B32">
      <w:pPr>
        <w:pStyle w:val="NormalHanging12a"/>
        <w:rPr>
          <w:szCs w:val="24"/>
        </w:rPr>
      </w:pPr>
      <w:r w:rsidRPr="00284937">
        <w:t>–</w:t>
      </w:r>
      <w:r w:rsidRPr="00284937">
        <w:tab/>
        <w:t>ņemot vērā Parlamenta 2018. gada 13. jūnija rezolūciju par kohēzijas politiku un aprites ekonomiku</w:t>
      </w:r>
      <w:r w:rsidRPr="00284937">
        <w:rPr>
          <w:rStyle w:val="FootnoteReference"/>
        </w:rPr>
        <w:footnoteReference w:id="18"/>
      </w:r>
      <w:r w:rsidRPr="00284937">
        <w:t>,</w:t>
      </w:r>
    </w:p>
    <w:p w:rsidR="003D0B32" w:rsidRPr="00284937" w:rsidRDefault="003D0B32" w:rsidP="003D0B32">
      <w:pPr>
        <w:pStyle w:val="NormalHanging12a"/>
      </w:pPr>
      <w:r w:rsidRPr="00284937">
        <w:t>–</w:t>
      </w:r>
      <w:r w:rsidRPr="00284937">
        <w:tab/>
        <w:t>ņemot vērā Parlamenta 2018. gada 13. marta rezolūciju par mazāk attīstītajiem ES reģioniem</w:t>
      </w:r>
      <w:r w:rsidRPr="00284937">
        <w:rPr>
          <w:rStyle w:val="FootnoteReference"/>
          <w:rFonts w:eastAsiaTheme="majorEastAsia"/>
          <w:color w:val="000000"/>
        </w:rPr>
        <w:footnoteReference w:id="19"/>
      </w:r>
      <w:r w:rsidRPr="00284937">
        <w:t>,</w:t>
      </w:r>
    </w:p>
    <w:p w:rsidR="003D0B32" w:rsidRPr="00284937" w:rsidRDefault="003D0B32" w:rsidP="003D0B32">
      <w:pPr>
        <w:pStyle w:val="NormalHanging12a"/>
        <w:rPr>
          <w:szCs w:val="24"/>
        </w:rPr>
      </w:pPr>
      <w:r w:rsidRPr="00284937">
        <w:t>–</w:t>
      </w:r>
      <w:r w:rsidRPr="00284937">
        <w:tab/>
        <w:t>ņemot vērā Eiropas Reģionu komitejas 2023. gada 29. novembra atzinumu par kohēzijas politikas nākotni pēc 2027. gada</w:t>
      </w:r>
      <w:r w:rsidRPr="00284937">
        <w:rPr>
          <w:rStyle w:val="FootnoteReference"/>
        </w:rPr>
        <w:footnoteReference w:id="20"/>
      </w:r>
      <w:r w:rsidRPr="00284937">
        <w:t>,</w:t>
      </w:r>
    </w:p>
    <w:p w:rsidR="003D0B32" w:rsidRPr="00284937" w:rsidRDefault="003D0B32" w:rsidP="003D0B32">
      <w:pPr>
        <w:pStyle w:val="NormalHanging12a"/>
      </w:pPr>
      <w:r w:rsidRPr="00284937">
        <w:t>–</w:t>
      </w:r>
      <w:r w:rsidRPr="00284937">
        <w:tab/>
        <w:t>ņemot vērā ES 2022. gada ziņojumu par reģionu un pilsētu stāvokli,</w:t>
      </w:r>
    </w:p>
    <w:p w:rsidR="003D0B32" w:rsidRPr="00284937" w:rsidRDefault="003D0B32" w:rsidP="003D0B32">
      <w:pPr>
        <w:pStyle w:val="NormalHanging12a"/>
        <w:rPr>
          <w:szCs w:val="24"/>
        </w:rPr>
      </w:pPr>
      <w:r w:rsidRPr="00284937">
        <w:t>–</w:t>
      </w:r>
      <w:r w:rsidRPr="00284937">
        <w:tab/>
        <w:t>ņemot vērā pētījumu "ES atpalikušie reģioni: pašreizējais stāvoklis un nākotnes uzdevumi", ko 2020. gada 26. oktobrī publicēja Eiropas Savienības Iekšpolitikas ģenerāldirektorāts</w:t>
      </w:r>
      <w:r w:rsidRPr="00284937">
        <w:rPr>
          <w:rStyle w:val="FootnoteReference"/>
        </w:rPr>
        <w:footnoteReference w:id="21"/>
      </w:r>
      <w:r w:rsidRPr="00284937">
        <w:t>,</w:t>
      </w:r>
    </w:p>
    <w:p w:rsidR="003D0B32" w:rsidRPr="00284937" w:rsidRDefault="003D0B32" w:rsidP="003D0B32">
      <w:pPr>
        <w:pStyle w:val="NormalHanging12a"/>
      </w:pPr>
      <w:r w:rsidRPr="00284937">
        <w:t>–</w:t>
      </w:r>
      <w:r w:rsidRPr="00284937">
        <w:tab/>
        <w:t>ņemot vērā Reglamenta 54. pantu, kā arī 1. panta 1. punkta e) apakšpunktu un 3. pielikumu Priekšsēdētāju konferences 2002. gada 12. decembra lēmumā par procedūru patstāvīgo ziņojumu sagatavošanas atļaujas piešķiršanai,</w:t>
      </w:r>
    </w:p>
    <w:p w:rsidR="003D0B32" w:rsidRPr="00284937" w:rsidRDefault="003D0B32" w:rsidP="003D0B32">
      <w:pPr>
        <w:pStyle w:val="NormalHanging12a"/>
      </w:pPr>
      <w:r w:rsidRPr="00284937">
        <w:t>–</w:t>
      </w:r>
      <w:r w:rsidRPr="00284937">
        <w:tab/>
        <w:t>ņemot vērā Lauksaimniecības un lauku attīstības komitejas vēstuli,</w:t>
      </w:r>
    </w:p>
    <w:p w:rsidR="003D0B32" w:rsidRPr="00284937" w:rsidRDefault="003D0B32" w:rsidP="003D0B32">
      <w:pPr>
        <w:pStyle w:val="NormalHanging12a"/>
      </w:pPr>
      <w:r w:rsidRPr="00284937">
        <w:t>–</w:t>
      </w:r>
      <w:r w:rsidRPr="00284937">
        <w:tab/>
        <w:t>ņemot vērā Reģionālās attīstības komitejas ziņojumu (A9-0049/2024),</w:t>
      </w:r>
    </w:p>
    <w:p w:rsidR="003D0B32" w:rsidRPr="00284937" w:rsidRDefault="003D0B32" w:rsidP="003D0B32">
      <w:pPr>
        <w:pStyle w:val="NormalHanging12a"/>
        <w:rPr>
          <w:szCs w:val="24"/>
        </w:rPr>
      </w:pPr>
      <w:r w:rsidRPr="00284937">
        <w:t>A.</w:t>
      </w:r>
      <w:r w:rsidRPr="00284937">
        <w:tab/>
        <w:t>tā kā 2014.–2020. gada plānošanas periodā kohēzijas politika, būdama ES galvenā ieguldījumu politika, faktiski atbalstīja tās Līgumā noteikto mērķi panākt ekonomisko, sociālo un teritoriālo kohēziju visā ES; tā kā kohēzijas politika bija arī būtisks ieguldījumu pīlārs stratēģijā "Eiropa 2020", palīdzot sasniegt tās mērķi panākt gudru, ilgtspējīgu un integrējošu izaugsmi; tā kā kohēzijas politika ir vienīgais attīstības instruments, kas ir vērsts uz reģionālām un vietējām vajadzībām un cita starpā uz klimata pārmaiņu negatīvo seku novēršanu;</w:t>
      </w:r>
    </w:p>
    <w:p w:rsidR="003D0B32" w:rsidRPr="00284937" w:rsidRDefault="003D0B32" w:rsidP="003D0B32">
      <w:pPr>
        <w:pStyle w:val="NormalHanging12a"/>
      </w:pPr>
      <w:r w:rsidRPr="00284937">
        <w:t>B.</w:t>
      </w:r>
      <w:r w:rsidRPr="00284937">
        <w:tab/>
        <w:t xml:space="preserve">tā kā klimata pārmaiņas ietekmē visus ES reģionus, izraisot krasas pārmaiņas cilvēku </w:t>
      </w:r>
      <w:r w:rsidRPr="00284937">
        <w:lastRenderedPageBreak/>
        <w:t>dzīvē; tā kā klimata pārmaiņas tādējādi būtiski apdraud Savienības kohēziju;</w:t>
      </w:r>
    </w:p>
    <w:p w:rsidR="003D0B32" w:rsidRPr="00284937" w:rsidRDefault="003D0B32" w:rsidP="003D0B32">
      <w:pPr>
        <w:pStyle w:val="NormalHanging12a"/>
        <w:rPr>
          <w:szCs w:val="24"/>
        </w:rPr>
      </w:pPr>
      <w:r w:rsidRPr="00284937">
        <w:t>C.</w:t>
      </w:r>
      <w:r w:rsidRPr="00284937">
        <w:tab/>
        <w:t xml:space="preserve">tā kā kohēzijas politikas ieguldījumiem visā ES ir bijusi nepārspējami pozitīva ietekme uz reģioniem, pilsētām un salām, kā arī lauku, pierobežas un attāliem reģioniem; tā kā ikkatra ES dalībvalsts tiešā vai netiešā veidā ir izjutusi pozitīvo ietekmi, ko rada no ES budžeta sniegtais finansējums; tā kā daudzu vietējā līmenī īstenoto projektu rezultāti apstiprina kohēzijas politikas reģionālo un vietējo ieguldījumu neaizstājamo lomu un uzsver tās nozīmi un redzamību daudzgadu finanšu shēmā (DFS); </w:t>
      </w:r>
    </w:p>
    <w:p w:rsidR="003D0B32" w:rsidRPr="00284937" w:rsidRDefault="003D0B32" w:rsidP="003D0B32">
      <w:pPr>
        <w:pStyle w:val="NormalHanging12a"/>
        <w:rPr>
          <w:szCs w:val="24"/>
        </w:rPr>
      </w:pPr>
      <w:r w:rsidRPr="00284937">
        <w:t>D.</w:t>
      </w:r>
      <w:r w:rsidRPr="00284937">
        <w:tab/>
        <w:t xml:space="preserve">tā kā kohēzijas politikas </w:t>
      </w:r>
      <w:proofErr w:type="spellStart"/>
      <w:r w:rsidRPr="00284937">
        <w:t>daudzajām</w:t>
      </w:r>
      <w:proofErr w:type="spellEnd"/>
      <w:r w:rsidRPr="00284937">
        <w:t xml:space="preserve"> prioritātēm veltītā ieguldījumu pieeja apvienojumā ar tās dalīto pārvaldību ir veicinājusi ES prioritāšu sasniegšanu, proti, atbalstu mazajiem un vidējiem uzņēmumiem (MVU), pētniecību un inovāciju, </w:t>
      </w:r>
      <w:proofErr w:type="spellStart"/>
      <w:r w:rsidRPr="00284937">
        <w:t>digitalizāciju</w:t>
      </w:r>
      <w:proofErr w:type="spellEnd"/>
      <w:r w:rsidRPr="00284937">
        <w:t xml:space="preserve">, lauku attīstību, labāku pilsētu infrastruktūru, ilgtspējīgu tūrismu, transporta infrastruktūru, kultūru un izglītību, veselības aprūpi, sociālo politiku, pārrobežu projektus, enerģētikas pārkārtošanu, energoefektivitāti, klimata un vides mērķus; </w:t>
      </w:r>
    </w:p>
    <w:p w:rsidR="003D0B32" w:rsidRPr="00284937" w:rsidRDefault="003D0B32" w:rsidP="003D0B32">
      <w:pPr>
        <w:pStyle w:val="NormalHanging12a"/>
        <w:rPr>
          <w:szCs w:val="24"/>
        </w:rPr>
      </w:pPr>
      <w:r w:rsidRPr="00284937">
        <w:t>E.</w:t>
      </w:r>
      <w:r w:rsidRPr="00284937">
        <w:tab/>
        <w:t xml:space="preserve">tā kā, izmantojot tādus instrumentus kā Investīciju iniciatīva reaģēšanai uz </w:t>
      </w:r>
      <w:proofErr w:type="spellStart"/>
      <w:r w:rsidRPr="00284937">
        <w:t>koronavīrusu</w:t>
      </w:r>
      <w:proofErr w:type="spellEnd"/>
      <w:r w:rsidRPr="00284937">
        <w:t xml:space="preserve"> un papildinātā iniciatīva (</w:t>
      </w:r>
      <w:r w:rsidRPr="00284937">
        <w:rPr>
          <w:i/>
        </w:rPr>
        <w:t>CRII un CRII+</w:t>
      </w:r>
      <w:r w:rsidRPr="00284937">
        <w:t>), Kohēzijas rīcība bēgļu atbalstam Eiropā (</w:t>
      </w:r>
      <w:r w:rsidRPr="00284937">
        <w:rPr>
          <w:i/>
        </w:rPr>
        <w:t>CARE</w:t>
      </w:r>
      <w:r w:rsidRPr="00284937">
        <w:t>), Elastīga palīdzība teritorijām (</w:t>
      </w:r>
      <w:r w:rsidRPr="00284937">
        <w:rPr>
          <w:i/>
        </w:rPr>
        <w:t>FAST</w:t>
      </w:r>
      <w:r w:rsidRPr="00284937">
        <w:t xml:space="preserve"> – </w:t>
      </w:r>
      <w:r w:rsidRPr="00284937">
        <w:rPr>
          <w:i/>
        </w:rPr>
        <w:t>CARE</w:t>
      </w:r>
      <w:r w:rsidRPr="00284937">
        <w:t>) un Atbalsts cenas ziņā pieejamai enerģijai (</w:t>
      </w:r>
      <w:r w:rsidRPr="00284937">
        <w:rPr>
          <w:i/>
        </w:rPr>
        <w:t>SAFE</w:t>
      </w:r>
      <w:r w:rsidRPr="00284937">
        <w:t xml:space="preserve">), kohēzijas politika ir bijusi strukturāls balsts pret </w:t>
      </w:r>
      <w:proofErr w:type="spellStart"/>
      <w:r w:rsidRPr="00284937">
        <w:t>daudzajām</w:t>
      </w:r>
      <w:proofErr w:type="spellEnd"/>
      <w:r w:rsidRPr="00284937">
        <w:t xml:space="preserve"> secīgajām krīzēm, kas </w:t>
      </w:r>
      <w:proofErr w:type="spellStart"/>
      <w:r w:rsidRPr="00284937">
        <w:t>skārušas</w:t>
      </w:r>
      <w:proofErr w:type="spellEnd"/>
      <w:r w:rsidRPr="00284937">
        <w:t xml:space="preserve"> Savienību visā 2014.–2020. gada plānošanas periodā, piemēram, COVID-19 pandēmiju, kuras laikā tā saglabāja darbavietas un palīdzēja skartajiem uzņēmumiem, kā arī bēgļu, enerģētikas un inflācijas krīzēm, ko izraisīja Krievijas agresijas karš pret Ukrainu;</w:t>
      </w:r>
    </w:p>
    <w:p w:rsidR="003D0B32" w:rsidRPr="00284937" w:rsidRDefault="003D0B32" w:rsidP="003D0B32">
      <w:pPr>
        <w:pStyle w:val="NormalHanging12a"/>
        <w:rPr>
          <w:szCs w:val="24"/>
        </w:rPr>
      </w:pPr>
      <w:r w:rsidRPr="00284937">
        <w:t>F.</w:t>
      </w:r>
      <w:r w:rsidRPr="00284937">
        <w:tab/>
        <w:t xml:space="preserve">tā kā kohēzijas politika sasaista kopā ES; tā kā budžeta samazināšana un/vai atkārtota nacionalizācija varētu vājināt ES un uzkurināt pret ES vērstu noskaņojumu visā Savienībā; </w:t>
      </w:r>
    </w:p>
    <w:p w:rsidR="003D0B32" w:rsidRPr="00284937" w:rsidRDefault="003D0B32" w:rsidP="003D0B32">
      <w:pPr>
        <w:pStyle w:val="NormalHanging12a"/>
      </w:pPr>
      <w:r w:rsidRPr="00284937">
        <w:t>G.</w:t>
      </w:r>
      <w:r w:rsidRPr="00284937">
        <w:tab/>
        <w:t xml:space="preserve">tā kā Eiropas </w:t>
      </w:r>
      <w:proofErr w:type="spellStart"/>
      <w:r w:rsidRPr="00284937">
        <w:t>pilsētprogramma</w:t>
      </w:r>
      <w:proofErr w:type="spellEnd"/>
      <w:r w:rsidRPr="00284937">
        <w:t>, kuras pamatā ir Leipcigas harta, atbalsta Teritoriālās attīstības programmas 2030. gadam mērķus;</w:t>
      </w:r>
    </w:p>
    <w:p w:rsidR="003D0B32" w:rsidRPr="00284937" w:rsidRDefault="003D0B32" w:rsidP="003D0B32">
      <w:pPr>
        <w:pStyle w:val="NormalHanging12a"/>
        <w:rPr>
          <w:szCs w:val="24"/>
        </w:rPr>
      </w:pPr>
      <w:r w:rsidRPr="00284937">
        <w:t>H.</w:t>
      </w:r>
      <w:r w:rsidRPr="00284937">
        <w:tab/>
        <w:t>tā kā problēmas, ar kurām saskaras Eiropas reģioni, tiek apzinātas un pārvaldītas teritoriālajā līmenī; tā kā kohēzijas politikas atkārtota izmantošana reaģēšanai uz krīzēm un ārkārtas situācijām apdraud šīs politikas dzīvotspēju; tā kā Eiropas Revīzijas palāta ir norādījusi, ka ir rūpīgi jāanalizē šīs kohēzijas resursu pastāvīgās samazināšanas ietekme uz politikas ilgtermiņa mērķiem</w:t>
      </w:r>
      <w:r w:rsidRPr="00284937">
        <w:rPr>
          <w:vertAlign w:val="superscript"/>
        </w:rPr>
        <w:footnoteReference w:id="22"/>
      </w:r>
      <w:r w:rsidRPr="00284937">
        <w:t>;</w:t>
      </w:r>
    </w:p>
    <w:p w:rsidR="003D0B32" w:rsidRPr="00284937" w:rsidRDefault="003D0B32" w:rsidP="003D0B32">
      <w:pPr>
        <w:pStyle w:val="NormalHanging12a"/>
        <w:rPr>
          <w:szCs w:val="24"/>
        </w:rPr>
      </w:pPr>
      <w:r w:rsidRPr="00284937">
        <w:t>I.</w:t>
      </w:r>
      <w:r w:rsidRPr="00284937">
        <w:tab/>
        <w:t>tā kā kohēzijas politika ir ilgtermiņa ieguldījumu politika un tai nevajadzētu kļūt par pirmo izvēli ārkārtas finansējuma avotam, ko izmantot, lai risinātu jebkādas problēmas vai neparedzētus notikumus, jo tas apdraud politikas stratēģisko pieeju; tā kā būtu jāizstrādā skaidri noteikumi par kohēzijas politikas fondu izmantošanu, lai nodrošinātu gan strukturālu pieeju, gan nepieciešamību stāties pretī neparedzētiem notikumiem;</w:t>
      </w:r>
    </w:p>
    <w:p w:rsidR="003D0B32" w:rsidRPr="00284937" w:rsidRDefault="003D0B32" w:rsidP="003D0B32">
      <w:pPr>
        <w:pStyle w:val="NormalHanging12a"/>
        <w:rPr>
          <w:szCs w:val="24"/>
        </w:rPr>
      </w:pPr>
      <w:r w:rsidRPr="00284937">
        <w:t>J.</w:t>
      </w:r>
      <w:r w:rsidRPr="00284937">
        <w:tab/>
        <w:t xml:space="preserve">tā kā arvien vairāk fondu un instrumentu ir izkliedēti dažādos tiesiskajos un stratēģiskajos regulējumos, jo īpaši Atveseļošanas un noturības mehānismā (ANM), kas īsteno kohēzijas prioritātes saskaņā ar atšķirīgu tiesisko regulējumu un īstenošanas modeli, un Eiropas Lauksaimniecības fondā lauku attīstībai (ELFLA), kas vairs nav daļa </w:t>
      </w:r>
      <w:r w:rsidRPr="00284937">
        <w:lastRenderedPageBreak/>
        <w:t xml:space="preserve">no Eiropas strukturālajiem un investīciju fondiem (ESI fondiem); </w:t>
      </w:r>
    </w:p>
    <w:p w:rsidR="003D0B32" w:rsidRPr="00284937" w:rsidRDefault="003D0B32" w:rsidP="003D0B32">
      <w:pPr>
        <w:pStyle w:val="NormalHanging12a"/>
        <w:rPr>
          <w:szCs w:val="24"/>
        </w:rPr>
      </w:pPr>
      <w:r w:rsidRPr="00284937">
        <w:t>K.</w:t>
      </w:r>
      <w:r w:rsidRPr="00284937">
        <w:tab/>
        <w:t>tā kā notiek politikas pakāpeniska erozija, jo veidojas tematiskie fondi un iniciatīvas, ar ko atbalsta konkrētas nozares vai mērķus un paļaujas uz kohēzijas politikas ieguldījumiem, piemēram, Eiropas stratēģisko tehnoloģiju platforma, Akts munīcijas ražošanas atbalstam, Atveseļošanas palīdzība kohēzijai un Eiropas teritorijām (</w:t>
      </w:r>
      <w:r w:rsidRPr="00284937">
        <w:rPr>
          <w:i/>
        </w:rPr>
        <w:t>REACT-EU</w:t>
      </w:r>
      <w:r w:rsidRPr="00284937">
        <w:t xml:space="preserve">) un </w:t>
      </w:r>
      <w:proofErr w:type="spellStart"/>
      <w:r w:rsidRPr="00284937">
        <w:rPr>
          <w:i/>
        </w:rPr>
        <w:t>RePowerEU</w:t>
      </w:r>
      <w:proofErr w:type="spellEnd"/>
      <w:r w:rsidRPr="00284937">
        <w:t>; tā kā tas vājina politikas teritoriālo pieeju;</w:t>
      </w:r>
    </w:p>
    <w:p w:rsidR="003D0B32" w:rsidRPr="00284937" w:rsidRDefault="003D0B32" w:rsidP="003D0B32">
      <w:pPr>
        <w:pStyle w:val="NormalHanging12a"/>
        <w:rPr>
          <w:szCs w:val="24"/>
        </w:rPr>
      </w:pPr>
      <w:r w:rsidRPr="00284937">
        <w:t>L.</w:t>
      </w:r>
      <w:r w:rsidRPr="00284937">
        <w:tab/>
        <w:t>tā kā kohēzijas politikas fondu efektīvai pārvaldībai ir izšķiroša nozīme, lai sasniegtu reģionālās un vietējās attīstības mērķus un vajadzības;</w:t>
      </w:r>
    </w:p>
    <w:p w:rsidR="003D0B32" w:rsidRPr="00284937" w:rsidRDefault="003D0B32" w:rsidP="003D0B32">
      <w:pPr>
        <w:pStyle w:val="NormalHanging12a"/>
      </w:pPr>
      <w:r w:rsidRPr="00284937">
        <w:t>M.</w:t>
      </w:r>
      <w:r w:rsidRPr="00284937">
        <w:tab/>
        <w:t>tā kā kohēzijas politikas fondu uzraudzības sistēma galvenokārt tika izstrādāta, lai atklātu kļūdas, bet tā tik viegli neatklāj krāpšanu;</w:t>
      </w:r>
    </w:p>
    <w:p w:rsidR="003D0B32" w:rsidRPr="00284937" w:rsidRDefault="003D0B32" w:rsidP="003D0B32">
      <w:pPr>
        <w:pStyle w:val="NormalHanging12a"/>
      </w:pPr>
      <w:r w:rsidRPr="00284937">
        <w:t>N.</w:t>
      </w:r>
      <w:r w:rsidRPr="00284937">
        <w:tab/>
        <w:t>tā kā krāpšanas apkarošanai jābalstās uz pastiprinātu un tiešu sadarbību starp Komisijas dienestiem un Eiropas Prokuratūru; tā kā, trūkstot skaidrai atšķirībai starp kļūdām, anomālijām un krāpšanu, ir ievērojami sarežģītāk un grūtāk pārvaldīt un īstenot kohēzijas politiku;</w:t>
      </w:r>
    </w:p>
    <w:p w:rsidR="003D0B32" w:rsidRPr="00284937" w:rsidRDefault="003D0B32" w:rsidP="003D0B32">
      <w:pPr>
        <w:pStyle w:val="NormalHanging12a"/>
        <w:rPr>
          <w:szCs w:val="24"/>
        </w:rPr>
      </w:pPr>
      <w:r w:rsidRPr="00284937">
        <w:t>O.</w:t>
      </w:r>
      <w:r w:rsidRPr="00284937">
        <w:tab/>
        <w:t xml:space="preserve">tā kā aizkavētā 2021.–2027. gada DFS pieņemšana, daudzās nesenās krīzes un </w:t>
      </w:r>
      <w:proofErr w:type="spellStart"/>
      <w:r w:rsidRPr="00284937">
        <w:rPr>
          <w:i/>
        </w:rPr>
        <w:t>NextGenerationEU</w:t>
      </w:r>
      <w:proofErr w:type="spellEnd"/>
      <w:r w:rsidRPr="00284937">
        <w:t xml:space="preserve"> instrumentu ieviešana kavēja kohēzijas politikas ātru īstenošanu visā ES, izraisīja plānošanas un īstenošanas problēmas un ieviesa nenoteiktību plānotajos reģionālajos un vietējos ES ieguldījumos;</w:t>
      </w:r>
    </w:p>
    <w:p w:rsidR="003D0B32" w:rsidRPr="00284937" w:rsidRDefault="003D0B32" w:rsidP="003D0B32">
      <w:pPr>
        <w:pStyle w:val="NormalHanging12a"/>
        <w:rPr>
          <w:szCs w:val="24"/>
        </w:rPr>
      </w:pPr>
      <w:r w:rsidRPr="00284937">
        <w:t>P.</w:t>
      </w:r>
      <w:r w:rsidRPr="00284937">
        <w:tab/>
        <w:t>tā kā ANM juridiskais pamats ir LESD 175. pants, dalībvalstīm un Komisijai būtu jāsasniedz ekonomiskās, sociālās un teritoriālās kohēzijas mērķi un faktiski jāsaskaņo ar kohēzijas politiku;</w:t>
      </w:r>
    </w:p>
    <w:p w:rsidR="003D0B32" w:rsidRPr="00284937" w:rsidRDefault="003D0B32" w:rsidP="003D0B32">
      <w:pPr>
        <w:pStyle w:val="NormalHanging12a"/>
        <w:rPr>
          <w:szCs w:val="24"/>
        </w:rPr>
      </w:pPr>
      <w:r w:rsidRPr="00284937">
        <w:t>Q.</w:t>
      </w:r>
      <w:r w:rsidRPr="00284937">
        <w:tab/>
        <w:t>tā kā daudzos gadījumos dalībvalstis ANM īstenoja vienlaikus ar kohēzijas politiku, bieži vien nekonsultējoties un nesadarbojoties ar vietējām un reģionālajām pašvaldībām, pat ne lai izvērtētu to, kas ticis īstenots; tā kā ES reģioni bieži vien ir vairāk gatavi un spējīgāki īstenot šo finansējumu nekā dalībvalstu valdības;</w:t>
      </w:r>
    </w:p>
    <w:p w:rsidR="003D0B32" w:rsidRPr="00284937" w:rsidRDefault="003D0B32" w:rsidP="003D0B32">
      <w:pPr>
        <w:pStyle w:val="NormalHanging12a"/>
        <w:rPr>
          <w:szCs w:val="24"/>
        </w:rPr>
      </w:pPr>
      <w:r w:rsidRPr="00284937">
        <w:t>R.</w:t>
      </w:r>
      <w:r w:rsidRPr="00284937">
        <w:tab/>
        <w:t xml:space="preserve">tā kā 2014.–2020. gada DFS pēdējais īstenošanas posms bija īpaši prasīgs, jo plānošanas perioda beigās papildu finansējums, kas tika sniegts, reaģējot uz nesenajām krīzēm, tostarp izmantojot </w:t>
      </w:r>
      <w:proofErr w:type="spellStart"/>
      <w:r w:rsidRPr="00284937">
        <w:rPr>
          <w:i/>
        </w:rPr>
        <w:t>NextGenerationEU</w:t>
      </w:r>
      <w:proofErr w:type="spellEnd"/>
      <w:r w:rsidRPr="00284937">
        <w:t>, un 2021.–2027. gada plānošanas perioda sākums pārklājās laikā un radīja papildu spriedzi valstu, reģionālajām un vietējām pārvaldes iestādēm, kura palēnināja īstenošanas tempu un negatīvi ietekmēja to uzraudzības un revīzijas spējas; tā kā saskaņā ar Eiropas Revīzijas palātas informāciju spiediens tērēt lielas summas ļoti īsā laika posmā diemžēl, iespējams, ir veicinājis neatbilstīgu izdevumu pieaugumu</w:t>
      </w:r>
      <w:r w:rsidRPr="00284937">
        <w:rPr>
          <w:vertAlign w:val="superscript"/>
        </w:rPr>
        <w:footnoteReference w:id="23"/>
      </w:r>
      <w:r w:rsidRPr="00284937">
        <w:t>;</w:t>
      </w:r>
    </w:p>
    <w:p w:rsidR="003D0B32" w:rsidRPr="00284937" w:rsidRDefault="003D0B32" w:rsidP="003D0B32">
      <w:pPr>
        <w:pStyle w:val="NormalHanging12a"/>
        <w:rPr>
          <w:szCs w:val="24"/>
        </w:rPr>
      </w:pPr>
      <w:r w:rsidRPr="00284937">
        <w:t>S.</w:t>
      </w:r>
      <w:r w:rsidRPr="00284937">
        <w:tab/>
        <w:t>tā kā kohēzijas politikas īstenošanas rādītāji dalībvalstīs un finansējuma programmās ievērojami atšķiras; tā kā dažās dalībvalstīs un reģionos īstenošanas rādītāji ir pastāvīgi zemi, tāpēc šo programmu pārvaldības efektivitātei ir jāpievērš papildu uzmanība;</w:t>
      </w:r>
    </w:p>
    <w:p w:rsidR="003D0B32" w:rsidRPr="00284937" w:rsidRDefault="003D0B32" w:rsidP="003D0B32">
      <w:pPr>
        <w:pStyle w:val="NormalHanging12a"/>
        <w:rPr>
          <w:szCs w:val="24"/>
        </w:rPr>
      </w:pPr>
      <w:r w:rsidRPr="00284937">
        <w:t>T.</w:t>
      </w:r>
      <w:r w:rsidRPr="00284937">
        <w:tab/>
        <w:t xml:space="preserve">tā kā, neraugoties uz 2014.–2020. gada plānošanas periodā ieviestajiem regulējuma uzlabojumiem un 2021.–2027. gada tiesiskā regulējuma uzlabojumiem, joprojām pastāv vairākas problēmas, tā kā politika ir izrādījusies ļoti sarežģīti īstenojama attiecībā uz </w:t>
      </w:r>
      <w:r w:rsidRPr="00284937">
        <w:lastRenderedPageBreak/>
        <w:t xml:space="preserve">vadošajām iestādēm, kompetentajām vietējām un reģionālajām iestādēm un </w:t>
      </w:r>
      <w:proofErr w:type="spellStart"/>
      <w:r w:rsidRPr="00284937">
        <w:t>galasaņēmējiem</w:t>
      </w:r>
      <w:proofErr w:type="spellEnd"/>
      <w:r w:rsidRPr="00284937">
        <w:t>;</w:t>
      </w:r>
    </w:p>
    <w:p w:rsidR="003D0B32" w:rsidRPr="00284937" w:rsidRDefault="003D0B32" w:rsidP="003D0B32">
      <w:pPr>
        <w:pStyle w:val="NormalHanging12a"/>
        <w:rPr>
          <w:szCs w:val="24"/>
        </w:rPr>
      </w:pPr>
      <w:r w:rsidRPr="00284937">
        <w:t>U.</w:t>
      </w:r>
      <w:r w:rsidRPr="00284937">
        <w:tab/>
        <w:t>tā kā publiskā iepirkuma noteikumi daudzās dalībvalstīs līdztekus papildu valsts revīzijai un uzraudzībai rada papildu slogu vadošajām iestādēm un atbalsta saņēmējiem;</w:t>
      </w:r>
    </w:p>
    <w:p w:rsidR="003D0B32" w:rsidRPr="00284937" w:rsidRDefault="003D0B32" w:rsidP="003D0B32">
      <w:pPr>
        <w:pStyle w:val="NormalHanging12a"/>
        <w:rPr>
          <w:szCs w:val="24"/>
        </w:rPr>
      </w:pPr>
      <w:r w:rsidRPr="00284937">
        <w:t>V.</w:t>
      </w:r>
      <w:r w:rsidRPr="00284937">
        <w:tab/>
        <w:t xml:space="preserve">tā kā, lai gan ir ārkārtīgi svarīgi visā plānošanas periodā ievērot stratēģisku pieeju, </w:t>
      </w:r>
      <w:proofErr w:type="spellStart"/>
      <w:r w:rsidRPr="00284937">
        <w:t>vidusposmā</w:t>
      </w:r>
      <w:proofErr w:type="spellEnd"/>
      <w:r w:rsidRPr="00284937">
        <w:t xml:space="preserve"> vajadzētu būt iespējai šo pieeju pārvērtēt un pielāgot; tā kā kohēzijas politikas plānošanā tomēr ir nepieciešama pietiekama elastība, lai reaģētu uz neparedzētiem notikumiem plānošanas periodā; </w:t>
      </w:r>
    </w:p>
    <w:p w:rsidR="003D0B32" w:rsidRPr="00284937" w:rsidRDefault="0087781F" w:rsidP="003D0B32">
      <w:pPr>
        <w:pStyle w:val="NormalHanging12a"/>
        <w:rPr>
          <w:szCs w:val="24"/>
        </w:rPr>
      </w:pPr>
      <w:r>
        <w:t>W</w:t>
      </w:r>
      <w:r w:rsidR="003D0B32" w:rsidRPr="00284937">
        <w:t>.</w:t>
      </w:r>
      <w:r w:rsidR="003D0B32" w:rsidRPr="00284937">
        <w:tab/>
        <w:t xml:space="preserve">tā kā kohēzijas politikas finansēšanā būtu jāievēro ES </w:t>
      </w:r>
      <w:proofErr w:type="spellStart"/>
      <w:r w:rsidR="003D0B32" w:rsidRPr="00284937">
        <w:t>Pamattiesību</w:t>
      </w:r>
      <w:proofErr w:type="spellEnd"/>
      <w:r w:rsidR="003D0B32" w:rsidRPr="00284937">
        <w:t xml:space="preserve"> harta, tiesiskuma princips un Eiropas rīcības kodekss attiecībā uz partnerību</w:t>
      </w:r>
      <w:r w:rsidR="003D0B32" w:rsidRPr="00284937">
        <w:rPr>
          <w:rStyle w:val="FootnoteReference"/>
        </w:rPr>
        <w:footnoteReference w:id="24"/>
      </w:r>
      <w:r w:rsidR="003D0B32" w:rsidRPr="00284937">
        <w:t>;</w:t>
      </w:r>
    </w:p>
    <w:p w:rsidR="003D0B32" w:rsidRPr="00284937" w:rsidRDefault="003D0B32" w:rsidP="003D0B32">
      <w:pPr>
        <w:pStyle w:val="NormalHanging12a"/>
        <w:rPr>
          <w:szCs w:val="24"/>
        </w:rPr>
      </w:pPr>
      <w:r w:rsidRPr="00284937">
        <w:t>X.</w:t>
      </w:r>
      <w:r w:rsidRPr="00284937">
        <w:tab/>
        <w:t xml:space="preserve">tā kā ir būtiski jāstiprina </w:t>
      </w:r>
      <w:proofErr w:type="spellStart"/>
      <w:r w:rsidRPr="00284937">
        <w:t>daudzlīmeņu</w:t>
      </w:r>
      <w:proofErr w:type="spellEnd"/>
      <w:r w:rsidRPr="00284937">
        <w:t xml:space="preserve"> pārvaldības un partnerības principi, lai efektīvi iesaistītu vietējo un reģionālo līmeni ES līdzekļu plānošanā, pārplānošanā un īstenošanā;</w:t>
      </w:r>
    </w:p>
    <w:p w:rsidR="003D0B32" w:rsidRPr="00284937" w:rsidRDefault="003D0B32" w:rsidP="003D0B32">
      <w:pPr>
        <w:pStyle w:val="NormalHanging12a"/>
        <w:rPr>
          <w:szCs w:val="24"/>
        </w:rPr>
      </w:pPr>
      <w:r w:rsidRPr="00284937">
        <w:t>Y.</w:t>
      </w:r>
      <w:r w:rsidRPr="00284937">
        <w:tab/>
        <w:t>tā kā kohēzijas politika gadu gaitā ir efektīvi palīdzējusi mazināt atšķirības, bet, kā norādīts astotajā kohēzijas ziņojumā, pastāv zināma nevienlīdzība starp dalībvalstīm, starp reģioniem un to iekšienē, starp dažāda veida teritorijām (kā minēts LESD 174. un 349. pantā) un bagātākajās pilsētu teritorijās; tā kā ir parādījušās arī jaunas atšķirības, piemēram, reģionālā inovācijas plaisa;</w:t>
      </w:r>
    </w:p>
    <w:p w:rsidR="003D0B32" w:rsidRPr="00284937" w:rsidRDefault="003D0B32" w:rsidP="003D0B32">
      <w:pPr>
        <w:pStyle w:val="NormalHanging12a"/>
      </w:pPr>
      <w:r w:rsidRPr="00284937">
        <w:t>Z.</w:t>
      </w:r>
      <w:r w:rsidRPr="00284937">
        <w:tab/>
        <w:t>tā kā tālākie reģioni un salu teritorijas ar aizjūras zemju un teritoriju statusu saskaras ar ievērojamu skaitu strukturālu ierobežojumu un ir mazāk attīstīti nekā to dalībvalstu kontinentālie reģioni; tā kā stabila un paredzama normatīvā vide ir īpaši svarīga kohēzijas politikas fondu efektīvai pārvaldībai šajos reģionos;</w:t>
      </w:r>
    </w:p>
    <w:p w:rsidR="003D0B32" w:rsidRPr="00284937" w:rsidRDefault="003D0B32" w:rsidP="003D0B32">
      <w:pPr>
        <w:pStyle w:val="NormalHanging12a"/>
        <w:rPr>
          <w:szCs w:val="24"/>
        </w:rPr>
      </w:pPr>
      <w:r w:rsidRPr="00284937">
        <w:t>AA.</w:t>
      </w:r>
      <w:r w:rsidRPr="00284937">
        <w:tab/>
        <w:t>tā kā zaļā un digitālā pārkārtošanās visā ES notiek ļoti atšķirīgā ātrumā un tā būtu pienācīgi jāpārvalda, lai novērstu negatīvu ietekmi uz konkrētiem reģioniem un vēl lielākas atšķirības;</w:t>
      </w:r>
    </w:p>
    <w:p w:rsidR="003D0B32" w:rsidRPr="00284937" w:rsidRDefault="003D0B32" w:rsidP="003D0B32">
      <w:pPr>
        <w:pStyle w:val="NormalHanging12a"/>
        <w:rPr>
          <w:szCs w:val="24"/>
        </w:rPr>
      </w:pPr>
      <w:r w:rsidRPr="00284937">
        <w:t>AB.</w:t>
      </w:r>
      <w:r w:rsidRPr="00284937">
        <w:tab/>
        <w:t>tā kā, kamēr ES austrumu reģioni ir izlīdzinājušies, citos reģionos, jo īpaši ES dienvidos, ir iestājusies stagnācija; tā kā daži reģioni ir nokļuvuši attīstības slazdā, ko raksturo ilgstoši lēnas vai negatīvas izaugsmes periodi ar zemu produktivitāti un zemu darbavietu radīšanas līmeni;</w:t>
      </w:r>
    </w:p>
    <w:p w:rsidR="003D0B32" w:rsidRPr="00284937" w:rsidRDefault="003D0B32" w:rsidP="003D0B32">
      <w:pPr>
        <w:pStyle w:val="NormalHanging12a"/>
        <w:rPr>
          <w:szCs w:val="24"/>
        </w:rPr>
      </w:pPr>
      <w:r w:rsidRPr="00284937">
        <w:t>AC.</w:t>
      </w:r>
      <w:r w:rsidRPr="00284937">
        <w:tab/>
        <w:t xml:space="preserve">tā kā Krievijas agresijas karš pret Ukrainu ir īpaši </w:t>
      </w:r>
      <w:proofErr w:type="spellStart"/>
      <w:r w:rsidRPr="00284937">
        <w:t>skāris</w:t>
      </w:r>
      <w:proofErr w:type="spellEnd"/>
      <w:r w:rsidRPr="00284937">
        <w:t xml:space="preserve"> ES austrumu pierobežas apgabalus;</w:t>
      </w:r>
    </w:p>
    <w:p w:rsidR="003D0B32" w:rsidRPr="00284937" w:rsidRDefault="003D0B32" w:rsidP="003D0B32">
      <w:pPr>
        <w:pStyle w:val="NormalHanging12a"/>
        <w:rPr>
          <w:szCs w:val="24"/>
        </w:rPr>
      </w:pPr>
      <w:r w:rsidRPr="00284937">
        <w:t>AD.</w:t>
      </w:r>
      <w:r w:rsidRPr="00284937">
        <w:tab/>
        <w:t>tā kā demogrāfiskā novecošana Eiropas Savienībā kopumā ir izraisījusi darbspējīgā vecuma iedzīvotāju skaita samazināšanos; tā kā vairāki ES reģioni saskaras ar jauno un kvalificēto darbinieku aiziešanu; tā kā šīs satraucošās demogrāfiskās tendences īpaši skar ES lauku, nomaļos, tālākos un rūpniecības pārejas reģionus; tā kā šīm tendencēm būs nevēlama ilgtermiņa ietekme uz ES, ja tās netiks risinātas;</w:t>
      </w:r>
    </w:p>
    <w:p w:rsidR="003D0B32" w:rsidRPr="00284937" w:rsidRDefault="003D0B32" w:rsidP="003D0B32">
      <w:pPr>
        <w:pStyle w:val="NormalHanging12a"/>
      </w:pPr>
      <w:r w:rsidRPr="00284937">
        <w:t>AE.</w:t>
      </w:r>
      <w:r w:rsidRPr="00284937">
        <w:tab/>
        <w:t xml:space="preserve">tā kā, lai īstenotu ES </w:t>
      </w:r>
      <w:proofErr w:type="spellStart"/>
      <w:r w:rsidRPr="00284937">
        <w:t>pirmspievienošanās</w:t>
      </w:r>
      <w:proofErr w:type="spellEnd"/>
      <w:r w:rsidRPr="00284937">
        <w:t xml:space="preserve"> un paplašināšanās procesus, reģionālajai </w:t>
      </w:r>
      <w:r w:rsidRPr="00284937">
        <w:lastRenderedPageBreak/>
        <w:t>attīstībai un kohēzijas politikai ir nepieciešama līdzsvarota un mērķtiecīga loma,</w:t>
      </w:r>
    </w:p>
    <w:p w:rsidR="003D0B32" w:rsidRPr="00284937" w:rsidRDefault="003D0B32" w:rsidP="003D0B32">
      <w:pPr>
        <w:pStyle w:val="NormalHanging12a"/>
        <w:rPr>
          <w:b/>
          <w:i/>
        </w:rPr>
      </w:pPr>
      <w:r w:rsidRPr="00284937">
        <w:rPr>
          <w:b/>
          <w:i/>
        </w:rPr>
        <w:t>Rezultāti</w:t>
      </w:r>
    </w:p>
    <w:p w:rsidR="003D0B32" w:rsidRPr="00284937" w:rsidRDefault="003D0B32" w:rsidP="003D0B32">
      <w:pPr>
        <w:pStyle w:val="NormalHanging12a"/>
        <w:rPr>
          <w:szCs w:val="24"/>
        </w:rPr>
      </w:pPr>
      <w:r w:rsidRPr="00284937">
        <w:t>1.</w:t>
      </w:r>
      <w:r w:rsidRPr="00284937">
        <w:tab/>
        <w:t>norāda, ka dalībvalstu veiktie novērtējumi par 2014.–2020. gada kohēzijas politikas ieguldījumu rezultātiem liecina, ka kopumā kohēzijas politika ir devusi pozitīvus rezultātus jomās, kuras tā atbalstīja</w:t>
      </w:r>
      <w:r w:rsidRPr="00284937">
        <w:rPr>
          <w:vertAlign w:val="superscript"/>
        </w:rPr>
        <w:footnoteReference w:id="25"/>
      </w:r>
      <w:r w:rsidRPr="00284937">
        <w:rPr>
          <w:vertAlign w:val="superscript"/>
        </w:rPr>
        <w:t>,</w:t>
      </w:r>
      <w:r w:rsidRPr="00284937">
        <w:rPr>
          <w:rStyle w:val="FootnoteReference"/>
        </w:rPr>
        <w:footnoteReference w:id="26"/>
      </w:r>
      <w:r w:rsidRPr="00284937">
        <w:t>; atzīst, ka šādi ieguldījumi ir palīdzējuši sasniegt stratēģijas "Eiropa 2020" mērķi – gudru, ilgtspējīgu un integrējošu izaugsmi;</w:t>
      </w:r>
    </w:p>
    <w:p w:rsidR="003D0B32" w:rsidRPr="00284937" w:rsidRDefault="003D0B32" w:rsidP="003D0B32">
      <w:pPr>
        <w:pStyle w:val="NormalHanging12a"/>
        <w:rPr>
          <w:szCs w:val="24"/>
        </w:rPr>
      </w:pPr>
      <w:r w:rsidRPr="00284937">
        <w:t>2.</w:t>
      </w:r>
      <w:r w:rsidRPr="00284937">
        <w:tab/>
        <w:t xml:space="preserve">atzinīgi vērtē kohēzijas politikas ieguldījumu pētniecībā un inovācijā, jo tas cita starpā stiprināja sadarbību starp pētnieku aprindām un uzņēmumiem un palīdzēja pārvērst pētniecību tirgojamos produktos vai pakalpojumos; atzīmē, ka saskaņā ar Komisijas datiem līdz 2022. gada beigām vairāk nekā 75 000 uzņēmumu bija sadarbojušies ar pētniecības iestādēm un aptuveni 37 000 bija ieviesuši tirgū jaunus produktus, pateicoties atbalstam no </w:t>
      </w:r>
      <w:r w:rsidRPr="00284937">
        <w:rPr>
          <w:rStyle w:val="expandableitem"/>
        </w:rPr>
        <w:t>Eiropas Reģionālās attīstības fonda (ERAF)</w:t>
      </w:r>
      <w:r w:rsidRPr="00284937">
        <w:rPr>
          <w:vertAlign w:val="superscript"/>
        </w:rPr>
        <w:footnoteReference w:id="27"/>
      </w:r>
      <w:r w:rsidRPr="00284937">
        <w:t>; turklāt atzīmē, ka līdz tam pašam datumam vairāk nekā 72 000 pētnieku strādāja labākās telpās</w:t>
      </w:r>
      <w:r w:rsidRPr="00284937">
        <w:rPr>
          <w:vertAlign w:val="superscript"/>
        </w:rPr>
        <w:footnoteReference w:id="28"/>
      </w:r>
      <w:r w:rsidRPr="00284937">
        <w:t>; uzsver, ka kohēzijas politika ir arī palīdzējusi pārvarēt digitālo plaisu starp reģioniem, atbalstot informācijas un komunikāciju tehnoloģiju infrastruktūras attīstību mazāk attīstītos reģionos; atzinīgi vērtē to, ka tādējādi līdz 2022. gada beigām 7,8 miljoniem mājsaimniecību tika nodrošināta labāka platjoslas piekļuve</w:t>
      </w:r>
      <w:r w:rsidRPr="00284937">
        <w:rPr>
          <w:vertAlign w:val="superscript"/>
        </w:rPr>
        <w:footnoteReference w:id="29"/>
      </w:r>
      <w:r w:rsidRPr="00284937">
        <w:t>;</w:t>
      </w:r>
    </w:p>
    <w:p w:rsidR="003D0B32" w:rsidRPr="00284937" w:rsidRDefault="003D0B32" w:rsidP="003D0B32">
      <w:pPr>
        <w:pStyle w:val="NormalHanging12a"/>
        <w:rPr>
          <w:szCs w:val="24"/>
        </w:rPr>
      </w:pPr>
      <w:r w:rsidRPr="00284937">
        <w:t>3.</w:t>
      </w:r>
      <w:r w:rsidRPr="00284937">
        <w:tab/>
        <w:t>norāda, ka kohēzijas politikas atbalsts ir devis taustāmus ieguvumus arī tūkstošiem MVU; uzsver, ka šī ir bijusi viena no sekmīgākajām ERAF atbalsta jomām; uzsver, ka līdz 2022. gada beigām ERAF bija sniedzis atbalstu vairāk nekā 2,2 miljoniem uzņēmumu, kas radīja aptuveni 370 000 darbavietu</w:t>
      </w:r>
      <w:r w:rsidRPr="00284937">
        <w:rPr>
          <w:vertAlign w:val="superscript"/>
        </w:rPr>
        <w:footnoteReference w:id="30"/>
      </w:r>
      <w:r w:rsidRPr="00284937">
        <w:t>; atzīmē, ka Čehijā, Polijā, Vācijā, Nīderlandē un Austrijā veiktajos novērtējumos ir minēti piemēri par MVU, kas ir kļuvuši konkurētspējīgāki un inovatīvāki, palielinājuši savu produktivitāti un guvuši labāku piekļuvi starptautiskajiem tirgiem</w:t>
      </w:r>
      <w:r w:rsidRPr="00284937">
        <w:rPr>
          <w:vertAlign w:val="superscript"/>
        </w:rPr>
        <w:footnoteReference w:id="31"/>
      </w:r>
      <w:r w:rsidRPr="00284937">
        <w:t>;</w:t>
      </w:r>
    </w:p>
    <w:p w:rsidR="003D0B32" w:rsidRPr="00284937" w:rsidRDefault="003D0B32" w:rsidP="003D0B32">
      <w:pPr>
        <w:pStyle w:val="NormalHanging12a"/>
        <w:rPr>
          <w:szCs w:val="24"/>
        </w:rPr>
      </w:pPr>
      <w:r w:rsidRPr="00284937">
        <w:t>4.</w:t>
      </w:r>
      <w:r w:rsidRPr="00284937">
        <w:tab/>
        <w:t xml:space="preserve">uzsver, ka kohēzijai ir bijusi būtiska nozīme arī pārejā uz </w:t>
      </w:r>
      <w:proofErr w:type="spellStart"/>
      <w:r w:rsidRPr="00284937">
        <w:t>mazoglekļa</w:t>
      </w:r>
      <w:proofErr w:type="spellEnd"/>
      <w:r w:rsidRPr="00284937">
        <w:t xml:space="preserve"> ekonomiku; norāda, ka šīs pārejas galvenā sastāvdaļa ir enerģijas patēriņa samazināšana ēkās un ka kohēzijas politikas atbalsts šajā jomā jau ir devis rezultātus; atzinīgi vērtē to, ka dalībvalstu novērtējumi liecina, ka energoefektivitātes uzlabošanas pasākumi ir bijuši efektīvi visā ES</w:t>
      </w:r>
      <w:r w:rsidRPr="00284937">
        <w:rPr>
          <w:vertAlign w:val="superscript"/>
        </w:rPr>
        <w:footnoteReference w:id="32"/>
      </w:r>
      <w:r w:rsidRPr="00284937">
        <w:t xml:space="preserve">; norāda, ka līdz 2022. gada beigām ERAF ir palīdzējis uzlabot energoefektivitāti 550 000 mājsaimniecību; uzsver, ka ir pierādījumi tam, ka kohēzijas politika atbalstīja ieguldījumus vairākos ogļu ieguves reģionos un tas veicināja </w:t>
      </w:r>
      <w:r w:rsidRPr="00284937">
        <w:lastRenderedPageBreak/>
        <w:t xml:space="preserve">dekarbonizāciju; atzīmē, ka Astūrijā, Spānijā, centieni bija vērsti uz jauniešu un sieviešu nodarbinātību lauku apvidos nolūkā stimulēt uzņēmējdarbību un sociālo iekļaušanu; norāda arī, ka Bulgārijā, </w:t>
      </w:r>
      <w:proofErr w:type="spellStart"/>
      <w:r w:rsidRPr="00284937">
        <w:t>Jugoiztočenas</w:t>
      </w:r>
      <w:proofErr w:type="spellEnd"/>
      <w:r w:rsidRPr="00284937">
        <w:t xml:space="preserve"> reģionā kohēzijas politikas fondi galveno uzmanību pievērsuši energoefektivitātei, MVU modernizācijai un prasmju attīstības veicināšanai</w:t>
      </w:r>
      <w:r w:rsidRPr="00284937">
        <w:rPr>
          <w:vertAlign w:val="superscript"/>
        </w:rPr>
        <w:footnoteReference w:id="33"/>
      </w:r>
      <w:r w:rsidRPr="00284937">
        <w:t xml:space="preserve">; atzīst, ka pasākumi, kas vērsti uz atjaunojamās enerģijas ražošanu, līdz 2022. gada beigām par 6000 MW ir palielinājuši atjaunojamās enerģijas ražošanas jaudu ES, nosakot </w:t>
      </w:r>
      <w:proofErr w:type="spellStart"/>
      <w:r w:rsidRPr="00284937">
        <w:t>mērķrādītāju</w:t>
      </w:r>
      <w:proofErr w:type="spellEnd"/>
      <w:r w:rsidRPr="00284937">
        <w:t xml:space="preserve"> 8700 MW apmērā līdz 2023. gada beigām</w:t>
      </w:r>
      <w:r w:rsidRPr="00284937">
        <w:rPr>
          <w:vertAlign w:val="superscript"/>
        </w:rPr>
        <w:footnoteReference w:id="34"/>
      </w:r>
      <w:r w:rsidRPr="00284937">
        <w:t>; atzīmē, ka šajā jomā ir saņemti ziņojumi par pozitīviem rezultātiem, piemēram, Igaunijā un Francijas reģionos</w:t>
      </w:r>
      <w:r w:rsidRPr="00284937">
        <w:rPr>
          <w:vertAlign w:val="superscript"/>
        </w:rPr>
        <w:footnoteReference w:id="35"/>
      </w:r>
      <w:r w:rsidRPr="00284937">
        <w:t>;</w:t>
      </w:r>
    </w:p>
    <w:p w:rsidR="003D0B32" w:rsidRPr="00284937" w:rsidRDefault="003D0B32" w:rsidP="003D0B32">
      <w:pPr>
        <w:pStyle w:val="NormalHanging12a"/>
        <w:rPr>
          <w:szCs w:val="24"/>
        </w:rPr>
      </w:pPr>
      <w:r w:rsidRPr="00284937">
        <w:t>5.</w:t>
      </w:r>
      <w:r w:rsidRPr="00284937">
        <w:tab/>
        <w:t>uzsver, ka ar pielāgošanos klimata pārmaiņām un riska novēršanu saistīto centienu novērtējumi liecina par to, ka ir nepieciešama pārrobežu sadarbība, lai kohēzijas politikas finansētie pasākumi būtu patiesi efektīvi; uzsver, ka dažas valstis jau ir īstenojušas kopīgus riska novēršanas un civilās aizsardzības pasākumus, norāda, ka šāda sadarbība ir notikusi starp Itāliju un Franciju, Čehiju un Poliju, kā arī Itāliju un Austriju</w:t>
      </w:r>
      <w:r w:rsidRPr="00284937">
        <w:rPr>
          <w:vertAlign w:val="superscript"/>
        </w:rPr>
        <w:footnoteReference w:id="36"/>
      </w:r>
      <w:r w:rsidRPr="00284937">
        <w:t>; uzsver — attiecībā uz pielāgošanos klimata pārmaiņām —, ka ar kohēzijas ieguldījumu palīdzību 29 miljoni cilvēku tagad ir mazāk pakļauti plūdiem</w:t>
      </w:r>
      <w:r w:rsidRPr="00284937">
        <w:rPr>
          <w:vertAlign w:val="superscript"/>
        </w:rPr>
        <w:footnoteReference w:id="37"/>
      </w:r>
      <w:r w:rsidRPr="00284937">
        <w:t>;</w:t>
      </w:r>
    </w:p>
    <w:p w:rsidR="003D0B32" w:rsidRPr="00284937" w:rsidRDefault="003D0B32" w:rsidP="003D0B32">
      <w:pPr>
        <w:pStyle w:val="NormalHanging12a"/>
        <w:rPr>
          <w:szCs w:val="24"/>
        </w:rPr>
      </w:pPr>
      <w:r w:rsidRPr="00284937">
        <w:t>6.</w:t>
      </w:r>
      <w:r w:rsidRPr="00284937">
        <w:tab/>
        <w:t>norāda, ka kohēzijas atbalsts no ERAF un Kohēzijas fonda ir arī palielinājis to cilvēku skaitu, kuri gūst labumu no labākas ūdensapgādes (8,3 miljoni cilvēku līdz 2022. gada beigām</w:t>
      </w:r>
      <w:r w:rsidRPr="00284937">
        <w:rPr>
          <w:vertAlign w:val="superscript"/>
        </w:rPr>
        <w:footnoteReference w:id="38"/>
      </w:r>
      <w:r w:rsidRPr="00284937">
        <w:t>) un labākas sadzīves atkritumu apsaimniekošanas; atzīmē, ka lielākā daļa saņēmēju (70 %), uz kuriem vērsti ūdensapgādes uzlabošanas pasākumi, dzīvo Itālijā, Rumānijā, Grieķijā, Portugālē, Bulgārijā un Čehijā; norāda arī, ka Francijā un Beļģijā kohēzijas finansētie projekti ir palīdzējuši veicināt aprites ekonomiku</w:t>
      </w:r>
      <w:r w:rsidRPr="00284937">
        <w:rPr>
          <w:vertAlign w:val="superscript"/>
        </w:rPr>
        <w:footnoteReference w:id="39"/>
      </w:r>
      <w:r w:rsidRPr="00284937">
        <w:t>;</w:t>
      </w:r>
    </w:p>
    <w:p w:rsidR="003D0B32" w:rsidRPr="00284937" w:rsidRDefault="003D0B32" w:rsidP="003D0B32">
      <w:pPr>
        <w:pStyle w:val="NormalHanging12a"/>
        <w:rPr>
          <w:szCs w:val="24"/>
        </w:rPr>
      </w:pPr>
      <w:r w:rsidRPr="00284937">
        <w:t>7.</w:t>
      </w:r>
      <w:r w:rsidRPr="00284937">
        <w:tab/>
        <w:t>uzsver, ka enerģētikas un transporta tīkli ir saņēmuši ievērojamus ieguldījumus no ERAF un Kohēzijas fonda; atzīmē, ka, lai gan šāda veida infrastruktūras projekta ietekmi var pienācīgi novērtēt tikai ilgtermiņā, saskaņā ar Polijā un Čehijā veiktajiem novērtējumiem daži ieguldījumi autoceļu un dzelzceļa infrastruktūrā jau ir samazinājuši ceļu satiksmes negadījumu skaitu, saīsinājuši braukšanas laiku un samazinājuši piesārņojumu</w:t>
      </w:r>
      <w:r w:rsidRPr="00284937">
        <w:rPr>
          <w:vertAlign w:val="superscript"/>
        </w:rPr>
        <w:footnoteReference w:id="40"/>
      </w:r>
      <w:r w:rsidRPr="00284937">
        <w:t>; atzinīgi vērtē to, ka Slovākijā tramvaja līniju modernizācija ir uzlabojusi savienojumus, samazinājusi braukšanas laiku, uzlabojusi drošību un palīdzējusi samazināt troksni un vibrācijas</w:t>
      </w:r>
      <w:r w:rsidRPr="00284937">
        <w:rPr>
          <w:vertAlign w:val="superscript"/>
        </w:rPr>
        <w:footnoteReference w:id="41"/>
      </w:r>
      <w:r w:rsidRPr="00284937">
        <w:t xml:space="preserve">; norāda, ka turklāt finansētie dabasgāzes projekti tādās dalībvalstīs kā Polija un Bulgārija ir palīdzējuši sasniegt stratēģisko mērķi dažādot to </w:t>
      </w:r>
      <w:r w:rsidRPr="00284937">
        <w:lastRenderedPageBreak/>
        <w:t>energoapgādi</w:t>
      </w:r>
      <w:r w:rsidRPr="00284937">
        <w:rPr>
          <w:vertAlign w:val="superscript"/>
        </w:rPr>
        <w:footnoteReference w:id="42"/>
      </w:r>
      <w:r w:rsidRPr="00284937">
        <w:t xml:space="preserve">; atzinīgi vērtē to, ka Grieķijas un Bulgārijas gāzes </w:t>
      </w:r>
      <w:proofErr w:type="spellStart"/>
      <w:r w:rsidRPr="00284937">
        <w:t>starpsavienojums</w:t>
      </w:r>
      <w:proofErr w:type="spellEnd"/>
      <w:r w:rsidRPr="00284937">
        <w:t xml:space="preserve"> Bulgārijā, ko atbalsta no ERAF, sāka darboties 2022. gada oktobrī un veicina ES stratēģisko mērķu sasniegšanu attiecībā uz energoapgādes autonomiju un avotu diversifikāciju</w:t>
      </w:r>
      <w:r w:rsidRPr="00284937">
        <w:rPr>
          <w:vertAlign w:val="superscript"/>
        </w:rPr>
        <w:footnoteReference w:id="43"/>
      </w:r>
      <w:r w:rsidRPr="00284937">
        <w:t>;</w:t>
      </w:r>
    </w:p>
    <w:p w:rsidR="003D0B32" w:rsidRPr="00284937" w:rsidRDefault="003D0B32" w:rsidP="003D0B32">
      <w:pPr>
        <w:pStyle w:val="NormalHanging12a"/>
        <w:rPr>
          <w:szCs w:val="24"/>
        </w:rPr>
      </w:pPr>
      <w:r w:rsidRPr="00284937">
        <w:t>8.</w:t>
      </w:r>
      <w:r w:rsidRPr="00284937">
        <w:tab/>
        <w:t>atzīst, ka kohēzija, jo īpaši izmantojot Eiropas Sociālo fondu (ESF) un Jaunatnes nodarbinātības iniciatīvu, ir atbalstījusi sekmīgus nodarbinātības, sociālās iekļaušanas, kā arī izglītības un profesionālās apmācības pasākumus; uzsver, ka līdz 2022. gada beigām 6,8 miljoni cilvēku bija atraduši darbu, pateicoties ESF un Jaunatnes nodarbinātības iniciatīvas atbalstītajiem pasākumiem, un 10,2 miljoni cilvēku bija ieguvuši kvalifikāciju</w:t>
      </w:r>
      <w:r w:rsidRPr="00284937">
        <w:rPr>
          <w:vertAlign w:val="superscript"/>
        </w:rPr>
        <w:footnoteReference w:id="44"/>
      </w:r>
      <w:r w:rsidRPr="00284937">
        <w:t>;</w:t>
      </w:r>
    </w:p>
    <w:p w:rsidR="003D0B32" w:rsidRPr="00284937" w:rsidRDefault="003D0B32" w:rsidP="003D0B32">
      <w:pPr>
        <w:pStyle w:val="NormalHanging12a"/>
        <w:rPr>
          <w:szCs w:val="24"/>
        </w:rPr>
      </w:pPr>
      <w:r w:rsidRPr="00284937">
        <w:t>9.</w:t>
      </w:r>
      <w:r w:rsidRPr="00284937">
        <w:tab/>
        <w:t>uzsver, ka novērtējumi no tādām dalībvalstīm kā Itālija, Vācija, Polija un Īrija ir parādījuši, ka cilvēkiem, jo īpaši jauniešiem, kuri piedalījās mācību pasākumos, māceklībā vai stažēšanās praksē, ko atbalstīja kohēzijas politikas fondi, bija ievērojami lielākas izredzes atrast darbu</w:t>
      </w:r>
      <w:r w:rsidRPr="00284937">
        <w:rPr>
          <w:vertAlign w:val="superscript"/>
        </w:rPr>
        <w:footnoteReference w:id="45"/>
      </w:r>
      <w:r w:rsidRPr="00284937">
        <w:t>; atzīmē, ka Polija un Īrija, īstenojot projektus, kas vērsti uz ilgtermiņa bezdarbniekiem, ir sasniegušas labus rezultātus; tāpat norāda, ka Ungārijā veiktajā Jaunatnes nodarbinātības iniciatīvas 2014.–2020. gadam novērtējumā</w:t>
      </w:r>
      <w:r w:rsidRPr="00284937">
        <w:rPr>
          <w:vertAlign w:val="superscript"/>
        </w:rPr>
        <w:footnoteReference w:id="46"/>
      </w:r>
      <w:r w:rsidRPr="00284937">
        <w:t xml:space="preserve"> tika konstatēts, ka programma ir būtiski veicinājusi varbūtību, ka dalībnieki tiks nodarbināti īstermiņā, taču ar laiku šī ietekme mazinājās; uzsver, ka citā Ungārijas veiktajā novērtējumā</w:t>
      </w:r>
      <w:r w:rsidRPr="00284937">
        <w:rPr>
          <w:vertAlign w:val="superscript"/>
        </w:rPr>
        <w:footnoteReference w:id="47"/>
      </w:r>
      <w:r w:rsidRPr="00284937">
        <w:t xml:space="preserve"> secināts, ka darba tirgus integrācijas atbalsta shēmām, ko finansē no ESF, ir bijusi pozitīva un būtiska ietekme uz darba atrašanu; atzīmē, ka Zviedrijā veiktajā Jaunatnes nodarbinātības iniciatīvas novērtējumā</w:t>
      </w:r>
      <w:r w:rsidRPr="00284937">
        <w:rPr>
          <w:vertAlign w:val="superscript"/>
        </w:rPr>
        <w:footnoteReference w:id="48"/>
      </w:r>
      <w:r w:rsidRPr="00284937">
        <w:t xml:space="preserve"> tika konstatēta vispārēja pozitīva ietekme uz dalībnieku nodarbinātību, jo īpaši attiecībā uz ārvalstu izcelsmes dalībniekiem; uzsver, ka mācību pasākumi gan skolēniem, gan skolotājiem ir pozitīvi ietekmējuši priekšlaicīgas mācību pārtraukšanas rādītājus, piemēram, Vācijā, Portugālē un Spānijā</w:t>
      </w:r>
      <w:r w:rsidRPr="00284937">
        <w:rPr>
          <w:vertAlign w:val="superscript"/>
        </w:rPr>
        <w:footnoteReference w:id="49"/>
      </w:r>
      <w:r w:rsidRPr="00284937">
        <w:t>;</w:t>
      </w:r>
    </w:p>
    <w:p w:rsidR="003D0B32" w:rsidRPr="00284937" w:rsidRDefault="003D0B32" w:rsidP="003D0B32">
      <w:pPr>
        <w:pStyle w:val="NormalHanging12a"/>
        <w:rPr>
          <w:szCs w:val="24"/>
        </w:rPr>
      </w:pPr>
      <w:r w:rsidRPr="00284937">
        <w:t>10.</w:t>
      </w:r>
      <w:r w:rsidRPr="00284937">
        <w:tab/>
        <w:t xml:space="preserve">atzīmē, ka ESF ir palīdzējis uzņēmējiem uzsākt jaunu </w:t>
      </w:r>
      <w:proofErr w:type="spellStart"/>
      <w:r w:rsidRPr="00284937">
        <w:t>darījumdarbību</w:t>
      </w:r>
      <w:proofErr w:type="spellEnd"/>
      <w:r w:rsidRPr="00284937">
        <w:t xml:space="preserve"> un nodrošinājis apmācību, lai uzņēmumi varētu labāk pielāgoties izmaiņām tirgū; uzsver, ka </w:t>
      </w:r>
      <w:proofErr w:type="spellStart"/>
      <w:r w:rsidRPr="00284937">
        <w:t>Tīringenē</w:t>
      </w:r>
      <w:proofErr w:type="spellEnd"/>
      <w:r w:rsidRPr="00284937">
        <w:t xml:space="preserve">, </w:t>
      </w:r>
      <w:r w:rsidRPr="00284937">
        <w:lastRenderedPageBreak/>
        <w:t>Vācijā, īstenotā ESF programma</w:t>
      </w:r>
      <w:r w:rsidRPr="00284937">
        <w:rPr>
          <w:vertAlign w:val="superscript"/>
        </w:rPr>
        <w:footnoteReference w:id="50"/>
      </w:r>
      <w:r w:rsidRPr="00284937">
        <w:t xml:space="preserve">, kuras mērķis ir stiprināt uzņēmējdarbību, cita starpā ir atbalstījusi </w:t>
      </w:r>
      <w:proofErr w:type="spellStart"/>
      <w:r w:rsidRPr="00284937">
        <w:t>Tīringenes</w:t>
      </w:r>
      <w:proofErr w:type="spellEnd"/>
      <w:r w:rsidRPr="00284937">
        <w:t xml:space="preserve"> </w:t>
      </w:r>
      <w:proofErr w:type="spellStart"/>
      <w:r w:rsidRPr="00284937">
        <w:t>Jaunuzņēmumu</w:t>
      </w:r>
      <w:proofErr w:type="spellEnd"/>
      <w:r w:rsidRPr="00284937">
        <w:t xml:space="preserve"> un uzņēmējdarbības centru; atzīst, ka līdz 2021. gada beigām centrs bija palīdzējis aptuveni 2900 cilvēkiem uzsākt jaunu </w:t>
      </w:r>
      <w:proofErr w:type="spellStart"/>
      <w:r w:rsidRPr="00284937">
        <w:t>darījumdarbību</w:t>
      </w:r>
      <w:proofErr w:type="spellEnd"/>
      <w:r w:rsidRPr="00284937">
        <w:t xml:space="preserve"> reģionā; atzīmē, ka bēgļiem un migrantiem, kas ieradās Luksemburgā, bija pieejama īpaša uzņēmējdarbības programma, ko atbalstīja ESF</w:t>
      </w:r>
      <w:r w:rsidRPr="00284937">
        <w:rPr>
          <w:vertAlign w:val="superscript"/>
        </w:rPr>
        <w:footnoteReference w:id="51"/>
      </w:r>
      <w:r w:rsidRPr="00284937">
        <w:t>;</w:t>
      </w:r>
    </w:p>
    <w:p w:rsidR="003D0B32" w:rsidRPr="00284937" w:rsidRDefault="003D0B32" w:rsidP="003D0B32">
      <w:pPr>
        <w:pStyle w:val="NormalHanging12a"/>
        <w:rPr>
          <w:szCs w:val="24"/>
        </w:rPr>
      </w:pPr>
      <w:r w:rsidRPr="00284937">
        <w:t>11.</w:t>
      </w:r>
      <w:r w:rsidRPr="00284937">
        <w:tab/>
        <w:t>uzsver, ka, izmantojot kohēzijas politikas finansiālo atbalstu projektiem veselības aprūpes nozarē, galvenokārt izmantojot ESF un ERAF ieguldījumus, līdz 2022. gada beigām 58,3 miljoniem cilvēku visā ES bija pieejami uzlaboti veselības aprūpes pakalpojumi</w:t>
      </w:r>
      <w:r w:rsidRPr="00284937">
        <w:rPr>
          <w:vertAlign w:val="superscript"/>
        </w:rPr>
        <w:footnoteReference w:id="52"/>
      </w:r>
      <w:r w:rsidRPr="00284937">
        <w:t>; uzsver, ka, piemēram, Lietuvā ar kohēzijas finansētiem projektiem ir izdevies samazināt sirds un asinsvadu slimību risku un pašnāvību skaitu</w:t>
      </w:r>
      <w:r w:rsidRPr="00284937">
        <w:rPr>
          <w:vertAlign w:val="superscript"/>
        </w:rPr>
        <w:footnoteReference w:id="53"/>
      </w:r>
      <w:r w:rsidRPr="00284937">
        <w:t>;</w:t>
      </w:r>
    </w:p>
    <w:p w:rsidR="003D0B32" w:rsidRPr="00284937" w:rsidRDefault="003D0B32" w:rsidP="003D0B32">
      <w:pPr>
        <w:pStyle w:val="NormalHanging12a"/>
        <w:rPr>
          <w:szCs w:val="24"/>
        </w:rPr>
      </w:pPr>
      <w:r w:rsidRPr="00284937">
        <w:t>12.</w:t>
      </w:r>
      <w:r w:rsidRPr="00284937">
        <w:tab/>
        <w:t xml:space="preserve">atzinīgi vērtē kohēzijas politikas ieguldījumu teritoriālajā sadarbībā; norāda, ka šis konkrētais ERAF mērķis palīdzēja finansēt pārrobežu starpvalstu un </w:t>
      </w:r>
      <w:proofErr w:type="spellStart"/>
      <w:r w:rsidRPr="00284937">
        <w:t>starpreģionu</w:t>
      </w:r>
      <w:proofErr w:type="spellEnd"/>
      <w:r w:rsidRPr="00284937">
        <w:t xml:space="preserve"> projektus tādās jomās kā pētniecība, attīstība un inovācija, kā arī vide; uzsver, ka saskaņā ar Komisijas paziņoto bez šā īpašā kohēzijas atbalsta lielākā daļa šo sadarbības projektu netiktu īstenoti; uzsver, ka līdz 2022. gada beigām vairāk nekā 40 000 uzņēmumu bija piedalījušies pārrobežu starpvalstu vai </w:t>
      </w:r>
      <w:proofErr w:type="spellStart"/>
      <w:r w:rsidRPr="00284937">
        <w:t>starpreģionu</w:t>
      </w:r>
      <w:proofErr w:type="spellEnd"/>
      <w:r w:rsidRPr="00284937">
        <w:t xml:space="preserve"> pētniecības projektos un aptuveni 178 000 cilvēku bija guvuši labumu no pārrobežu mobilitātes iniciatīvām</w:t>
      </w:r>
      <w:r w:rsidRPr="00284937">
        <w:rPr>
          <w:vertAlign w:val="superscript"/>
        </w:rPr>
        <w:footnoteReference w:id="54"/>
      </w:r>
      <w:r w:rsidRPr="00284937">
        <w:t>; norāda, ka jaunākajos Komisijas veiktajos novērtējumos ir minēti sekmīgas sadarbības piemēri tematiskos jautājumos, piemēram, informācijas un komunikācijas tehnoloģiju projekti, kas saistīti ar viedajām pilsētām Grieķijā un Kiprā</w:t>
      </w:r>
      <w:r w:rsidRPr="00284937">
        <w:rPr>
          <w:vertAlign w:val="superscript"/>
        </w:rPr>
        <w:footnoteReference w:id="55"/>
      </w:r>
      <w:r w:rsidRPr="00284937">
        <w:t>; turklāt atzīmē, ka Zviedrijas-Somijas-Norvēģijas programma "</w:t>
      </w:r>
      <w:proofErr w:type="spellStart"/>
      <w:r w:rsidRPr="00284937">
        <w:rPr>
          <w:i/>
        </w:rPr>
        <w:t>Botnia-Atlantica</w:t>
      </w:r>
      <w:proofErr w:type="spellEnd"/>
      <w:r w:rsidRPr="00284937">
        <w:rPr>
          <w:i/>
        </w:rPr>
        <w:t>"</w:t>
      </w:r>
      <w:r w:rsidRPr="00284937">
        <w:t xml:space="preserve"> ir palielinājusi zināšanas par jūras un piekrastes zonu aizsardzību</w:t>
      </w:r>
      <w:r w:rsidRPr="00284937">
        <w:rPr>
          <w:vertAlign w:val="superscript"/>
        </w:rPr>
        <w:footnoteReference w:id="56"/>
      </w:r>
      <w:r w:rsidRPr="00284937">
        <w:t xml:space="preserve">; uzsver, ka ietekmes novērtējums par 2014.–2020. gada </w:t>
      </w:r>
      <w:proofErr w:type="spellStart"/>
      <w:r w:rsidRPr="00284937">
        <w:t>Viduseiropas</w:t>
      </w:r>
      <w:proofErr w:type="spellEnd"/>
      <w:r w:rsidRPr="00284937">
        <w:t xml:space="preserve"> </w:t>
      </w:r>
      <w:proofErr w:type="spellStart"/>
      <w:r w:rsidRPr="00284937">
        <w:rPr>
          <w:i/>
        </w:rPr>
        <w:t>Interreg</w:t>
      </w:r>
      <w:proofErr w:type="spellEnd"/>
      <w:r w:rsidRPr="00284937">
        <w:t xml:space="preserve"> programmu</w:t>
      </w:r>
      <w:r w:rsidRPr="00284937">
        <w:rPr>
          <w:vertAlign w:val="superscript"/>
        </w:rPr>
        <w:footnoteReference w:id="57"/>
      </w:r>
      <w:r w:rsidRPr="00284937">
        <w:t xml:space="preserve">, kurā piedalās Austrija, Horvātija, Čehija, Vācija, Ungārija, Itālija, Polija, Slovākija un Slovēnija, parādīja, ka līdz 2021. gada beigām programma deva pozitīvus rezultātus inovācijas, </w:t>
      </w:r>
      <w:proofErr w:type="spellStart"/>
      <w:r w:rsidRPr="00284937">
        <w:t>mazoglekļa</w:t>
      </w:r>
      <w:proofErr w:type="spellEnd"/>
      <w:r w:rsidRPr="00284937">
        <w:t xml:space="preserve"> ekonomikas, vides, kultūras un transporta jomās; atzinīgi vērtē to, ka Rumānijas un Serbijas </w:t>
      </w:r>
      <w:proofErr w:type="spellStart"/>
      <w:r w:rsidRPr="00284937">
        <w:rPr>
          <w:i/>
        </w:rPr>
        <w:t>Interreg</w:t>
      </w:r>
      <w:proofErr w:type="spellEnd"/>
      <w:r w:rsidRPr="00284937">
        <w:t xml:space="preserve"> programma palīdzēja stiprināt arī abu valstu sadarbību visās attiecīgajās jomās</w:t>
      </w:r>
      <w:r w:rsidRPr="00284937">
        <w:rPr>
          <w:vertAlign w:val="superscript"/>
        </w:rPr>
        <w:footnoteReference w:id="58"/>
      </w:r>
      <w:r w:rsidRPr="00284937">
        <w:t xml:space="preserve"> un ka Horvātijas un Serbijas programma ir atbalstījusi atjaunojamās elektroenerģijas ražošanu un palielinājusi energoefektivitāti</w:t>
      </w:r>
      <w:r w:rsidRPr="00284937">
        <w:rPr>
          <w:vertAlign w:val="superscript"/>
        </w:rPr>
        <w:footnoteReference w:id="59"/>
      </w:r>
      <w:r w:rsidRPr="00284937">
        <w:t xml:space="preserve">; vērš uzmanību uz Zviedrijas, Dānijas un Norvēģijas </w:t>
      </w:r>
      <w:proofErr w:type="spellStart"/>
      <w:r w:rsidRPr="00284937">
        <w:rPr>
          <w:i/>
        </w:rPr>
        <w:t>Interreg</w:t>
      </w:r>
      <w:proofErr w:type="spellEnd"/>
      <w:r w:rsidRPr="00284937">
        <w:t xml:space="preserve"> programmas pozitīvajiem </w:t>
      </w:r>
      <w:r w:rsidRPr="00284937">
        <w:lastRenderedPageBreak/>
        <w:t>rezultātiem zaļās ekonomikas jomā</w:t>
      </w:r>
      <w:r w:rsidRPr="00284937">
        <w:rPr>
          <w:vertAlign w:val="superscript"/>
        </w:rPr>
        <w:footnoteReference w:id="60"/>
      </w:r>
      <w:r w:rsidRPr="00284937">
        <w:t>;</w:t>
      </w:r>
    </w:p>
    <w:p w:rsidR="003D0B32" w:rsidRPr="00284937" w:rsidRDefault="003D0B32" w:rsidP="003D0B32">
      <w:pPr>
        <w:pStyle w:val="NormalHanging12a"/>
        <w:rPr>
          <w:szCs w:val="24"/>
        </w:rPr>
      </w:pPr>
      <w:r w:rsidRPr="00284937">
        <w:t>13.</w:t>
      </w:r>
      <w:r w:rsidRPr="00284937">
        <w:tab/>
        <w:t xml:space="preserve">atzinīgi vērtē kohēzijas politikas reakciju uz jaunākajām krīzēm; norāda, ka tika pieņemti vairāk nekā 300 </w:t>
      </w:r>
      <w:r w:rsidRPr="00284937">
        <w:rPr>
          <w:i/>
        </w:rPr>
        <w:t>CRII</w:t>
      </w:r>
      <w:r w:rsidRPr="00284937">
        <w:t xml:space="preserve"> un </w:t>
      </w:r>
      <w:r w:rsidRPr="00284937">
        <w:rPr>
          <w:i/>
        </w:rPr>
        <w:t>CRII+</w:t>
      </w:r>
      <w:r w:rsidRPr="00284937">
        <w:t xml:space="preserve"> programmas grozījumi, kā rezultātā finansējums gandrīz 28 miljardu EUR apmērā</w:t>
      </w:r>
      <w:r w:rsidRPr="00284937">
        <w:rPr>
          <w:vertAlign w:val="superscript"/>
        </w:rPr>
        <w:footnoteReference w:id="61"/>
      </w:r>
      <w:r w:rsidRPr="00284937">
        <w:t xml:space="preserve"> tika novirzīts COVID-19 krīzes seku novēršanai; uzsver, ka 13 miljardi EUR tika novirzīti, lai sniegtu uzņēmējdarbības atbalstu uzņēmumiem, kurus COVID-19 krīze </w:t>
      </w:r>
      <w:proofErr w:type="spellStart"/>
      <w:r w:rsidRPr="00284937">
        <w:t>skārusi</w:t>
      </w:r>
      <w:proofErr w:type="spellEnd"/>
      <w:r w:rsidRPr="00284937">
        <w:t xml:space="preserve"> visvairāk</w:t>
      </w:r>
      <w:r w:rsidRPr="00284937">
        <w:rPr>
          <w:vertAlign w:val="superscript"/>
        </w:rPr>
        <w:footnoteReference w:id="62"/>
      </w:r>
      <w:r w:rsidRPr="00284937">
        <w:t>; norāda, ka līdz šim šajā jomā ir veikti tikai daži novērtējumi; tomēr atzīmē, ka Nīderlandē, Maltā un Francijā (</w:t>
      </w:r>
      <w:r w:rsidRPr="00284937">
        <w:rPr>
          <w:i/>
        </w:rPr>
        <w:t xml:space="preserve">Grand </w:t>
      </w:r>
      <w:proofErr w:type="spellStart"/>
      <w:r w:rsidRPr="00284937">
        <w:rPr>
          <w:i/>
        </w:rPr>
        <w:t>Est</w:t>
      </w:r>
      <w:proofErr w:type="spellEnd"/>
      <w:r w:rsidRPr="00284937">
        <w:t xml:space="preserve"> reģionā) finansētie pasākumi tika uzskatīti par atbilstošiem cilvēku un uzņēmumu vajadzībām, kā liecina pieejamie novērtējumi</w:t>
      </w:r>
      <w:r w:rsidRPr="00284937">
        <w:rPr>
          <w:vertAlign w:val="superscript"/>
        </w:rPr>
        <w:footnoteReference w:id="63"/>
      </w:r>
      <w:r w:rsidRPr="00284937">
        <w:t>; tāpat norāda, ka ir pierādījumi, ka ERAF uzņēmējdarbības atbalsts Ungārijā, kurš kļuva iespējams šīs elastības dēļ, pozitīvi ietekmēja mērķa uzņēmumus</w:t>
      </w:r>
      <w:r w:rsidRPr="00284937">
        <w:rPr>
          <w:vertAlign w:val="superscript"/>
        </w:rPr>
        <w:footnoteReference w:id="64"/>
      </w:r>
      <w:r w:rsidRPr="00284937">
        <w:t>; norāda, ka arī Komisijas sākotnējais novērtējums</w:t>
      </w:r>
      <w:r w:rsidRPr="00284937">
        <w:rPr>
          <w:vertAlign w:val="superscript"/>
        </w:rPr>
        <w:footnoteReference w:id="65"/>
      </w:r>
      <w:r w:rsidRPr="00284937">
        <w:t xml:space="preserve"> par ESF un Eiropas atbalsta fonda vistrūcīgākajām personām sniegto atbalstu </w:t>
      </w:r>
      <w:r w:rsidRPr="00284937">
        <w:rPr>
          <w:i/>
        </w:rPr>
        <w:t>CRII</w:t>
      </w:r>
      <w:r w:rsidRPr="00284937">
        <w:t xml:space="preserve"> un </w:t>
      </w:r>
      <w:r w:rsidRPr="00284937">
        <w:rPr>
          <w:i/>
        </w:rPr>
        <w:t>CRII+</w:t>
      </w:r>
      <w:r w:rsidRPr="00284937">
        <w:t xml:space="preserve"> ietvaros bija galvenokārt pozitīvs; uzsver, ka </w:t>
      </w:r>
      <w:r w:rsidRPr="00284937">
        <w:rPr>
          <w:i/>
        </w:rPr>
        <w:t>CRII</w:t>
      </w:r>
      <w:r w:rsidRPr="00284937">
        <w:t xml:space="preserve"> un </w:t>
      </w:r>
      <w:r w:rsidRPr="00284937">
        <w:rPr>
          <w:i/>
        </w:rPr>
        <w:t>CRII+</w:t>
      </w:r>
      <w:r w:rsidRPr="00284937">
        <w:t xml:space="preserve"> sasniedza savus mērķus lielākajā daļā dalībvalstu, jo tās izmantoja šo finansējuma elastību, lai efektīvi pārdalītu atlikušos resursus īstermiņa darba pasākumu, sociālās iekļaušanas pasākumu un savu veselības aprūpes sistēmu finansēšanai atbilstoši situācijai valstī; uzsver, ka, pateicoties </w:t>
      </w:r>
      <w:r w:rsidRPr="00284937">
        <w:rPr>
          <w:i/>
        </w:rPr>
        <w:t>CRII</w:t>
      </w:r>
      <w:r w:rsidRPr="00284937">
        <w:t xml:space="preserve"> un </w:t>
      </w:r>
      <w:r w:rsidRPr="00284937">
        <w:rPr>
          <w:i/>
        </w:rPr>
        <w:t>CRII+</w:t>
      </w:r>
      <w:r w:rsidRPr="00284937">
        <w:t xml:space="preserve">, valdības šajā grūtajā periodā spēja arī saglabāt līgumu slēgšanas tiesību piešķiršanas un izdevumu līmeni; norāda, ka </w:t>
      </w:r>
      <w:r w:rsidRPr="00284937">
        <w:rPr>
          <w:i/>
        </w:rPr>
        <w:t>REACT-EU</w:t>
      </w:r>
      <w:r w:rsidRPr="00284937">
        <w:t xml:space="preserve"> atbalsts ir vērsts uz atveseļošanas pasākumiem, kuru pamatā ir uz nākotni orientētas prioritātes, piemēram, zaļā un digitālā pārkārtošanās; uzsver, ka šī atbalsta piemērs ir projekts "</w:t>
      </w:r>
      <w:r w:rsidRPr="00284937">
        <w:rPr>
          <w:i/>
        </w:rPr>
        <w:t xml:space="preserve">Green </w:t>
      </w:r>
      <w:proofErr w:type="spellStart"/>
      <w:r w:rsidRPr="00284937">
        <w:rPr>
          <w:i/>
        </w:rPr>
        <w:t>Change</w:t>
      </w:r>
      <w:proofErr w:type="spellEnd"/>
      <w:r w:rsidRPr="00284937">
        <w:rPr>
          <w:i/>
        </w:rPr>
        <w:t xml:space="preserve"> Zealand</w:t>
      </w:r>
      <w:r w:rsidRPr="00284937">
        <w:t>", kas palīdzēja 20 MVU Dānijā samazināt enerģijas un materiālu patēriņu, izmantojot zaļās pārveides plānus;</w:t>
      </w:r>
    </w:p>
    <w:p w:rsidR="003D0B32" w:rsidRPr="00284937" w:rsidRDefault="003D0B32" w:rsidP="003D0B32">
      <w:pPr>
        <w:pStyle w:val="NormalHanging12a"/>
        <w:rPr>
          <w:b/>
          <w:i/>
        </w:rPr>
      </w:pPr>
      <w:r w:rsidRPr="00284937">
        <w:rPr>
          <w:b/>
          <w:i/>
        </w:rPr>
        <w:t>Kohēzijas politikas nākotne</w:t>
      </w:r>
    </w:p>
    <w:p w:rsidR="003D0B32" w:rsidRPr="00284937" w:rsidRDefault="003D0B32" w:rsidP="003D0B32">
      <w:pPr>
        <w:pStyle w:val="NormalHanging12a"/>
        <w:rPr>
          <w:i/>
        </w:rPr>
      </w:pPr>
      <w:r w:rsidRPr="00284937">
        <w:rPr>
          <w:i/>
        </w:rPr>
        <w:t>Vispārīgi principi</w:t>
      </w:r>
    </w:p>
    <w:p w:rsidR="003D0B32" w:rsidRPr="00284937" w:rsidRDefault="003D0B32" w:rsidP="003D0B32">
      <w:pPr>
        <w:pStyle w:val="NormalHanging12a"/>
        <w:rPr>
          <w:szCs w:val="24"/>
        </w:rPr>
      </w:pPr>
      <w:r w:rsidRPr="00284937">
        <w:t>14.</w:t>
      </w:r>
      <w:r w:rsidRPr="00284937">
        <w:tab/>
        <w:t>uzstāj, ka, ņemot vērā kohēzijas politikas reģionālo orientāciju, uz vietu balstīto pieeju, stratēģisko plānošanu un efektīvu īstenošanas modeli, tai arī turpmāk jābūt galvenajam ES ieguldījumu instrumentam atšķirību mazināšanai, ekonomiskās, sociālās un teritoriālās kohēzijas nodrošināšanai un ilgtspējīgas izaugsmes stimulēšanai reģionālā un vietējā mērogā un ka tai arī turpmāk jābūt galvenajam faktoram, ar ko atbalsta gan sociāli taisnīgu pārkārtošanos un atveseļošanos no simetriskiem un asimetriskiem satricinājumiem, gan cīņu pret klimata pārmaiņām;</w:t>
      </w:r>
    </w:p>
    <w:p w:rsidR="003D0B32" w:rsidRPr="00284937" w:rsidRDefault="003D0B32" w:rsidP="003D0B32">
      <w:pPr>
        <w:pStyle w:val="NormalHanging12a"/>
        <w:rPr>
          <w:szCs w:val="24"/>
        </w:rPr>
      </w:pPr>
      <w:r w:rsidRPr="00284937">
        <w:t>15.</w:t>
      </w:r>
      <w:r w:rsidRPr="00284937">
        <w:tab/>
        <w:t xml:space="preserve">pauž nožēlu par 2021.–2027. gada daudzgadu finanšu shēmā (DFS) kohēzijai paredzētās daļas samazinājumu salīdzinājumā ar iepriekšējo plānošanas periodu; atgādina, ka COVID-19 pandēmija un Krievijas agresijas karš pret Ukrainu ir radījuši jaunas atšķirības reģionu starpā; uzskata, ka salīdzinājumā ar 2021.–2027. gada </w:t>
      </w:r>
      <w:r w:rsidRPr="00284937">
        <w:lastRenderedPageBreak/>
        <w:t>plānošanas periodu ir reālā izteiksmē jāpalielina kopējais kohēzijas budžets un DFS līdzekļu īpatsvars šajā politikas jomā;</w:t>
      </w:r>
    </w:p>
    <w:p w:rsidR="003D0B32" w:rsidRPr="00284937" w:rsidRDefault="003D0B32" w:rsidP="003D0B32">
      <w:pPr>
        <w:pStyle w:val="NormalHanging12a"/>
        <w:rPr>
          <w:szCs w:val="24"/>
        </w:rPr>
      </w:pPr>
      <w:r w:rsidRPr="00284937">
        <w:t>16.</w:t>
      </w:r>
      <w:r w:rsidRPr="00284937">
        <w:tab/>
        <w:t>uzskata, ka kohēzijas ieguldījumiem plānošanā un īstenošanā būtu jāpaliek dalītā pārvaldībā, lai varētu reaģēt uz dalībvalstu, reģionu un pilsētu, kā arī lauku un attālo reģionu vajadzībām; atzīst, ka kopīga plānošana, līdzfinansējums, dalīta atbildība un līdzatbildība ir visefektīvākās metodes ilgtermiņa ES ieguldījumu politikas un ES finansētu projektu sekmīgai īstenošanai;</w:t>
      </w:r>
    </w:p>
    <w:p w:rsidR="003D0B32" w:rsidRPr="00284937" w:rsidRDefault="003D0B32" w:rsidP="003D0B32">
      <w:pPr>
        <w:pStyle w:val="NormalHanging12a"/>
        <w:rPr>
          <w:szCs w:val="24"/>
        </w:rPr>
      </w:pPr>
      <w:r w:rsidRPr="00284937">
        <w:t>17.</w:t>
      </w:r>
      <w:r w:rsidRPr="00284937">
        <w:tab/>
        <w:t xml:space="preserve">uzsver, ka tādu budžeta atbalsta instrumentu izveide, kuru pamatā ir tieša pārvaldība un vienkāršāks īstenošanas modelis, varētu novest pie kohēzijas politikas atkārtotas nacionalizācijas un apdraudēt vienu no tās pamatprincipiem — </w:t>
      </w:r>
      <w:proofErr w:type="spellStart"/>
      <w:r w:rsidRPr="00284937">
        <w:t>daudzlīmeņu</w:t>
      </w:r>
      <w:proofErr w:type="spellEnd"/>
      <w:r w:rsidRPr="00284937">
        <w:t xml:space="preserve"> pārvaldību; tāpēc iebilst pret kohēzijas politikas atkārtotu nacionalizāciju;</w:t>
      </w:r>
    </w:p>
    <w:p w:rsidR="003D0B32" w:rsidRPr="00284937" w:rsidRDefault="003D0B32" w:rsidP="003D0B32">
      <w:pPr>
        <w:pStyle w:val="NormalHanging12a"/>
        <w:rPr>
          <w:szCs w:val="24"/>
        </w:rPr>
      </w:pPr>
      <w:r w:rsidRPr="00284937">
        <w:t>18.</w:t>
      </w:r>
      <w:r w:rsidRPr="00284937">
        <w:tab/>
        <w:t>uzstāj, ka visiem ES reģioniem arī turpmāk jābūt tiesīgiem saņemt kohēzijas politikas finansējumu; uzsver, ka tas ir vienīgais veids, kā risināt reģionālās problēmas, panākt līdzsvarotāku attīstības virzienu visā ES un risināt unikālas reģionālās attīstības problēmas uz vietas;</w:t>
      </w:r>
    </w:p>
    <w:p w:rsidR="003D0B32" w:rsidRPr="00284937" w:rsidRDefault="003D0B32" w:rsidP="003D0B32">
      <w:pPr>
        <w:pStyle w:val="NormalHanging12a"/>
        <w:rPr>
          <w:szCs w:val="24"/>
        </w:rPr>
      </w:pPr>
      <w:r w:rsidRPr="00284937">
        <w:t>19.</w:t>
      </w:r>
      <w:r w:rsidRPr="00284937">
        <w:tab/>
        <w:t>uzsver, ka arī turpmākajā kohēzijas politikā jāpievērš uzmanība reģioniem, kuros ir nopietni un pastāvīgi dabas un demogrāfiskie ierobežojumi, piemēram, mazapdzīvotām teritorijām, salām, kalnainiem apgabaliem un pārrobežu reģioniem, pilnībā ievērojot LESD 174. panta noteikumus; šajā sakarā atzīmē, ka ES ir izstrādājusi pilsētu un lauku programmu, un sagaida, ka tiks publicēta arī salu programma;</w:t>
      </w:r>
    </w:p>
    <w:p w:rsidR="003D0B32" w:rsidRPr="00284937" w:rsidRDefault="003D0B32" w:rsidP="003D0B32">
      <w:pPr>
        <w:pStyle w:val="NormalHanging12a"/>
      </w:pPr>
      <w:r w:rsidRPr="00284937">
        <w:t>20.</w:t>
      </w:r>
      <w:r w:rsidRPr="00284937">
        <w:tab/>
        <w:t>aicina Padomi atbloķēt un sākt darbu pie Eiropas pārrobežu mehānisma lietas;</w:t>
      </w:r>
    </w:p>
    <w:p w:rsidR="003D0B32" w:rsidRPr="00284937" w:rsidRDefault="003D0B32" w:rsidP="003D0B32">
      <w:pPr>
        <w:pStyle w:val="NormalHanging12a"/>
        <w:rPr>
          <w:szCs w:val="24"/>
        </w:rPr>
      </w:pPr>
      <w:r w:rsidRPr="00284937">
        <w:t>21.</w:t>
      </w:r>
      <w:r w:rsidRPr="00284937">
        <w:tab/>
        <w:t>uzsver, cik svarīgi ir piemērot LESD 349. pantu visās ES politikas jomās, lai sasniegtu tajā noteiktos mērķus; atgādina par kohēzijas politikas būtisko nozīmi tālākajos reģionos; uzsver, ka ir svarīgi izstrādāt un uzturēt šiem reģioniem pielāgotas programmas un pasākumus, jo lielākā daļa tālāko reģionu joprojām ir mazāk attīstīto reģionu vidū vai arī pret tiem būtu jāizturas kā pret mazāk attīstītiem reģioniem; aicina Komisiju garantēt augstas līdzfinansējuma likmes, jo īpaši tālākajiem reģioniem, šim nolūkam visus šos reģionus nosakot par mazāk attīstītiem reģioniem;</w:t>
      </w:r>
    </w:p>
    <w:p w:rsidR="003D0B32" w:rsidRPr="00284937" w:rsidRDefault="003D0B32" w:rsidP="003D0B32">
      <w:pPr>
        <w:pStyle w:val="NormalHanging12a"/>
        <w:rPr>
          <w:szCs w:val="24"/>
        </w:rPr>
      </w:pPr>
      <w:r w:rsidRPr="00284937">
        <w:t>22.</w:t>
      </w:r>
      <w:r w:rsidRPr="00284937">
        <w:tab/>
        <w:t>uzsver, ka nesamērīgs slogs, piemēram, nenovēršamie strukturālie trūkumi, ar kuriem saskaras visi pierobežas reģioni, būtu jākompensē ar atsevišķu reģionālā atbalsta sistēmu, kas īpaši izstrādāta pierobežas reģioniem; pieprasa, lai katra jauna plānošanas perioda sākumā, sākot no 2028.–2034. gada perioda, 0,26 % no ES kohēzijas politikas budžeta tiktu rezervēti tikai pierobežas reģionu attīstībai ("pierobežas miljards");</w:t>
      </w:r>
    </w:p>
    <w:p w:rsidR="003D0B32" w:rsidRPr="00284937" w:rsidRDefault="003D0B32" w:rsidP="003D0B32">
      <w:pPr>
        <w:pStyle w:val="NormalHanging12a"/>
        <w:rPr>
          <w:szCs w:val="24"/>
        </w:rPr>
      </w:pPr>
      <w:r w:rsidRPr="00284937">
        <w:t>23.</w:t>
      </w:r>
      <w:r w:rsidRPr="00284937">
        <w:tab/>
        <w:t>uzskata, ka kritērijam "nenodarīt būtisku kaitējumu" ir jānovērš videi kaitīgi pasākumi, lai vēlākais līdz 2050. gadam sasniegtu mērķi panākt Eiropas neitralitāti oglekļa emisiju ziņā; aicina Komisiju nākamajā kohēzijas politikas tiesiskajā regulējumā pēc 2027. gada ieviest stingrus kritērijus nolūkā uzlabot principa "nenodarīt būtisku kaitējumu" piemērošanu; turklāt aicina jaunajā regulējumā paredzēt vismaz tādu pašu ar klimatu saistīto izdevumu līmeni, lai sasniegtu Parīzes nolīgumā noteiktos klimata mērķus un rīkotos atbilstīgi ANO ilgtspējīgas attīstības mērķiem un Eiropas zaļajam kursam;</w:t>
      </w:r>
    </w:p>
    <w:p w:rsidR="003D0B32" w:rsidRPr="00284937" w:rsidRDefault="003D0B32" w:rsidP="003D0B32">
      <w:pPr>
        <w:pStyle w:val="NormalHanging12a"/>
        <w:rPr>
          <w:szCs w:val="24"/>
        </w:rPr>
      </w:pPr>
      <w:r w:rsidRPr="00284937">
        <w:t>24.</w:t>
      </w:r>
      <w:r w:rsidRPr="00284937">
        <w:tab/>
        <w:t xml:space="preserve">uzsver, ka ES kohēzijas politikas galvenais mērķis ir samazināt atšķirības starp dalībvalstīm un jo īpaši starp dalībvalstu reģioniem un to iekšienē; uzsver, ka kohēzijas </w:t>
      </w:r>
      <w:r w:rsidRPr="00284937">
        <w:lastRenderedPageBreak/>
        <w:t>politikas budžets galvenokārt būtu jāizmanto kohēzijas politikas mērķiem, nevis jauniem ar kohēziju nesaistītiem politikas instrumentiem un programmām ne DFS ietvaros, ne ārpus tās, tostarp ne fakultatīviem pārvietojumiem;</w:t>
      </w:r>
    </w:p>
    <w:p w:rsidR="003D0B32" w:rsidRPr="00284937" w:rsidRDefault="003D0B32" w:rsidP="003D0B32">
      <w:pPr>
        <w:pStyle w:val="NormalHanging12a"/>
        <w:rPr>
          <w:szCs w:val="24"/>
        </w:rPr>
      </w:pPr>
      <w:r w:rsidRPr="00284937">
        <w:t>25.</w:t>
      </w:r>
      <w:r w:rsidRPr="00284937">
        <w:tab/>
        <w:t>atzīst nepieciešamību pēc iestrādātas krīzes elastības; ierosina izveidot īpašu virzienu vietējām un reģionālajām iestādēm, lai risinātu jaunās prioritātes; tomēr uzsver, ka kohēzijas finansējuma pārdali nevajadzētu rosināt Komisijai, uzsākot jaunas likumdošanas iniciatīvas, bet tā būtu jāierosina vadošajai iestādei augšupējā procesā pēc obligātas apspriešanās ar reģionālajām un vietējām iestādēm un atbilstoši iesaistot pilsonisko sabiedrību, kā paredzēts Kopīgo noteikumu regulā un Rīcības kodeksā partnerības jomā; uzsver, ka tas nemazinās politikas daudzgadu ievirzi, bet palīdzēs tai vislabāk pielāgoties strauji mainīgajai mūsdienu dzīves videi;</w:t>
      </w:r>
    </w:p>
    <w:p w:rsidR="003D0B32" w:rsidRPr="00284937" w:rsidRDefault="003D0B32" w:rsidP="003D0B32">
      <w:pPr>
        <w:pStyle w:val="NormalHanging12a"/>
        <w:rPr>
          <w:szCs w:val="24"/>
        </w:rPr>
      </w:pPr>
      <w:r w:rsidRPr="00284937">
        <w:t>26.</w:t>
      </w:r>
      <w:r w:rsidRPr="00284937">
        <w:tab/>
        <w:t xml:space="preserve">pauž nožēlu, ka DFS sarunu kavēšanās izraisīja ievērojamu kavēšanos 2021.–2027. gada plānošanas periodā, ietekmējot atbalsta saņēmējus un jo īpaši vadošās iestādes, kas </w:t>
      </w:r>
      <w:proofErr w:type="spellStart"/>
      <w:r w:rsidRPr="00284937">
        <w:t>saskārās</w:t>
      </w:r>
      <w:proofErr w:type="spellEnd"/>
      <w:r w:rsidRPr="00284937">
        <w:t xml:space="preserve"> ar milzīgu slogu, risinot jautājumus gan saistībā ar 2014.–2020. gada finansēšanas perioda pabeigšanu, gan pašreizējā finansēšanas perioda sākumu; tāpēc aicina Komisiju izvērtēt juridisko iespēju plānošanas periodā pēc 2027. gada Kopīgo noteikumu regulu sadalīt divās atsevišķās daļās, proti, saturiskajā (politiskajā) daļā un ar DFS saistītajā (uz finanšu resursiem attiecināmajā) daļā; uzskata, ka saturiskā daļa būtu jāapspriež un jānoslēdz pirms ar DFS saistītās daļas, lai ļautu vadošajām iestādēm laikus sākt gatavošanos nolūkā nodrošināt patiesas partnerības principa ievērošanu un kohēzijas politikas instrumentu efektīvu izmantošanu;</w:t>
      </w:r>
    </w:p>
    <w:p w:rsidR="003D0B32" w:rsidRPr="00284937" w:rsidRDefault="003D0B32" w:rsidP="003D0B32">
      <w:pPr>
        <w:pStyle w:val="NormalHanging12a"/>
        <w:rPr>
          <w:szCs w:val="24"/>
        </w:rPr>
      </w:pPr>
      <w:r w:rsidRPr="00284937">
        <w:t>27.</w:t>
      </w:r>
      <w:r w:rsidRPr="00284937">
        <w:tab/>
        <w:t xml:space="preserve">brīdina, ka vairāku ar kohēzijas mērķiem saistītu fondu pastāvēšana, kuru prioritātes dažkārt pārklājas, var kavēt kohēzijas politikas efektīvu īstenošanu; aicina skaidri nodalīt, kā arī saskaņot un papildināt kohēzijas politiku un citus instrumentus, lai izvairītos no ES instrumentu pārklāšanās un konkurences; uzstāj, ka šāda </w:t>
      </w:r>
      <w:proofErr w:type="spellStart"/>
      <w:r w:rsidRPr="00284937">
        <w:t>papildināmība</w:t>
      </w:r>
      <w:proofErr w:type="spellEnd"/>
      <w:r w:rsidRPr="00284937">
        <w:t xml:space="preserve"> ir jāuzlabo, palielinot iespēju finansēt kopīgus projektus;</w:t>
      </w:r>
    </w:p>
    <w:p w:rsidR="003D0B32" w:rsidRPr="00284937" w:rsidRDefault="003D0B32" w:rsidP="003D0B32">
      <w:pPr>
        <w:pStyle w:val="NormalHanging12a"/>
        <w:rPr>
          <w:szCs w:val="24"/>
        </w:rPr>
      </w:pPr>
      <w:r w:rsidRPr="00284937">
        <w:t>28.</w:t>
      </w:r>
      <w:r w:rsidRPr="00284937">
        <w:tab/>
        <w:t>vērš uzmanību uz vietējo, reģionālo un valsts iestāžu grūtībām pieņemt darbā kvalificētu darbaspēku, lai īstenotu, pārvaldītu un revidētu kohēzijas politikas fondus, kas ir viens no iemesliem tam, kāpēc kavējas šo fondu īstenošana; aicina dalībvalstis un to reģionus sākt centienus apmācīt un pieņemt darbā specializētu personālu, lai nākotnē optimizētu ES līdzekļu izmantošanu, pārvaldību un revīziju nolūkā padarīt šos līdzekļus pēc iespējas efektīvākus un lietderīgākus;</w:t>
      </w:r>
    </w:p>
    <w:p w:rsidR="003D0B32" w:rsidRPr="00284937" w:rsidRDefault="003D0B32" w:rsidP="003D0B32">
      <w:pPr>
        <w:pStyle w:val="NormalHanging12a"/>
        <w:rPr>
          <w:szCs w:val="24"/>
        </w:rPr>
      </w:pPr>
      <w:r w:rsidRPr="00284937">
        <w:t>29.</w:t>
      </w:r>
      <w:r w:rsidRPr="00284937">
        <w:tab/>
        <w:t>norāda, ka, kā liecina kohēzijas politikas fondu darbības rezultātu analīze, tostarp Eiropas Revīzijas palātas veiktā, ir iespējams uzlabot kohēzijas politikas intervenču efektivitāti, lai īstenotu ES vispārējās prioritātes un teritoriālās problēmas, piemēram, konkurētspēju vai vidi saudzējošāku ekonomiku; uzskata, ka tāpēc cīņā pret neapmierinātības ģeogrāfiju būtiska nozīme būs plašākai reakcijai, kas ietver vairāk ES politikas virzienu, un efektīvai līdzekļu novirzīšanai;</w:t>
      </w:r>
    </w:p>
    <w:p w:rsidR="003D0B32" w:rsidRPr="00284937" w:rsidRDefault="003D0B32" w:rsidP="003D0B32">
      <w:pPr>
        <w:pStyle w:val="NormalHanging12a"/>
      </w:pPr>
      <w:r w:rsidRPr="00284937">
        <w:t>30.</w:t>
      </w:r>
      <w:r w:rsidRPr="00284937">
        <w:tab/>
        <w:t>uzskata, ka tiesību akta priekšlikums par turpmāko kohēzijas politiku būtu jāpublicē tikai tad, kad tajā būs ņemti vērā plašo apspriežu rezultāti un ES mēroga pasākumu un formātu klāsts uz vietas, kurš apvieno visus pārvaldības līmeņus un visas pārējās ieinteresētās personas;</w:t>
      </w:r>
    </w:p>
    <w:p w:rsidR="003D0B32" w:rsidRPr="00284937" w:rsidRDefault="003D0B32" w:rsidP="003D0B32">
      <w:pPr>
        <w:pStyle w:val="NormalHanging12a"/>
        <w:rPr>
          <w:szCs w:val="24"/>
        </w:rPr>
      </w:pPr>
      <w:r w:rsidRPr="00284937">
        <w:t>31.</w:t>
      </w:r>
      <w:r w:rsidRPr="00284937">
        <w:tab/>
        <w:t xml:space="preserve">uzsver nepieciešamību veikt visaptverošu novērtējumu par ESI fondu ietekmi dalībvalstīs un </w:t>
      </w:r>
      <w:proofErr w:type="spellStart"/>
      <w:r w:rsidRPr="00284937">
        <w:t>saņēmējreģionos</w:t>
      </w:r>
      <w:proofErr w:type="spellEnd"/>
      <w:r w:rsidRPr="00284937">
        <w:t xml:space="preserve"> un pašvaldībās, galveno uzmanību pievēršot ne tikai </w:t>
      </w:r>
      <w:r w:rsidRPr="00284937">
        <w:lastRenderedPageBreak/>
        <w:t>piešķirto līdzekļu izmantošanas līmenim, bet gan ieguldījumu pārveidojošajam raksturam un to ietekmei uz ekonomiku un nodarbinātību reģionā;</w:t>
      </w:r>
    </w:p>
    <w:p w:rsidR="003D0B32" w:rsidRPr="00284937" w:rsidRDefault="003D0B32" w:rsidP="003D0B32">
      <w:pPr>
        <w:pStyle w:val="NormalHanging12a"/>
        <w:rPr>
          <w:szCs w:val="24"/>
        </w:rPr>
      </w:pPr>
      <w:r w:rsidRPr="00284937">
        <w:t>32.</w:t>
      </w:r>
      <w:r w:rsidRPr="00284937">
        <w:tab/>
        <w:t xml:space="preserve">norāda, ka 2021.–2027. gada tiesiskajā regulējumā jau ir ieviesti pasākumi ar mērķi vienkāršot kohēzijas politikas īstenošanu un pārvaldību; norāda, ka, lai gan ir panākts reāls progress, vēl ir tāls ceļš ejams attiecībā uz procedūru vienkāršošanu </w:t>
      </w:r>
      <w:proofErr w:type="spellStart"/>
      <w:r w:rsidRPr="00284937">
        <w:t>galasaņēmējiem</w:t>
      </w:r>
      <w:proofErr w:type="spellEnd"/>
      <w:r w:rsidRPr="00284937">
        <w:t xml:space="preserve"> un juridiskās noteiktības nodrošināšanu vadošajām iestādēm; uzsver, ka būtu jāizvairās no līdzekļu kontroles un revīzijas pārklāšanās; uzsver, ka turpmākai vienkāršošanai būtu arī jāļauj paātrināt īstenošanu un līdzekļu apgūšanas tempu;</w:t>
      </w:r>
    </w:p>
    <w:p w:rsidR="003D0B32" w:rsidRPr="00284937" w:rsidRDefault="003D0B32" w:rsidP="003D0B32">
      <w:pPr>
        <w:pStyle w:val="NormalHanging12a"/>
        <w:rPr>
          <w:szCs w:val="24"/>
        </w:rPr>
      </w:pPr>
      <w:r w:rsidRPr="00284937">
        <w:t>33.</w:t>
      </w:r>
      <w:r w:rsidRPr="00284937">
        <w:tab/>
        <w:t>tāpēc uzsver, ka vienkāršošanai vajadzētu būt vienam no galvenajiem turpmākās kohēzijas politikas virzītājspēkiem; uzskata, ka ir nepieciešams racionalizēt publiskā iepirkuma procedūras, uzlabot kohēzijas politikas saskaņošanu ar valsts atbalsta noteikumiem, palielināt vienkāršotu izmaksu iespēju izmantošanu, īstenot vienotās revīzijas principu un noteikt "vienotus kontaktpunktus" potenciālajiem atbalsta saņēmējiem; uzskata, ka kļūdu īpatsvara ekstrapolācijas noteikumu piemērošana rada nesamērīgu administratīvo slogu vadošajām iestādēm, un aicina Komisiju apsvērt šo noteikumu pārskatīšanu; aicina dalībvalstis izvairīties no pārmērīga regulējuma, lai saņēmējiem nodrošinātu tiesisko noteiktību;</w:t>
      </w:r>
    </w:p>
    <w:p w:rsidR="003D0B32" w:rsidRPr="00284937" w:rsidRDefault="003D0B32" w:rsidP="003D0B32">
      <w:pPr>
        <w:pStyle w:val="NormalHanging12a"/>
        <w:rPr>
          <w:szCs w:val="24"/>
        </w:rPr>
      </w:pPr>
      <w:r w:rsidRPr="00284937">
        <w:t>34.</w:t>
      </w:r>
      <w:r w:rsidRPr="00284937">
        <w:tab/>
        <w:t>uzskata, ka vēl ir vairāk jāracionalizē ES finansēšanas instrumentu struktūra Kohēzijas fondā, ERAF, ESF+ un Taisnīgas pārkārtošanās fondā un, iespējams, ELFLA, jo uz to būtu jāattiecina Kopīgo noteikumu regula; atzīst, ka šāda racionalizēšana vēl vairāk vienkāršotu politikas plānošanu un īstenošanu, palielinātu tās redzamību un efektivitāti, kā arī uzlabotu atbalsta saņēmēju piekļuvi finansējumam; uzsver, ka ir svarīgi racionalizēt atsevišķus konkrētu fondu noteikumus, lai līdz minimumam samazinātu īstenošanas kavēšanos un plānošanas sarežģītību; norāda, ka, racionalizējot fondus, būtu jāsaglabā to tematiskā ievirze un finansēšanas plūsmas attiecīgajās politikas jomās;</w:t>
      </w:r>
    </w:p>
    <w:p w:rsidR="003D0B32" w:rsidRPr="00284937" w:rsidRDefault="003D0B32" w:rsidP="003D0B32">
      <w:pPr>
        <w:pStyle w:val="NormalHanging12a"/>
        <w:rPr>
          <w:szCs w:val="24"/>
        </w:rPr>
      </w:pPr>
      <w:r w:rsidRPr="00284937">
        <w:t>35.</w:t>
      </w:r>
      <w:r w:rsidRPr="00284937">
        <w:tab/>
        <w:t>atzīst, ka snieguma sistēma, kas tika ieviesta 2014.–2020. gada periodā, bija mēģinājums uzlabot politikas orientāciju uz rezultātiem; šajā sakarā aicina vispusīgi modernizēt īstenošanas modeli — pāreju no cikla "darbība pret maksājumu" uz īstenošanu, kas balstīta uz sniegumu, pamatojoties uz konkrētiem starpposma mērķiem, kā arī saikni ar vietējām un reģionālām izaugsmi veicinošām reformām, uzsverot kohēzijas politikas pamatprincipus; uzsver, ka uz sniegumu balstīta pieeja nedarbosies, ja reģionālajam un vietējam līmenim nebūs ietekmes uz to mērķu noteikšanu, kas būs politikas panākumu vērtēšanas kritērijs;</w:t>
      </w:r>
    </w:p>
    <w:p w:rsidR="003D0B32" w:rsidRPr="00284937" w:rsidRDefault="003D0B32" w:rsidP="003D0B32">
      <w:pPr>
        <w:pStyle w:val="NormalHanging12a"/>
        <w:rPr>
          <w:szCs w:val="24"/>
        </w:rPr>
      </w:pPr>
      <w:r w:rsidRPr="00284937">
        <w:t>36.</w:t>
      </w:r>
      <w:r w:rsidRPr="00284937">
        <w:tab/>
        <w:t xml:space="preserve">uzsver, ka šādai pārejai uz īstenošanu, kas balstīta uz sniegumu, nevajadzētu mazināt Savienības finanšu interešu </w:t>
      </w:r>
      <w:proofErr w:type="spellStart"/>
      <w:r w:rsidRPr="00284937">
        <w:t>pārredzamību</w:t>
      </w:r>
      <w:proofErr w:type="spellEnd"/>
      <w:r w:rsidRPr="00284937">
        <w:t xml:space="preserve">, </w:t>
      </w:r>
      <w:proofErr w:type="spellStart"/>
      <w:r w:rsidRPr="00284937">
        <w:t>pārskatatbildību</w:t>
      </w:r>
      <w:proofErr w:type="spellEnd"/>
      <w:r w:rsidRPr="00284937">
        <w:t xml:space="preserve"> un aizsardzību; atzīmē, ka revīzijas un kontroles sistēmas tomēr būtu jāpielāgo uz sniegumu balstītajai sistēmai;</w:t>
      </w:r>
    </w:p>
    <w:p w:rsidR="003D0B32" w:rsidRPr="00284937" w:rsidRDefault="003D0B32" w:rsidP="003D0B32">
      <w:pPr>
        <w:pStyle w:val="NormalHanging12a"/>
        <w:rPr>
          <w:szCs w:val="24"/>
        </w:rPr>
      </w:pPr>
      <w:r w:rsidRPr="00284937">
        <w:t>37.</w:t>
      </w:r>
      <w:r w:rsidRPr="00284937">
        <w:tab/>
        <w:t>aicina dalībvalstīs plašāk izmantot digitālās tehnoloģijas un risinājumus, lai vienkāršotu īstenošanu, uzraudzību un ziņošanu, tādējādi veicinot efektīvāku pārvaldību un mazāku fizisko dokumentāciju;</w:t>
      </w:r>
    </w:p>
    <w:p w:rsidR="003D0B32" w:rsidRPr="00284937" w:rsidRDefault="003D0B32" w:rsidP="003D0B32">
      <w:pPr>
        <w:pStyle w:val="NormalHanging12a"/>
        <w:rPr>
          <w:szCs w:val="24"/>
        </w:rPr>
      </w:pPr>
      <w:r w:rsidRPr="00284937">
        <w:t>38.</w:t>
      </w:r>
      <w:r w:rsidRPr="00284937">
        <w:tab/>
        <w:t>norāda, ka nedrīkst ļaunprātīgi izmantot publiskos līdzekļus, ko nodrošina nodokļu maksātāji; aicina Komisiju, dalībvalstis un reģionālās iestādes izmantot un uzlabot pašreizējos mehānismus pārkāpumu, krāpšanas un korupcijas atklāšanai un apkarošanai kohēzijas politikas finansējumā;</w:t>
      </w:r>
    </w:p>
    <w:p w:rsidR="003D0B32" w:rsidRPr="00284937" w:rsidRDefault="003D0B32" w:rsidP="003D0B32">
      <w:pPr>
        <w:pStyle w:val="NormalHanging12a"/>
        <w:rPr>
          <w:szCs w:val="24"/>
        </w:rPr>
      </w:pPr>
      <w:r w:rsidRPr="00284937">
        <w:lastRenderedPageBreak/>
        <w:t>39.</w:t>
      </w:r>
      <w:r w:rsidRPr="00284937">
        <w:tab/>
        <w:t>aicina Komisiju nodrošināt, lai visām dalībvalstīm būtu efektīvs mehānisms ziņošanai par pārkāpumiem saskaņā ar Komisijas Deleģēto regulu (ES) 2015/1970</w:t>
      </w:r>
      <w:r w:rsidRPr="00284937">
        <w:rPr>
          <w:rStyle w:val="FootnoteReference"/>
        </w:rPr>
        <w:footnoteReference w:id="66"/>
      </w:r>
      <w:r w:rsidRPr="00284937">
        <w:t xml:space="preserve">; iesaka Pārkāpumu pārvaldības sistēmā pārkāpumus kā slēgtus klasificēt tikai pēc tam, kad trūkstošās summas ir atgūtas arī valsts līmenī, nevis tikai pēc tam, kad neatbilstošās summas ir atgrieztas Komisijai; iesaka dalībvalstīm, izmantojot tādus </w:t>
      </w:r>
      <w:proofErr w:type="spellStart"/>
      <w:r w:rsidRPr="00284937">
        <w:t>datizraces</w:t>
      </w:r>
      <w:proofErr w:type="spellEnd"/>
      <w:r w:rsidRPr="00284937">
        <w:t xml:space="preserve"> rīkus kā </w:t>
      </w:r>
      <w:proofErr w:type="spellStart"/>
      <w:r w:rsidRPr="00284937">
        <w:rPr>
          <w:i/>
        </w:rPr>
        <w:t>Arachne</w:t>
      </w:r>
      <w:proofErr w:type="spellEnd"/>
      <w:r w:rsidRPr="00284937">
        <w:t>, nodrošināt, ka Pārkāpumu pārvaldības sistēmā dati oficiālajā ziņojumā par pārkāpumiem un krāpšanu tiek salīdzināti ar datiem par apstiprinātajiem projektiem;</w:t>
      </w:r>
    </w:p>
    <w:p w:rsidR="003D0B32" w:rsidRPr="00284937" w:rsidRDefault="003D0B32" w:rsidP="003D0B32">
      <w:pPr>
        <w:pStyle w:val="NormalHanging12a"/>
        <w:rPr>
          <w:szCs w:val="24"/>
        </w:rPr>
      </w:pPr>
      <w:r w:rsidRPr="00284937">
        <w:t>40.</w:t>
      </w:r>
      <w:r w:rsidRPr="00284937">
        <w:tab/>
        <w:t>aicina Komisiju uzlabot Eiropas Biroja krāpšanas apkarošanai (</w:t>
      </w:r>
      <w:r w:rsidRPr="00284937">
        <w:rPr>
          <w:i/>
        </w:rPr>
        <w:t>OLAF</w:t>
      </w:r>
      <w:r w:rsidRPr="00284937">
        <w:t>) un Eiropas Prokuratūras (</w:t>
      </w:r>
      <w:r w:rsidRPr="00284937">
        <w:rPr>
          <w:i/>
        </w:rPr>
        <w:t>EPPO</w:t>
      </w:r>
      <w:r w:rsidRPr="00284937">
        <w:t>) pilnvaru koordināciju, lai izmeklētu pārkāpumus un krāpšanu saistībā ar kohēzijas politikas fondiem;</w:t>
      </w:r>
    </w:p>
    <w:p w:rsidR="003D0B32" w:rsidRPr="00284937" w:rsidRDefault="003D0B32" w:rsidP="003D0B32">
      <w:pPr>
        <w:pStyle w:val="NormalHanging12a"/>
        <w:rPr>
          <w:szCs w:val="24"/>
        </w:rPr>
      </w:pPr>
      <w:r w:rsidRPr="00284937">
        <w:t>41.</w:t>
      </w:r>
      <w:r w:rsidRPr="00284937">
        <w:tab/>
        <w:t xml:space="preserve">aicina pārējās dalībvalstis pievienoties </w:t>
      </w:r>
      <w:r w:rsidRPr="00284937">
        <w:rPr>
          <w:i/>
        </w:rPr>
        <w:t>EPPO</w:t>
      </w:r>
      <w:r w:rsidRPr="00284937">
        <w:t>, lai pastiprinātu cīņu pret korupciju un ES līdzekļu ļaunprātīgu izmantošanu;</w:t>
      </w:r>
    </w:p>
    <w:p w:rsidR="003D0B32" w:rsidRPr="00284937" w:rsidRDefault="003D0B32" w:rsidP="003D0B32">
      <w:pPr>
        <w:pStyle w:val="NormalHanging12a"/>
        <w:rPr>
          <w:szCs w:val="24"/>
        </w:rPr>
      </w:pPr>
      <w:r w:rsidRPr="00284937">
        <w:t>42.</w:t>
      </w:r>
      <w:r w:rsidRPr="00284937">
        <w:tab/>
        <w:t xml:space="preserve">stingri atbalsta tiesiskuma nosacījumu īstenošanu visās dalībvalstīs; tādēļ sagaida, ka Komisija, apstiprinot partnerības nolīgumus un kohēzijas politikas programmas, pilnībā ņems vērā tiesiskuma aspektus, lai tie pilnībā atbilstu veicinošajiem nosacījumiem par </w:t>
      </w:r>
      <w:proofErr w:type="spellStart"/>
      <w:r w:rsidRPr="00284937">
        <w:t>Pamattiesību</w:t>
      </w:r>
      <w:proofErr w:type="spellEnd"/>
      <w:r w:rsidRPr="00284937">
        <w:t xml:space="preserve"> hartas efektīvu piemērošanu un īstenošanu, kā izklāstīts Kopīgo noteikumu regulas III pielikumā; turklāt sagaida, ka Komisija neapstiprinās nevienu partnerības nolīgumu vai programmu, kamēr šo konkrēto aspektu padziļinātā analīze nenodrošinās augsta līmeņa pārliecību par riska neesamību;</w:t>
      </w:r>
    </w:p>
    <w:p w:rsidR="003D0B32" w:rsidRPr="00284937" w:rsidRDefault="003D0B32" w:rsidP="003D0B32">
      <w:pPr>
        <w:pStyle w:val="NormalHanging12a"/>
        <w:rPr>
          <w:szCs w:val="24"/>
        </w:rPr>
      </w:pPr>
      <w:r w:rsidRPr="00284937">
        <w:t>43.</w:t>
      </w:r>
      <w:r w:rsidRPr="00284937">
        <w:tab/>
        <w:t xml:space="preserve">atkārtoti uzsver, cik svarīgi ir aizsardzības pasākumi, kas novērstu to atbalsta saņēmēju netaisnīgu sodīšanu, kuri atrodas valstīs, uz kurām var attiekties tiesiskuma mehānisma aktivizēšana; aicina Komisiju apsvērt veidus, kā tā var nodrošināt līdzekļus to </w:t>
      </w:r>
      <w:proofErr w:type="spellStart"/>
      <w:r w:rsidRPr="00284937">
        <w:t>galasaņēmējiem</w:t>
      </w:r>
      <w:proofErr w:type="spellEnd"/>
      <w:r w:rsidRPr="00284937">
        <w:t>;</w:t>
      </w:r>
    </w:p>
    <w:p w:rsidR="003D0B32" w:rsidRPr="00284937" w:rsidRDefault="003D0B32" w:rsidP="003D0B32">
      <w:pPr>
        <w:pStyle w:val="NormalHanging12a"/>
        <w:rPr>
          <w:szCs w:val="24"/>
        </w:rPr>
      </w:pPr>
      <w:r w:rsidRPr="00284937">
        <w:t>44.</w:t>
      </w:r>
      <w:r w:rsidRPr="00284937">
        <w:tab/>
        <w:t>uzsver, ka kohēzijas politikai ir labāk jāpielāgojas problēmām, ko rada zaļā, digitālā un industriālā pārkārtošanās, kā arī to radītajām sociālajām sekām, lai saglabātu aktualitāti un sasniegtu Līgumos noteiktos mērķus; uzskata — lai to panāktu, ir svarīgi mācīties ne tikai no 2014.–2020. gada finansēšanas perioda pieredzes, bet arī no tādiem instrumentiem kā ANM, lai risinātu sociālekonomiskās problēmas, kas saistītas ar nesenajām krīzēm, un sniegtu pienācīgu atbalstu nelabvēlīgā situācijā esošiem apgabaliem un kopienām;</w:t>
      </w:r>
    </w:p>
    <w:p w:rsidR="003D0B32" w:rsidRPr="00284937" w:rsidRDefault="003D0B32" w:rsidP="003D0B32">
      <w:pPr>
        <w:pStyle w:val="NormalHanging12a"/>
        <w:rPr>
          <w:szCs w:val="24"/>
        </w:rPr>
      </w:pPr>
      <w:r w:rsidRPr="00284937">
        <w:t>45.</w:t>
      </w:r>
      <w:r w:rsidRPr="00284937">
        <w:tab/>
        <w:t xml:space="preserve">aicina Komisiju kohēzijas politikas regulējumos laikposmam pēc 2027. gada arī turpmāk uzsvērt, cik svarīgi ir cita starpā risināt tādus jautājumus kā klimata pārmaiņu mazināšana un pielāgošanās tām, bioloģiskās daudzveidības izzušana un vides aizsardzība, tostarp labāka ūdens un atkritumu apsaimniekošana, resursi un energoefektivitāte, noturība pret katastrofām, riska novēršana un pārvaldība; tāpēc uzskata, ka klimata integrēšanas un </w:t>
      </w:r>
      <w:proofErr w:type="spellStart"/>
      <w:r w:rsidRPr="00284937">
        <w:t>klimatizturības</w:t>
      </w:r>
      <w:proofErr w:type="spellEnd"/>
      <w:r w:rsidRPr="00284937">
        <w:t xml:space="preserve"> mehānismiem jābūt neatņemamai plānošanas un īstenošanas daļai, jo īpaši projektu atlasē; turklāt atgādina Komisijai, ka nozīmīgai līdzekļu izmantošanas iezīmei jābūt atbilstošam atbalstam, jo īpaši vietējām un reģionālajām iestādēm, lai risinātu sociālekonomiskās problēmas, kas saistītas ar </w:t>
      </w:r>
      <w:r w:rsidRPr="00284937">
        <w:lastRenderedPageBreak/>
        <w:t>nesenajām krīzēm, un palīdzētu mazāk attīstītiem reģioniem un kopienām;</w:t>
      </w:r>
    </w:p>
    <w:p w:rsidR="003D0B32" w:rsidRPr="00284937" w:rsidRDefault="003D0B32" w:rsidP="003D0B32">
      <w:pPr>
        <w:pStyle w:val="NormalHanging12a"/>
        <w:rPr>
          <w:szCs w:val="24"/>
        </w:rPr>
      </w:pPr>
      <w:r w:rsidRPr="00284937">
        <w:t>46.</w:t>
      </w:r>
      <w:r w:rsidRPr="00284937">
        <w:tab/>
        <w:t>uzsver, cik svarīgi ir ilgtspējīgāki mobilitātes risinājumi visās ES teritorijās, piemēram, Eiropas transporta tīkla (TEN-T) politika; uzskata, ka viediem un ilgtspējīgiem mobilitātes risinājumiem būtu jāpiešķir prioritāte ES finansējuma saņemšanai;</w:t>
      </w:r>
    </w:p>
    <w:p w:rsidR="003D0B32" w:rsidRPr="00284937" w:rsidRDefault="003D0B32" w:rsidP="003D0B32">
      <w:pPr>
        <w:pStyle w:val="NormalHanging12a"/>
        <w:rPr>
          <w:szCs w:val="24"/>
        </w:rPr>
      </w:pPr>
      <w:r w:rsidRPr="00284937">
        <w:t>47.</w:t>
      </w:r>
      <w:r w:rsidRPr="00284937">
        <w:tab/>
        <w:t xml:space="preserve">aicina Komisiju un dalībvalstis censties nodrošināt, ka visiem ES reģioniem ir piekļuve ātrdarbīgam platjoslas </w:t>
      </w:r>
      <w:proofErr w:type="spellStart"/>
      <w:r w:rsidRPr="00284937">
        <w:t>pieslēgumam</w:t>
      </w:r>
      <w:proofErr w:type="spellEnd"/>
      <w:r w:rsidRPr="00284937">
        <w:t>, lai nosacījumi digitālās pārkārtošanās sasniegšanai būtu vienlīdzīgi;</w:t>
      </w:r>
    </w:p>
    <w:p w:rsidR="003D0B32" w:rsidRPr="00284937" w:rsidRDefault="003D0B32" w:rsidP="003D0B32">
      <w:pPr>
        <w:pStyle w:val="NormalHanging12a"/>
        <w:rPr>
          <w:szCs w:val="24"/>
        </w:rPr>
      </w:pPr>
      <w:r w:rsidRPr="00284937">
        <w:t>48.</w:t>
      </w:r>
      <w:r w:rsidRPr="00284937">
        <w:tab/>
        <w:t>uzsver, ka līdztekus valsts sektora ieguldījumiem ilgtspējīgā attīstībā ir jāveicina privātā sektora iesaiste; šajā sakarā uzsver MVU iespējamo lomu inovācijā; aicina dalībvalstis un Komisiju ierosināt pasākumus, lai veicinātu to, ka MVU ievieš tirgum gatavas inovācijas;</w:t>
      </w:r>
    </w:p>
    <w:p w:rsidR="003D0B32" w:rsidRPr="00284937" w:rsidRDefault="003D0B32" w:rsidP="003D0B32">
      <w:pPr>
        <w:pStyle w:val="NormalHanging12a"/>
        <w:rPr>
          <w:szCs w:val="24"/>
        </w:rPr>
      </w:pPr>
      <w:r w:rsidRPr="00284937">
        <w:t>49.</w:t>
      </w:r>
      <w:r w:rsidRPr="00284937">
        <w:tab/>
        <w:t>aicina uzlabot vietējo un reģionālo iestāžu, kā arī pārrobežu un mazāk attīstīto reģionu piekļuvi finansējumam, lai dotu iespēju veikt ieguldījumus vietējā un reģionālajā enerģētikas pārkārtošanā, tostarp energoefektivitātē, decentralizētā enerģijas sadalē, un pievērst īpašu uzmanību atjaunojamiem energoresursiem un ilgtspējīgai aprites ekonomikai;</w:t>
      </w:r>
    </w:p>
    <w:p w:rsidR="003D0B32" w:rsidRPr="00284937" w:rsidRDefault="003D0B32" w:rsidP="003D0B32">
      <w:pPr>
        <w:pStyle w:val="NormalHanging12a"/>
        <w:rPr>
          <w:szCs w:val="24"/>
        </w:rPr>
      </w:pPr>
      <w:r w:rsidRPr="00284937">
        <w:t>50.</w:t>
      </w:r>
      <w:r w:rsidRPr="00284937">
        <w:tab/>
        <w:t>ir pārliecināts, ka, ņemot vērā ar divkāršo zaļo un digitālo pārkārtošanos saistītās strukturālās pārmaiņas un to nevienmērīgo ekonomisko un sociālo ietekmi uz ES reģioniem, nākamajā kohēzijas politikas plānošanas periodā būtu jāvadās pēc taisnīgas pārkārtošanās principa, kurā neviena teritorija un neviens netiek atstāts novārtā;</w:t>
      </w:r>
    </w:p>
    <w:p w:rsidR="003D0B32" w:rsidRPr="00284937" w:rsidRDefault="003D0B32" w:rsidP="003D0B32">
      <w:pPr>
        <w:pStyle w:val="NormalHanging12a"/>
        <w:rPr>
          <w:szCs w:val="24"/>
        </w:rPr>
      </w:pPr>
      <w:r w:rsidRPr="00284937">
        <w:t>51.</w:t>
      </w:r>
      <w:r w:rsidRPr="00284937">
        <w:tab/>
        <w:t xml:space="preserve">atzīst, ka ir svarīgi pievērst īpašu uzmanību reģioniem, kurus </w:t>
      </w:r>
      <w:proofErr w:type="spellStart"/>
      <w:r w:rsidRPr="00284937">
        <w:t>skārusi</w:t>
      </w:r>
      <w:proofErr w:type="spellEnd"/>
      <w:r w:rsidRPr="00284937">
        <w:t xml:space="preserve"> industriālā pārkārtošanās; šajā ziņā atzinīgi vērtē Komisijas centienus risināt šo jautājumu, izmantojot Taisnīgas pārkārtošanās fondu, kas ir Taisnīgas pārkārtošanās mehānisma pirmais pīlārs; aicina Komisiju izdarīt secinājumus no šā fonda īstenošanas un sīkāk precizēt tā mērķus;</w:t>
      </w:r>
    </w:p>
    <w:p w:rsidR="003D0B32" w:rsidRPr="00284937" w:rsidRDefault="003D0B32" w:rsidP="003D0B32">
      <w:pPr>
        <w:pStyle w:val="NormalHanging12a"/>
        <w:rPr>
          <w:szCs w:val="24"/>
        </w:rPr>
      </w:pPr>
      <w:r w:rsidRPr="00284937">
        <w:t>52.</w:t>
      </w:r>
      <w:r w:rsidRPr="00284937">
        <w:tab/>
        <w:t xml:space="preserve">aicina turpināt finansēt taisnīgu pārkārtošanos, kas būtu pilnībā jāintegrē Kopīgo noteikumu regulā un jānodrošina ar atbilstīgiem finanšu līdzekļiem, kuri </w:t>
      </w:r>
      <w:proofErr w:type="spellStart"/>
      <w:r w:rsidRPr="00284937">
        <w:t>jāatvēl</w:t>
      </w:r>
      <w:proofErr w:type="spellEnd"/>
      <w:r w:rsidRPr="00284937">
        <w:t xml:space="preserve"> plānošanas periodam pēc 2027. gada, kā arī aicina piemērot dalītas pārvaldības un partnerības principus; uzskata, ka ar šo Taisnīgas pārkārtošanās fonda paplašināšanos būtu jākoncentrējas uz atbilstošo </w:t>
      </w:r>
      <w:r w:rsidRPr="00284937">
        <w:rPr>
          <w:i/>
        </w:rPr>
        <w:t>NUTS</w:t>
      </w:r>
      <w:r w:rsidRPr="00284937">
        <w:t xml:space="preserve"> (kopēja statistiski teritoriālo vienību klasifikācija) līmeni, jāņem vērā reģionālās īpatnības, jāparedz plašāks tvērums nekā pašreizējam Taisnīgas pārkārtošanās fondam, un tas jāveido tā, lai varētu ātri reaģēt uz jaunām problēmām dažādos sektoros un nozarēs; aicina šajā jaunās paaudzes finansējumā nošķirt klimata pārmaiņu mazināšanu un pielāgošanos tām; uzsver, ka daļa finansējuma būtu jāvelta sociāli taisnīgai pārejai un Savienības oglekļa dioksīda pēdas samazināšanai;</w:t>
      </w:r>
    </w:p>
    <w:p w:rsidR="003D0B32" w:rsidRPr="00284937" w:rsidRDefault="003D0B32" w:rsidP="003D0B32">
      <w:pPr>
        <w:pStyle w:val="NormalHanging12a"/>
        <w:rPr>
          <w:szCs w:val="24"/>
        </w:rPr>
      </w:pPr>
      <w:r w:rsidRPr="00284937">
        <w:t>53.</w:t>
      </w:r>
      <w:r w:rsidRPr="00284937">
        <w:tab/>
        <w:t>aicina saglabāt īpašu politikas mērķi sociālās nevienlīdzības novēršanai, jo reģionālā konverģence ir palēninājusies un ir parādījušies jauni nevienlīdzības cēloņi;</w:t>
      </w:r>
    </w:p>
    <w:p w:rsidR="003D0B32" w:rsidRPr="00284937" w:rsidRDefault="003D0B32" w:rsidP="003D0B32">
      <w:pPr>
        <w:pStyle w:val="NormalHanging12a"/>
        <w:rPr>
          <w:szCs w:val="24"/>
        </w:rPr>
      </w:pPr>
      <w:r w:rsidRPr="00284937">
        <w:t>54.</w:t>
      </w:r>
      <w:r w:rsidRPr="00284937">
        <w:tab/>
        <w:t>uzsver, ka kohēzijas ieguldījumiem augstas kvalitātes sabiedriskajos pakalpojumos ir izšķiroša nozīme sociālās noturības veidošanā un palīdzības sniegšanā pārvarēt ekonomikas, veselības un sociālās krīzes;</w:t>
      </w:r>
    </w:p>
    <w:p w:rsidR="003D0B32" w:rsidRPr="00284937" w:rsidRDefault="003D0B32" w:rsidP="003D0B32">
      <w:pPr>
        <w:pStyle w:val="NormalHanging12a"/>
        <w:rPr>
          <w:szCs w:val="24"/>
        </w:rPr>
      </w:pPr>
      <w:r w:rsidRPr="00284937">
        <w:t>55.</w:t>
      </w:r>
      <w:r w:rsidRPr="00284937">
        <w:tab/>
        <w:t xml:space="preserve">uzsver, ka kohēzijas politikas atbalsta joma ietver vairāk nekā 3 miljonu sociālās </w:t>
      </w:r>
      <w:r w:rsidRPr="00284937">
        <w:lastRenderedPageBreak/>
        <w:t xml:space="preserve">atstumtības riskam pakļautu cilvēku integrāciju un iekļaušanu, tostarp atbalstu 600 000 cilvēku no sociāli atstumtām grupām, piemēram, </w:t>
      </w:r>
      <w:proofErr w:type="spellStart"/>
      <w:r w:rsidRPr="00284937">
        <w:t>romiem</w:t>
      </w:r>
      <w:proofErr w:type="spellEnd"/>
      <w:r w:rsidRPr="00284937">
        <w:t>, kuri jo īpaši dzīvo mazāk attīstītos ES reģionos; pauž nožēlu par dažu dalībvalstu pašvaldību nevēlēšanos efektīvi izmantot kohēzijas politikas fondus, lai nodrošinātu šiem iedzīvotājiem piekļuvi kvalitatīviem pakalpojumiem, piemēram, ūdenim un pienācīgiem dzīves apstākļiem; mudina dalībvalstis pievērsties šiem vissteidzamāk risināmajiem jautājumiem, kas būtiski palīdzēs mazināt reģionālos atšķirības;</w:t>
      </w:r>
    </w:p>
    <w:p w:rsidR="003D0B32" w:rsidRPr="00284937" w:rsidRDefault="003D0B32" w:rsidP="003D0B32">
      <w:pPr>
        <w:pStyle w:val="NormalHanging12a"/>
      </w:pPr>
      <w:r w:rsidRPr="00284937">
        <w:t>56.</w:t>
      </w:r>
      <w:r w:rsidRPr="00284937">
        <w:tab/>
        <w:t>vērš uzmanību uz reģionu, kuriem ir kopīga robeža ar Krieviju un Baltkrieviju, sarežģīto situāciju, kāda izveidojusies saistībā ar sadarbības pārtraukšanu pēc Krievijas agresijas kara pret Ukrainu; aicina Komisiju cieši sadarboties ar skartajām dalībvalstīm, lai rastu ilgtspējīgus risinājumus sociālo un ekonomisko problēmu risināšanai šajos reģionos;</w:t>
      </w:r>
    </w:p>
    <w:p w:rsidR="003D0B32" w:rsidRPr="00284937" w:rsidRDefault="003D0B32" w:rsidP="003D0B32">
      <w:pPr>
        <w:pStyle w:val="NormalHanging12a"/>
        <w:rPr>
          <w:szCs w:val="24"/>
        </w:rPr>
      </w:pPr>
      <w:r w:rsidRPr="00284937">
        <w:t>57.</w:t>
      </w:r>
      <w:r w:rsidRPr="00284937">
        <w:tab/>
        <w:t>akcentē lauku attīstības, kas aptver vairāk nekā tikai lauksaimniecību, daudzdimensionālo raksturu; norāda, ka tikai 11,5 % lauku apvidu iedzīvotāju strādā lauksaimniecības, mežsaimniecības un zivsaimniecības nozarēs;</w:t>
      </w:r>
    </w:p>
    <w:p w:rsidR="003D0B32" w:rsidRPr="00284937" w:rsidRDefault="003D0B32" w:rsidP="003D0B32">
      <w:pPr>
        <w:pStyle w:val="NormalHanging12a"/>
        <w:rPr>
          <w:szCs w:val="24"/>
        </w:rPr>
      </w:pPr>
      <w:r w:rsidRPr="00284937">
        <w:t>58.</w:t>
      </w:r>
      <w:r w:rsidRPr="00284937">
        <w:tab/>
        <w:t>atgādina, ka ELFLA pašlaik ir saistīts ar kohēzijas politikas satvaru un ka tas būtu vēl vairāk jāsaista ar Kopīgo noteikumu regulu, kas ir nepieciešams, lai pilnībā attīstītu lauku reģionus; uzsver nepieciešamību vēl vairāk racionalizēt fondus, tostarp ELFLA, reģionālās attīstības jomā, jo tas varētu nodrošināt sinerģiju un spēcīgākas lauku un pilsētu partnerības ieguldījumiem lauku apvidos nesaistīti ar lauksaimniecību; uzstāj, ka ELFLA būtu jāpārvalda reģionālā līmenī vai ar izšķirošu reģionālo un vietējo līdzdalību, lielāku uzsvaru liekot uz struktūrpolitikas pasākumiem mazapdzīvotos apgabalos;</w:t>
      </w:r>
    </w:p>
    <w:p w:rsidR="003D0B32" w:rsidRPr="00284937" w:rsidRDefault="003D0B32" w:rsidP="003D0B32">
      <w:pPr>
        <w:pStyle w:val="NormalHanging12a"/>
        <w:rPr>
          <w:szCs w:val="24"/>
        </w:rPr>
      </w:pPr>
      <w:r w:rsidRPr="00284937">
        <w:t>59.</w:t>
      </w:r>
      <w:r w:rsidRPr="00284937">
        <w:tab/>
        <w:t>uzstāj, ka ir jāievieš lauku aspektu nostiprināšanas mehānisms, lai novērtētu ES likumdošanas iniciatīvu ietekmi uz lauku apvidiem;</w:t>
      </w:r>
    </w:p>
    <w:p w:rsidR="003D0B32" w:rsidRPr="00284937" w:rsidRDefault="003D0B32" w:rsidP="003D0B32">
      <w:pPr>
        <w:pStyle w:val="NormalHanging12a"/>
        <w:rPr>
          <w:szCs w:val="24"/>
        </w:rPr>
      </w:pPr>
      <w:r w:rsidRPr="00284937">
        <w:t>60.</w:t>
      </w:r>
      <w:r w:rsidRPr="00284937">
        <w:tab/>
        <w:t>norāda, ka jebkura turpmākā Savienības paplašināšanās ietekmēs kohēzijas līmeni Savienībā; norāda, ka tas, iespējams, ietekmēs dažādo reģionu pašreizējo klasifikāciju, ņemot vērā, ka statistiskā efekta rezultātā ievērojami samazināsies vidējais IKP uz vienu iedzīvotāju;</w:t>
      </w:r>
    </w:p>
    <w:p w:rsidR="003D0B32" w:rsidRPr="00284937" w:rsidRDefault="003D0B32" w:rsidP="003D0B32">
      <w:pPr>
        <w:pStyle w:val="NormalHanging12a"/>
        <w:rPr>
          <w:szCs w:val="24"/>
        </w:rPr>
      </w:pPr>
      <w:r w:rsidRPr="00284937">
        <w:t>61.</w:t>
      </w:r>
      <w:r w:rsidRPr="00284937">
        <w:tab/>
        <w:t>tāpēc aicina Komisiju veikt detalizētu novērtējumu, pirms tiek ierosināta jauna regula kohēzijas satvaram laikposmam pēc 2027. gada, lai nodrošinātu, ka kohēzijas politika ir pietiekami sagatavota un turpinās atbalstīt visus reģionus, un ka var pienācīgi novērst jebkādas nelabvēlīgas sekas uz reģioniem, kuras statistiskais efekts rada saistībā ar kohēzijas politikas atbilstību; turklāt aicina Komisiju tās veiktajā novērtējumā iekļaut aplēsi par pārrobežu sadarbības papildu vajadzībām, kuras paplašināšanās varētu radīt; aicina Komisiju un Parlamentu apspriesties un veikt strukturētu darbu šajos jautājumos, pirms tiek iesniegts jauns tiesību akta priekšlikums; aicina vēlākais līdz 2030. gadam izstrādāt kohēzijas politiku, kas būtu gatava paplašināšanās procesam;</w:t>
      </w:r>
    </w:p>
    <w:p w:rsidR="003D0B32" w:rsidRPr="00284937" w:rsidRDefault="003D0B32" w:rsidP="003D0B32">
      <w:pPr>
        <w:pStyle w:val="NormalHanging12a"/>
        <w:rPr>
          <w:szCs w:val="24"/>
        </w:rPr>
      </w:pPr>
      <w:r w:rsidRPr="00284937">
        <w:t>62.</w:t>
      </w:r>
      <w:r w:rsidRPr="00284937">
        <w:tab/>
        <w:t>uzsver, ka pašreizējais kohēzijas politikas budžets ir vērsts uz konverģences mērķiem; uzsver, ka attiecībā uz Ukrainu kohēzijas politikas budžets nevar un nedrīkst apmierināt paredzamās finansiālās vajadzības saistībā ar atjaunošanu; uzsver, ka visi atjaunošanas mērķi būtu jāsasniedz, izmantojot atsevišķus finansēšanas mehānismus, kas neietilpst DFS darbības jomā, ar dalībvalstu, privātā sektora un ārējo resursu tiešām iemaksām budžetā;</w:t>
      </w:r>
    </w:p>
    <w:p w:rsidR="003D0B32" w:rsidRPr="00284937" w:rsidRDefault="003D0B32" w:rsidP="003D0B32">
      <w:pPr>
        <w:pStyle w:val="NormalHanging12a"/>
        <w:rPr>
          <w:szCs w:val="24"/>
        </w:rPr>
      </w:pPr>
      <w:r w:rsidRPr="00284937">
        <w:lastRenderedPageBreak/>
        <w:t>63.</w:t>
      </w:r>
      <w:r w:rsidRPr="00284937">
        <w:tab/>
        <w:t>aicina Komisiju apsvērt iespēju tos kohēzijas politikas publiskos izdevumus, ko dalībvalstis un reģionālās un vietējās iestādes veic ESI fondu ietvaros, neuzskatīt par valsts vai līdzvērtīgiem strukturālajiem izdevumiem, kā noteikts jaunajos ekonomikas pārvaldības noteikumos, jo īpaši, ja tie nenovirzās no Parīzes nolīguma mērķu īstenošanas;</w:t>
      </w:r>
    </w:p>
    <w:p w:rsidR="003D0B32" w:rsidRPr="00284937" w:rsidRDefault="003D0B32" w:rsidP="003D0B32">
      <w:pPr>
        <w:pStyle w:val="NormalHanging12a"/>
        <w:rPr>
          <w:szCs w:val="24"/>
        </w:rPr>
      </w:pPr>
      <w:r w:rsidRPr="00284937">
        <w:t>64.</w:t>
      </w:r>
      <w:r w:rsidRPr="00284937">
        <w:tab/>
        <w:t>uzsver nepieciešamību uzlabot saikni starp kohēzijas politiku un ES ekonomikas pārvaldību, vienlaikus izvairoties no represīvas pieejas; uzsver, ka Eiropas pusgadam būtu jāatbilst kohēzijas politikas mērķiem, kas noteikti LESD 174. un 175. pantā un Eiropas sociālo tiesību pīlārā; aicina reģionus piedalīties konkrētai valstij adresēto ieteikumu (KVAI) izpildē un stiprināt teritoriālo pieeju; aicina pārskatīt makroekonomisko nosacījumu koncepciju un izpētīt iespēju aizstāt šo koncepciju ar jauniem nosacījumu veidiem, lai labāk atspoguļotu jaunās problēmas, kas mūs vēl sagaida;</w:t>
      </w:r>
    </w:p>
    <w:p w:rsidR="003D0B32" w:rsidRPr="00284937" w:rsidRDefault="003D0B32" w:rsidP="003D0B32">
      <w:pPr>
        <w:pStyle w:val="NormalHanging12a"/>
        <w:rPr>
          <w:szCs w:val="24"/>
        </w:rPr>
      </w:pPr>
      <w:r w:rsidRPr="00284937">
        <w:t>65.</w:t>
      </w:r>
      <w:r w:rsidRPr="00284937">
        <w:tab/>
        <w:t>atgādina par principu "nekaitēt kohēzijai", kas ieviests ar 8. kohēzijas ziņojumu un nozīmē, ka nekādi pasākumi nedrīkst kavēt konverģences procesu vai veicināt reģionālās atšķirības; aicina stingrāk integrēt šo principu kā transversālu principu visās ES politikas jomās, lai tās atbalstītu sociālās, ekonomiskās un teritoriālās kohēzijas mērķus, kas noteikti LESD 3. un 174. pantā; uzstāj, ka kohēzijas veicināšana jāuzskata arī par veidu, kā veicināt solidaritāti un savstarpēju atbalstu dalībvalstu un to reģionu starpā;</w:t>
      </w:r>
    </w:p>
    <w:p w:rsidR="003D0B32" w:rsidRPr="00284937" w:rsidRDefault="003D0B32" w:rsidP="003D0B32">
      <w:pPr>
        <w:pStyle w:val="NormalHanging12a"/>
        <w:rPr>
          <w:szCs w:val="24"/>
        </w:rPr>
      </w:pPr>
      <w:r w:rsidRPr="00284937">
        <w:t>66.</w:t>
      </w:r>
      <w:r w:rsidRPr="00284937">
        <w:tab/>
        <w:t>aicina Komisiju stiprināt un attīstīt šo principu Eiropas pusgada ietvaros un iesaistīt vietējās un reģionālās pašvaldības visos to procedūru posmos, kas saistītas ar Eiropas pusgadu un Komisijas KVAI;</w:t>
      </w:r>
    </w:p>
    <w:p w:rsidR="003D0B32" w:rsidRPr="00284937" w:rsidRDefault="003D0B32" w:rsidP="003D0B32">
      <w:pPr>
        <w:pStyle w:val="NormalHanging12a"/>
        <w:rPr>
          <w:szCs w:val="24"/>
        </w:rPr>
      </w:pPr>
      <w:r w:rsidRPr="00284937">
        <w:t>67.</w:t>
      </w:r>
      <w:r w:rsidRPr="00284937">
        <w:tab/>
        <w:t xml:space="preserve">pauž stingru pārliecību par </w:t>
      </w:r>
      <w:proofErr w:type="spellStart"/>
      <w:r w:rsidRPr="00284937">
        <w:t>daudzlīmeņu</w:t>
      </w:r>
      <w:proofErr w:type="spellEnd"/>
      <w:r w:rsidRPr="00284937">
        <w:t xml:space="preserve"> pārvaldības un partnerības horizontālo principu nozīmi, kam būtu jāpaliek kohēzijas politikas pamatprincipiem arī pēc 2027. gada;</w:t>
      </w:r>
    </w:p>
    <w:p w:rsidR="003D0B32" w:rsidRPr="00284937" w:rsidRDefault="003D0B32" w:rsidP="003D0B32">
      <w:pPr>
        <w:pStyle w:val="NormalHanging12a"/>
        <w:rPr>
          <w:szCs w:val="24"/>
        </w:rPr>
      </w:pPr>
      <w:r w:rsidRPr="00284937">
        <w:t>68.</w:t>
      </w:r>
      <w:r w:rsidRPr="00284937">
        <w:tab/>
        <w:t xml:space="preserve">aicina Komisiju, dalībvalstis, reģionus un vietējās iestādes stingri un efektīvi piemērot </w:t>
      </w:r>
      <w:proofErr w:type="spellStart"/>
      <w:r w:rsidRPr="00284937">
        <w:t>daudzlīmeņu</w:t>
      </w:r>
      <w:proofErr w:type="spellEnd"/>
      <w:r w:rsidRPr="00284937">
        <w:t xml:space="preserve"> pārvaldības principu; </w:t>
      </w:r>
    </w:p>
    <w:p w:rsidR="003D0B32" w:rsidRPr="00284937" w:rsidRDefault="003D0B32" w:rsidP="003D0B32">
      <w:pPr>
        <w:pStyle w:val="NormalHanging12a"/>
        <w:rPr>
          <w:szCs w:val="24"/>
        </w:rPr>
      </w:pPr>
      <w:r w:rsidRPr="00284937">
        <w:t>69.</w:t>
      </w:r>
      <w:r w:rsidRPr="00284937">
        <w:tab/>
        <w:t>uzsver, cik būtiski ir visā ES kohēzijas politikas plānošanā, īstenošanā un uzraudzībā ievērot partnerības principu un izveidot ciešu sadarbību starp reģionālajām un vietējām iestādēm, nevalstiskajām organizācijām un ieinteresētajām personām; aicina saglabāt partnerības principu kā saistošu un aicina to iekļaut Eiropas pusgadā; aicina Komisiju un Eiropas Revīzijas palātu rūpīgi veikt turpmākos pasākumus, veikt pārbaudes un sniegt korektīvus ieteikumus;</w:t>
      </w:r>
    </w:p>
    <w:p w:rsidR="003D0B32" w:rsidRPr="00284937" w:rsidRDefault="003D0B32" w:rsidP="003D0B32">
      <w:pPr>
        <w:pStyle w:val="NormalHanging12a"/>
        <w:rPr>
          <w:szCs w:val="24"/>
        </w:rPr>
      </w:pPr>
      <w:r w:rsidRPr="00284937">
        <w:t>70.</w:t>
      </w:r>
      <w:r w:rsidRPr="00284937">
        <w:tab/>
        <w:t xml:space="preserve">atzinīgi vērtē Komisijas lēmumu pagarināt darbības termiņu Rīcības kodeksam attiecībā uz partnerību saistībā ar ESI fondiem (Deleģētā regula </w:t>
      </w:r>
      <w:r w:rsidR="008A3973">
        <w:t xml:space="preserve">(ES) </w:t>
      </w:r>
      <w:r w:rsidRPr="00284937">
        <w:t>Nr. </w:t>
      </w:r>
      <w:bookmarkStart w:id="7" w:name="_GoBack"/>
      <w:r w:rsidRPr="00284937">
        <w:t>240/2014</w:t>
      </w:r>
      <w:bookmarkEnd w:id="7"/>
      <w:r w:rsidRPr="00284937">
        <w:t>); uzskata, ka šīs vadlīnijas ievērojami uzlabo vietējo un reģionālo iestāžu un citu ieinteresēto personu iesaistīšanos, taču tās būtu jāpārskata, lai vēl vairāk uzlabotu to efektivitāti un nodrošinātu partneru padziļinātu iesaistīšanos, veicinot vietēja mēroga darbības;</w:t>
      </w:r>
    </w:p>
    <w:p w:rsidR="003D0B32" w:rsidRPr="00284937" w:rsidRDefault="003D0B32" w:rsidP="003D0B32">
      <w:pPr>
        <w:pStyle w:val="NormalHanging12a"/>
        <w:rPr>
          <w:szCs w:val="24"/>
        </w:rPr>
      </w:pPr>
      <w:r w:rsidRPr="00284937">
        <w:t>71.</w:t>
      </w:r>
      <w:r w:rsidRPr="00284937">
        <w:tab/>
        <w:t xml:space="preserve">atgādina, ka 2021.–2027. gada kohēzijas politikas satvarā dzimumu līdztiesība un dzimumu perspektīva ir iekļautas un tiek veicinātas visos kohēzijas programmu sagatavošanas, īstenošanas, uzraudzības un novērtēšanas procesa posmos; turklāt uzsver sieviešu īpašo nozīmi, jo īpaši attālos un lauku apvidos, jo viņas ir pilsoniskās sabiedrības un ilgtspējīgas ekonomikas izaugsmes svarīgas dalībnieces; tomēr </w:t>
      </w:r>
      <w:r w:rsidRPr="00284937">
        <w:lastRenderedPageBreak/>
        <w:t>vienlaikus norāda, ka viņas bieži saskaras ar grūtībām piekļūt darba tirgum, sabiedriskajiem pakalpojumiem, veselības aprūpei, bērnu aprūpei un vienlīdzīgam atalgojumam;</w:t>
      </w:r>
    </w:p>
    <w:p w:rsidR="003D0B32" w:rsidRPr="00284937" w:rsidRDefault="003D0B32" w:rsidP="003D0B32">
      <w:pPr>
        <w:pStyle w:val="NormalHanging12a"/>
        <w:rPr>
          <w:szCs w:val="24"/>
        </w:rPr>
      </w:pPr>
      <w:r w:rsidRPr="00284937">
        <w:t>72.</w:t>
      </w:r>
      <w:r w:rsidRPr="00284937">
        <w:tab/>
        <w:t>turklāt uzsver īpašo nozīmi jaunatnes aspekta iekļaušanai kohēzijas politikā;</w:t>
      </w:r>
    </w:p>
    <w:p w:rsidR="003D0B32" w:rsidRPr="00284937" w:rsidRDefault="003D0B32" w:rsidP="003D0B32">
      <w:pPr>
        <w:pStyle w:val="NormalHanging12a"/>
      </w:pPr>
      <w:r w:rsidRPr="00284937">
        <w:t>73.</w:t>
      </w:r>
      <w:r w:rsidRPr="00284937">
        <w:tab/>
        <w:t>aicina Komisiju un dalībvalstis pielikt papildu pūles, lai sekmētu bērnu tiesību īstenošanu, izmantojot ESF+, nolūkā atbalstīt efektīvus intervences pasākumus, kas palīdz sasniegt šo mērķi;</w:t>
      </w:r>
    </w:p>
    <w:p w:rsidR="003D0B32" w:rsidRPr="00284937" w:rsidRDefault="003D0B32" w:rsidP="003D0B32">
      <w:pPr>
        <w:pStyle w:val="NormalHanging12a"/>
      </w:pPr>
      <w:r w:rsidRPr="00284937">
        <w:t>74.</w:t>
      </w:r>
      <w:r w:rsidRPr="00284937">
        <w:tab/>
        <w:t xml:space="preserve">aicina vēl vairāk stiprināt programmu un ES finansēto projektu komunikāciju un </w:t>
      </w:r>
      <w:proofErr w:type="spellStart"/>
      <w:r w:rsidRPr="00284937">
        <w:t>pamanāmību</w:t>
      </w:r>
      <w:proofErr w:type="spellEnd"/>
      <w:r w:rsidRPr="00284937">
        <w:t xml:space="preserve"> visās dalībvalstīs, nosakot to mērķus, mērķauditorijas, sakaru kanālus, sociālo mediju ietekmi, plānoto budžetu un attiecīgos uzraudzības un novērtēšanas rādītājus;</w:t>
      </w:r>
    </w:p>
    <w:p w:rsidR="003D0B32" w:rsidRPr="00284937" w:rsidRDefault="003D0B32" w:rsidP="003D0B32">
      <w:pPr>
        <w:pStyle w:val="NormalHanging12a"/>
        <w:rPr>
          <w:i/>
        </w:rPr>
      </w:pPr>
      <w:r w:rsidRPr="00284937">
        <w:rPr>
          <w:i/>
        </w:rPr>
        <w:t>Orientēšanās uz reģionālo un vietējo līmeni</w:t>
      </w:r>
    </w:p>
    <w:p w:rsidR="003D0B32" w:rsidRPr="00284937" w:rsidRDefault="003D0B32" w:rsidP="003D0B32">
      <w:pPr>
        <w:pStyle w:val="NormalHanging12a"/>
        <w:rPr>
          <w:szCs w:val="24"/>
        </w:rPr>
      </w:pPr>
      <w:r w:rsidRPr="00284937">
        <w:t>75.</w:t>
      </w:r>
      <w:r w:rsidRPr="00284937">
        <w:tab/>
        <w:t xml:space="preserve">aicina nodrošināt ieguldījumus attiecībā uz pielāgošanos klimata pārmaiņām un katastrofu novēršanu, kā arī sagatavotību tām, izmantojot īpašu politikas mērķi, tematisko koncentrāciju vai īpašu veicinošo nosacījumu, lai nodrošinātu ilgtspējīgus ieguldījumus vietējā un reģionālajā infrastruktūrā un riska pārvaldībā mazāk attīstītos pilsētu un lauku apvidos, tostarp pierobežas reģionos, salās un tālākajos reģionos; uzskata, ka mērķtiecīgam finansējumam jābūt vērstam uz riska samazināšanu un sagatavotību plaša spektra katastrofām (ar klimatu saistītām, ģeoloģiskām, ar veselību saistītām, cilvēku izraisītām); uzskata, ka tajā būtu jāpievērš liela uzmanība klimata pārmaiņu mazināšanai un pielāgošanās pasākumiem, lai palīdzētu vietējām un reģionālajām iestādēm labāk pārvaldīt risku un sagatavoties reaģēt uz klimata pārmaiņu ietekmi vietējā līmenī, sākot ar lēnas norises notikumiem un beidzot ar ārkārtējiem laikapstākļiem, tostarp krasta eroziju, </w:t>
      </w:r>
      <w:proofErr w:type="spellStart"/>
      <w:r w:rsidRPr="00284937">
        <w:t>pārtuksnešošanos</w:t>
      </w:r>
      <w:proofErr w:type="spellEnd"/>
      <w:r w:rsidRPr="00284937">
        <w:t>, jūras līmeņa celšanos, savvaļas ugunsgrēkiem, plūdiem, zemes nogruvumiem, karstuma viļņiem un citām dabas katastrofām;</w:t>
      </w:r>
    </w:p>
    <w:p w:rsidR="003D0B32" w:rsidRPr="00284937" w:rsidRDefault="003D0B32" w:rsidP="003D0B32">
      <w:pPr>
        <w:pStyle w:val="NormalHanging12a"/>
        <w:rPr>
          <w:szCs w:val="24"/>
        </w:rPr>
      </w:pPr>
      <w:r w:rsidRPr="00284937">
        <w:t>76.</w:t>
      </w:r>
      <w:r w:rsidRPr="00284937">
        <w:tab/>
        <w:t>uzskata, ka kohēzijas finansējums būtu jāizmanto, lai vienlīdz labi palīdzētu gan pilsētu, gan lauku teritorijām; aicina kohēzijas politikā iekļaut spēcīgāku pilsētu un lauku dimensiju, paredzot īpašus ieguldījumus gan pilsētu, gan lauku teritorijās, kā arī ciešākas saiknes starp pilsētu un lauku projektiem un ilgtspējīgiem ieguldījumiem, lai pievērstos demogrāfiskajām problēmām, attīstības slazdiem un sadalījumam starp pilsētām un laukiem, kas ietekmē ES reģionus;</w:t>
      </w:r>
    </w:p>
    <w:p w:rsidR="003D0B32" w:rsidRPr="00284937" w:rsidRDefault="003D0B32" w:rsidP="003D0B32">
      <w:pPr>
        <w:pStyle w:val="NormalHanging12a"/>
        <w:rPr>
          <w:szCs w:val="24"/>
        </w:rPr>
      </w:pPr>
      <w:r w:rsidRPr="00284937">
        <w:t>77.</w:t>
      </w:r>
      <w:r w:rsidRPr="00284937">
        <w:tab/>
        <w:t>aicina palielināt valstu ERAF piešķīrumu īpatsvaru pilsētu attīstībai; aicina dalībvalstis nodrošināt, ka arī mazās pašvaldības var piekļūt ERAF līdzekļiem, kas paredzēti ilgtspējīgas un integrētas pilsētu attīstības projektu finansēšanai; tāpat aicina piešķirt finansējumu lauku apvidiem un reģioniem, kas cieš no smagiem un pastāvīgiem nelabvēlīgiem dabas apstākļiem vai demogrāfiskiem traucējumiem; aicina šo finansējumu plānot kopīgi ar vietējām un reģionālajām pašvaldībām, kā arī vietējo kopienu un attiecīgo reģionu labā;</w:t>
      </w:r>
    </w:p>
    <w:p w:rsidR="003D0B32" w:rsidRPr="00284937" w:rsidRDefault="003D0B32" w:rsidP="003D0B32">
      <w:pPr>
        <w:pStyle w:val="NormalHanging12a"/>
        <w:rPr>
          <w:szCs w:val="24"/>
        </w:rPr>
      </w:pPr>
      <w:r w:rsidRPr="00284937">
        <w:t>78.</w:t>
      </w:r>
      <w:r w:rsidRPr="00284937">
        <w:tab/>
        <w:t xml:space="preserve">aicina izveidot īstu struktūrpolitiku lauku apvidiem ar atbilstošiem tematiskiem mērķiem, kas atbilstu šo apvidu konkrētajām problēmām, piemēram, lauku </w:t>
      </w:r>
      <w:proofErr w:type="spellStart"/>
      <w:r w:rsidRPr="00284937">
        <w:t>pārtuksnešošanās</w:t>
      </w:r>
      <w:proofErr w:type="spellEnd"/>
      <w:r w:rsidRPr="00284937">
        <w:t xml:space="preserve">, iedzīvotāju novecošana, iedzīvotāju skaita samazināšanās, lauku pamešana, kopienu skaita samazināšanās kopumā, kā arī nepietiekamas veselības </w:t>
      </w:r>
      <w:r w:rsidRPr="00284937">
        <w:lastRenderedPageBreak/>
        <w:t>aprūpes un izglītības iespējas;</w:t>
      </w:r>
    </w:p>
    <w:p w:rsidR="003D0B32" w:rsidRPr="00284937" w:rsidRDefault="003D0B32" w:rsidP="003D0B32">
      <w:pPr>
        <w:pStyle w:val="NormalHanging12a"/>
        <w:rPr>
          <w:szCs w:val="24"/>
        </w:rPr>
      </w:pPr>
      <w:r w:rsidRPr="00284937">
        <w:t>79.</w:t>
      </w:r>
      <w:r w:rsidRPr="00284937">
        <w:tab/>
        <w:t xml:space="preserve">mudina veidot sinerģijas starp kopīgiem projektiem un sadarbības nolīgumiem dažādu pārvaldības līmeņu starpā, lai izmantotu apvienotās spējas un </w:t>
      </w:r>
      <w:proofErr w:type="spellStart"/>
      <w:r w:rsidRPr="00284937">
        <w:t>apjomradītus</w:t>
      </w:r>
      <w:proofErr w:type="spellEnd"/>
      <w:r w:rsidRPr="00284937">
        <w:t xml:space="preserve"> ietaupījumus ES investīcijās infrastruktūrā, inovācijā, klimata pārmaiņu mazināšanā/pielāgošanās tām, kā arī zaļās un digitālās pārkārtošanās īstenošanā; uzskata, ka šim procesam būtu jārada lielāka atbildība par projektiem un ilgtspējīgu ieguldījumu konsolidācija, nevis sadrumstalotība un sinerģijas trūkums;</w:t>
      </w:r>
    </w:p>
    <w:p w:rsidR="003D0B32" w:rsidRPr="00284937" w:rsidRDefault="003D0B32" w:rsidP="003D0B32">
      <w:pPr>
        <w:pStyle w:val="NormalHanging12a"/>
        <w:rPr>
          <w:szCs w:val="24"/>
        </w:rPr>
      </w:pPr>
      <w:r w:rsidRPr="00284937">
        <w:t>80.</w:t>
      </w:r>
      <w:r w:rsidRPr="00284937">
        <w:tab/>
        <w:t xml:space="preserve">uzsver pievienoto vērtību, ko sniedz teritoriālā sadarbība kopumā, it īpaši pārrobežu sadarbība; aicina palielināt Eiropas teritoriālās sadarbības programmu budžetu, jo tās nodrošina unikālu satvaru </w:t>
      </w:r>
      <w:proofErr w:type="spellStart"/>
      <w:r w:rsidRPr="00284937">
        <w:t>starpreģionālai</w:t>
      </w:r>
      <w:proofErr w:type="spellEnd"/>
      <w:r w:rsidRPr="00284937">
        <w:t>, pārrobežu un starptautiskai sadarbībai un palīdz risināt kopīgas problēmas, sekmējot partnerības un veicinot ekonomisko attīstību, sociālo kohēziju un vides ilgtspēju; ierosina "pierobežas miljardu" uzticēt tieši Eiropas teritoriālās sadarbības grupai, kurai jādod uzdevums neatkarīgi pārvaldīt to un nodrošināt sadali starp projektiem;</w:t>
      </w:r>
    </w:p>
    <w:p w:rsidR="003D0B32" w:rsidRPr="00284937" w:rsidRDefault="003D0B32" w:rsidP="003D0B32">
      <w:pPr>
        <w:pStyle w:val="NormalHanging12a"/>
        <w:rPr>
          <w:szCs w:val="24"/>
        </w:rPr>
      </w:pPr>
      <w:r w:rsidRPr="00284937">
        <w:t>81.</w:t>
      </w:r>
      <w:r w:rsidRPr="00284937">
        <w:tab/>
        <w:t xml:space="preserve">uzskata, ka Teritoriālās attīstības programma 2030. gadam ir reāls un piemērots instruments, kas nodrošina ES kohēziju, pārvaldot katru tās reģionu un tā īpatnības; aicina Komisiju apsvērt iespēju mainīt Teritoriālās attīstības programmas 2030. gadam lomu papildus teritoriālās pārvaldības vadlīnijām; aicina dalībvalstis izstrādāt savas teritoriālās attīstības programmas saskaņā ar Teritoriālās attīstības programmu 2030. gadam kā pamatu savu teritoriālo stratēģiju plānošanai, kurās ņem vērā katra no to reģioniem īpatnības un kas kalpo par pamudinājumu, kā arī lai stimulētu lēmumu pieņemšanas procesu un teritoriālās un </w:t>
      </w:r>
      <w:proofErr w:type="spellStart"/>
      <w:r w:rsidRPr="00284937">
        <w:t>pilsētpolitikas</w:t>
      </w:r>
      <w:proofErr w:type="spellEnd"/>
      <w:r w:rsidRPr="00284937">
        <w:t xml:space="preserve"> izstrādi;</w:t>
      </w:r>
    </w:p>
    <w:p w:rsidR="003D0B32" w:rsidRPr="00284937" w:rsidRDefault="003D0B32" w:rsidP="003D0B32">
      <w:pPr>
        <w:pStyle w:val="NormalHanging12a"/>
        <w:rPr>
          <w:szCs w:val="24"/>
        </w:rPr>
      </w:pPr>
      <w:r w:rsidRPr="00284937">
        <w:t>82.</w:t>
      </w:r>
      <w:r w:rsidRPr="00284937">
        <w:tab/>
        <w:t xml:space="preserve">atzīst, ka integrētiem teritoriālās attīstības rīkiem ir būtiska nozīme resursu kvalitatīvā īstenošanā un apguvē; aicina daļu kohēzijas politikas līdzekļu novirzīt teritoriālo pieeju izstrādei lauku apvidos vai pilsētu un lauku teritoriālajām pieejām, izmantojot integrētus teritoriālos ieguldījumus, sabiedrības virzītu vietējo attīstību vai citus ar lauksaimniecību nesaistītus lauku attīstības mehānismus, lai papildinātu darbības, ko atbalsta ar </w:t>
      </w:r>
      <w:r w:rsidRPr="00284937">
        <w:rPr>
          <w:i/>
        </w:rPr>
        <w:t>LEADER</w:t>
      </w:r>
      <w:r w:rsidRPr="00284937">
        <w:t xml:space="preserve"> pieeju saskaņā ar kopējo lauksaimniecības politiku, jo tas būs arī būtisks veids, kā risināt neapmierinātības ģeogrāfiju;</w:t>
      </w:r>
    </w:p>
    <w:p w:rsidR="003D0B32" w:rsidRPr="00284937" w:rsidRDefault="003D0B32" w:rsidP="003D0B32">
      <w:pPr>
        <w:pStyle w:val="NormalHanging12a"/>
      </w:pPr>
      <w:r w:rsidRPr="00284937">
        <w:t>83.</w:t>
      </w:r>
      <w:r w:rsidRPr="00284937">
        <w:tab/>
        <w:t>uzskata, ka, izmantojot kohēzijas saistību atcelšanu rezervēm kohēzijas politikā, tas cita starpā palīdzētu absorbēt turpmākos inflācijas kāpumus vai piegādes ķēdes satricinājumus; uzskata, ka šādam izmantojumam būtu jādarbojas nepārtraukti atkarībā no vajadzības un atbilstoši daudzgadu un gada saistību atcelšanas cikliem;</w:t>
      </w:r>
    </w:p>
    <w:p w:rsidR="003D0B32" w:rsidRPr="00284937" w:rsidRDefault="003D0B32" w:rsidP="003D0B32">
      <w:pPr>
        <w:pStyle w:val="NormalHanging12a"/>
        <w:rPr>
          <w:szCs w:val="24"/>
        </w:rPr>
      </w:pPr>
      <w:r w:rsidRPr="00284937">
        <w:t>84.</w:t>
      </w:r>
      <w:r w:rsidRPr="00284937">
        <w:tab/>
        <w:t xml:space="preserve">uzskata, ka kompromisu starp nepieciešamo orientāciju uz vietu un atbalstu Savienības tematiskajām prioritātēm varētu risināt, izmantojot lielāku elastību un tematisko mērķu un problēmu atlasāmu sarakstu, kas būtu pieejams reģioniem un pašvaldībām atbilstīgi to attīstības līmenim un vajadzībām, vienlaikus ievērojot tematisko koncentrāciju valsts līmenī; uzsver, ka šāds modelis samazina plānošanas procesa un reģionālo īpatnību faktoru sarežģītību; uzsver, ka kohēzijas politikai jāturpina </w:t>
      </w:r>
      <w:proofErr w:type="spellStart"/>
      <w:r w:rsidRPr="00284937">
        <w:t>līdzsekot</w:t>
      </w:r>
      <w:proofErr w:type="spellEnd"/>
      <w:r w:rsidRPr="00284937">
        <w:t xml:space="preserve"> vietējām vajadzībām, lai tās efektīvi risinātu saistībā ar reģionālo atšķirību samazināšanu visā ES;</w:t>
      </w:r>
    </w:p>
    <w:p w:rsidR="003D0B32" w:rsidRPr="00284937" w:rsidRDefault="003D0B32" w:rsidP="003D0B32">
      <w:pPr>
        <w:pStyle w:val="NormalHanging12a"/>
        <w:rPr>
          <w:szCs w:val="24"/>
        </w:rPr>
      </w:pPr>
      <w:r w:rsidRPr="00284937">
        <w:t>85.</w:t>
      </w:r>
      <w:r w:rsidRPr="00284937">
        <w:tab/>
        <w:t xml:space="preserve">uzsver, ka tematiskā koncentrācija joprojām ir priekšnoteikums tam, lai nodrošinātu pāreju uz konkurētspējīgāku, gudrāku, sociālāku un noturīgāku Savienību, kā arī nulles oglekļa emisiju ekonomiku; tomēr uzsver, ka tā būtu jāpielāgo reģionu un pilsētu </w:t>
      </w:r>
      <w:r w:rsidRPr="00284937">
        <w:lastRenderedPageBreak/>
        <w:t>reālajām vajadzībām un to praktiskajai darbībai, sākot no plānošanas un pārplānošanas līdz īstenošanai un slēgšanai; pauž pārliecību, ka galvenajam principam vajadzētu būt pielāgotai ieguldījumu pieejai, kas vērsta uz konkrētām vajadzībām uz vietas;</w:t>
      </w:r>
    </w:p>
    <w:p w:rsidR="003D0B32" w:rsidRPr="00284937" w:rsidRDefault="003D0B32" w:rsidP="003D0B32">
      <w:pPr>
        <w:pStyle w:val="NormalHanging12a"/>
        <w:rPr>
          <w:szCs w:val="24"/>
        </w:rPr>
      </w:pPr>
      <w:r w:rsidRPr="00284937">
        <w:t>86.</w:t>
      </w:r>
      <w:r w:rsidRPr="00284937">
        <w:tab/>
        <w:t>aicina Komisiju, nosakot atbalsta līmeni katram reģionam, ņemt vērā papildu iezīmes, piemēram, reģiona teritorijas ar izaugsmes potenciālu, to īpašo problēmu intensitāti, to, cik lielā mērā tās saskaras ar notiekošo pārkārtošanos, piemēram, zaļo, digitālo un industriālo pārkārtošanos, vai to sociālā progresa līmeni, lai tādējādi labāk definētu katra reģiona virzību uz konverģenci; uzsver, ka IKP kā vienīgajā attīstības rādītājā nav ņemti vērā visi šie aspekti, un aicina to papildināt ar citiem rādītājiem, piemēram, ES sociālā progresa indeksu un Neaizsargātības pret klimata pārmaiņām indeksu; uzsver, cik svarīgi ir pievērst īpašu uzmanību to reģionu atbalstam, kuri saskaras ar attīstības slazdiem, kā uzsvērts 8. kohēzijas ziņojumā;</w:t>
      </w:r>
    </w:p>
    <w:p w:rsidR="003D0B32" w:rsidRPr="00284937" w:rsidRDefault="003D0B32" w:rsidP="003D0B32">
      <w:pPr>
        <w:pStyle w:val="NormalHanging12a"/>
        <w:rPr>
          <w:szCs w:val="24"/>
        </w:rPr>
      </w:pPr>
      <w:r w:rsidRPr="00284937">
        <w:t>87.</w:t>
      </w:r>
      <w:r w:rsidRPr="00284937">
        <w:tab/>
        <w:t xml:space="preserve">aicina risināt </w:t>
      </w:r>
      <w:proofErr w:type="spellStart"/>
      <w:r w:rsidRPr="00284937">
        <w:t>starpreģionālās</w:t>
      </w:r>
      <w:proofErr w:type="spellEnd"/>
      <w:r w:rsidRPr="00284937">
        <w:t xml:space="preserve"> atšķirības, pievēršot lielāku uzmanību teritoriju daudzveidībai; aicina Komisiju apsvērt iespēju novērtēt sākotnējos piešķīrumus un līdzfinansējuma likmes, pamatojoties uz </w:t>
      </w:r>
      <w:r w:rsidRPr="00284937">
        <w:rPr>
          <w:i/>
        </w:rPr>
        <w:t>NUTS 3</w:t>
      </w:r>
      <w:r w:rsidRPr="00284937">
        <w:t>, lai finansējumu novirzītu tur, kur tas visvairāk nepieciešams, un lai izvairītos no nabadzīgu un nepietiekami attīstītu reģionu rašanās; uzsver, ka šādas pārejas laikā būtu jāņem vērā iespējamā negatīvā ietekme uz ES finansējumu lielākām pilsētu teritorijām, piemēram, lielpilsētu teritorijām;</w:t>
      </w:r>
    </w:p>
    <w:p w:rsidR="003D0B32" w:rsidRPr="00284937" w:rsidRDefault="003D0B32" w:rsidP="003D0B32">
      <w:pPr>
        <w:pStyle w:val="NormalHanging12a"/>
        <w:rPr>
          <w:szCs w:val="24"/>
        </w:rPr>
      </w:pPr>
      <w:r w:rsidRPr="00284937">
        <w:t>88.</w:t>
      </w:r>
      <w:r w:rsidRPr="00284937">
        <w:tab/>
        <w:t>uzskata, ka, piešķirot līdzekļus vietējiem projektiem pilsētās un lauku apvidos, galvenā uzmanība būtu jāpievērš kopīgu interešu projektiem, vienlaikus veicinot arī MVU līdzdalību; aicina apvienot mazākus reģionālos finanšu instrumentus ar lielākām reģionālām iniciatīvām, lai palielinātu to efektivitāti un politisko ietekmi; aicina Komisiju sniegt norādījumus un plānošanas atbalstu, jo īpaši integrētiem teritoriāliem un maziem projektiem, lai izvairītos no saistību atcelšanas un pārdales; uzsver, ka ir svarīgi stiprināt augšupēju pieeju teritoriālajai attīstībai, kas ir sociālās inovācijas un spēju veidošanas līdzeklis;</w:t>
      </w:r>
    </w:p>
    <w:p w:rsidR="003D0B32" w:rsidRPr="00284937" w:rsidRDefault="003D0B32" w:rsidP="003D0B32">
      <w:pPr>
        <w:pStyle w:val="NormalHanging12a"/>
        <w:rPr>
          <w:szCs w:val="24"/>
        </w:rPr>
      </w:pPr>
      <w:r w:rsidRPr="00284937">
        <w:t>89.</w:t>
      </w:r>
      <w:r w:rsidRPr="00284937">
        <w:tab/>
        <w:t xml:space="preserve">uzsver visu līmeņu labas pārvaldības nozīmi kohēzijas politikas pārvaldībā; uzsver, ka pārvaldības struktūru kvalitāte var noteikt optimālu ieguldījumu prioritāšu kombināciju, lai panāktu </w:t>
      </w:r>
      <w:proofErr w:type="spellStart"/>
      <w:r w:rsidRPr="00284937">
        <w:t>daudzlīmeņu</w:t>
      </w:r>
      <w:proofErr w:type="spellEnd"/>
      <w:r w:rsidRPr="00284937">
        <w:t xml:space="preserve"> vertikālo un horizontālo koordināciju, kas nepieciešama integrētas attīstības stratēģiju izstrādei un īstenošanai;</w:t>
      </w:r>
    </w:p>
    <w:p w:rsidR="003D0B32" w:rsidRPr="00284937" w:rsidRDefault="003D0B32" w:rsidP="003D0B32">
      <w:pPr>
        <w:pStyle w:val="NormalHanging12a"/>
        <w:rPr>
          <w:szCs w:val="24"/>
        </w:rPr>
      </w:pPr>
      <w:r w:rsidRPr="00284937">
        <w:t>90.</w:t>
      </w:r>
      <w:r w:rsidRPr="00284937">
        <w:tab/>
        <w:t xml:space="preserve">aicina stiprināt pilsētu un lauku pašvaldību pārstāvību uzraudzības komitejās, lai kopīgi varētu novērtēt līdzekļu pārvaldības efektivitāti; atkārtoti uzsver, ka šiem pārstāvjiem cita starpā būtu jādala atbildība par plānošanu un pārplānošanu, lai ievērotu </w:t>
      </w:r>
      <w:proofErr w:type="spellStart"/>
      <w:r w:rsidRPr="00284937">
        <w:t>daudzlīmeņu</w:t>
      </w:r>
      <w:proofErr w:type="spellEnd"/>
      <w:r w:rsidRPr="00284937">
        <w:t xml:space="preserve"> pārvaldību;</w:t>
      </w:r>
    </w:p>
    <w:p w:rsidR="003D0B32" w:rsidRPr="00284937" w:rsidRDefault="003D0B32" w:rsidP="003D0B32">
      <w:pPr>
        <w:pStyle w:val="NormalHanging12a"/>
        <w:rPr>
          <w:szCs w:val="24"/>
        </w:rPr>
      </w:pPr>
      <w:r w:rsidRPr="00284937">
        <w:t>91.</w:t>
      </w:r>
      <w:r w:rsidRPr="00284937">
        <w:tab/>
        <w:t>aicina Komisiju veikt nepieciešamos pasākumus, lai novērstu trūkumus, kas konstatēti vadošo iestāžu veiktajā kohēzijas politikas fondu pārvaldībā, vienlaikus vienkāršojot piekļuvi tehniskajai palīdzībai nolūkā uzlabot kompetento iestāžu administratīvās un pārvaldības spējas;</w:t>
      </w:r>
    </w:p>
    <w:p w:rsidR="003D0B32" w:rsidRPr="00284937" w:rsidRDefault="003D0B32" w:rsidP="003D0B32">
      <w:pPr>
        <w:pStyle w:val="NormalHanging12a"/>
      </w:pPr>
      <w:r w:rsidRPr="00284937">
        <w:t>92.</w:t>
      </w:r>
      <w:r w:rsidRPr="00284937">
        <w:tab/>
        <w:t xml:space="preserve">aicina turpmāk iesaistīt Komisijas iniciatīvas, piemēram, ES Pilsētas mēru </w:t>
      </w:r>
      <w:proofErr w:type="spellStart"/>
      <w:r w:rsidRPr="00284937">
        <w:t>paktu</w:t>
      </w:r>
      <w:proofErr w:type="spellEnd"/>
      <w:r w:rsidRPr="00284937">
        <w:t xml:space="preserve"> klimata un enerģētikas jomā, nākamās paaudzes kohēzijas politikas noteikumu izstrādes un īstenošanas procesā; uzskata, ka pilsētu tīkliem ir neaizstājama loma, lai pārvarētu plaisu starp politikas veidošanu un īstenošanu uz vietas; atzīst, ka politikas un īstenošanas atbalsts, kas vērsts uz pilsētu mēriem un vietējām iestādēm, politikas īstenošanas kontekstā rada ievērojami labākus rezultātus;</w:t>
      </w:r>
    </w:p>
    <w:p w:rsidR="003D0B32" w:rsidRPr="00284937" w:rsidRDefault="003D0B32" w:rsidP="003D0B32">
      <w:pPr>
        <w:pStyle w:val="NormalHanging12a"/>
        <w:rPr>
          <w:szCs w:val="24"/>
        </w:rPr>
      </w:pPr>
      <w:r w:rsidRPr="00284937">
        <w:lastRenderedPageBreak/>
        <w:t>93.</w:t>
      </w:r>
      <w:r w:rsidRPr="00284937">
        <w:tab/>
        <w:t xml:space="preserve">uzsver, ka dalībvalstu starpā pastāv atšķirības attiecībā uz vietējo un reģionālo iestāžu kompetencēm; aicina uzlabot uz vietu balstītu pieeju, lai kohēzijas politikas pārvaldību tuvinātu reģionālajam un vietējam līmenim; uzsver, ka sagatavošanās darbs, atbilstoša administratīvā kapacitāte un institucionālais atbalsts ir nepieciešami, lai nodrošinātu politikas efektivitāti, samazinātu pārkāpumu un krāpšanas gadījumu skaitu un izvairītos no papildu administratīvā sloga vadošajām iestādēm, darbuzņēmējiem un </w:t>
      </w:r>
      <w:proofErr w:type="spellStart"/>
      <w:r w:rsidRPr="00284937">
        <w:t>galasaņēmējiem</w:t>
      </w:r>
      <w:proofErr w:type="spellEnd"/>
      <w:r w:rsidRPr="00284937">
        <w:t>;</w:t>
      </w:r>
    </w:p>
    <w:p w:rsidR="003D0B32" w:rsidRPr="00284937" w:rsidRDefault="003D0B32" w:rsidP="003D0B32">
      <w:pPr>
        <w:pStyle w:val="NormalHanging12a"/>
        <w:rPr>
          <w:szCs w:val="24"/>
        </w:rPr>
      </w:pPr>
      <w:r w:rsidRPr="00284937">
        <w:t>94.</w:t>
      </w:r>
      <w:r w:rsidRPr="00284937">
        <w:tab/>
        <w:t>pauž pārliecību, ka lielāku vietējā un reģionālā līmeņa atbildību ilgtermiņā, kā arī ES projektu ilgizturību un lielāku līdzfinansējumu var veicināt ar lielāku fiskālo kapacitāti attiecībā uz reģioniem un pašvaldībām; atzīst, ka šāds risinājums uzlabotu reģionu un pašvaldību aizņemšanās spēju, kas saistīta ar ES budžeta finanšu instrumentiem; uzsver, ka reģionālajiem un vietējiem budžetiem būtu jāspēj kompensēt inflācijas šoku un iespējamo krīžu ietekmi uz ES līdzfinansētajiem projektiem;</w:t>
      </w:r>
    </w:p>
    <w:p w:rsidR="003D0B32" w:rsidRPr="00284937" w:rsidRDefault="003D0B32" w:rsidP="003D0B32">
      <w:pPr>
        <w:pStyle w:val="NormalHanging12a"/>
        <w:rPr>
          <w:szCs w:val="24"/>
        </w:rPr>
      </w:pPr>
      <w:r w:rsidRPr="00284937">
        <w:t>95.</w:t>
      </w:r>
      <w:r w:rsidRPr="00284937">
        <w:tab/>
        <w:t xml:space="preserve">aicina vēl vairāk iesaistīt Eiropas Investīciju bankas (EIB) grupu kohēzijas politikas ieguldījumu veikšanā, jo īpaši mazāk attīstītajos reģionos, atbalstot ilgtspējīgas pilsētas, ilgtspējīgu enerģētiku, aprites ekonomiku, videi draudzīgas darbavietas, kā arī vietējos un reģionālos inovācijas projektus, tostarp vairāk izmantojot finanšu instrumentus un atbalstot privātā sektora ieguldījumus; aicina paplašināt atbalstu vietējā un reģionālā līmeņa projektiem, kā arī izvērst finanšu instrumentus, kas papildina un palīdz piesaistīt ES dotācijas; atzīst, ka daudzās dalībvalstīs EIB finansējums, piemēram, </w:t>
      </w:r>
      <w:proofErr w:type="spellStart"/>
      <w:r w:rsidRPr="00284937">
        <w:t>struktūrprogrammu</w:t>
      </w:r>
      <w:proofErr w:type="spellEnd"/>
      <w:r w:rsidRPr="00284937">
        <w:t xml:space="preserve"> aizdevumi, ievērojami veicina valsts līdzfinansējuma saistību izpildi saskaņā ar kohēzijas politiku, kas savukārt atvieglo un paātrina programmu īstenošanu;</w:t>
      </w:r>
    </w:p>
    <w:p w:rsidR="003D0B32" w:rsidRPr="00284937" w:rsidRDefault="003D0B32" w:rsidP="003D0B32">
      <w:pPr>
        <w:pStyle w:val="NormalHanging12a"/>
        <w:rPr>
          <w:szCs w:val="24"/>
        </w:rPr>
      </w:pPr>
      <w:r w:rsidRPr="00284937">
        <w:t>96.</w:t>
      </w:r>
      <w:r w:rsidRPr="00284937">
        <w:tab/>
        <w:t>uzsver, ka tehniskās, finansiālās un administratīvās spējas ir būtiski svarīgas, lai nodrošinātu, ka vadošās iestādes, kā arī vietējās un reģionālās pašvaldības iegūst tehniskas zināšanas, jo īpaši par klimata pārmaiņām, un var tās izmantot pilsētu un lauku plānošanā un pārvaldībā; pauž pārliecību, ka tas ļaus labāk izstrādāt un novērtēt projektu priekšlikumus, efektīvāk sadalīt resursus un apmierinoši īstenot budžetu, neradot būtisku saistību atcelšanas risku;</w:t>
      </w:r>
    </w:p>
    <w:p w:rsidR="003D0B32" w:rsidRPr="00284937" w:rsidRDefault="003D0B32" w:rsidP="003D0B32">
      <w:pPr>
        <w:pStyle w:val="NormalHanging12a"/>
        <w:rPr>
          <w:szCs w:val="24"/>
        </w:rPr>
      </w:pPr>
      <w:r w:rsidRPr="00284937">
        <w:t>97.</w:t>
      </w:r>
      <w:r w:rsidRPr="00284937">
        <w:tab/>
        <w:t xml:space="preserve">aicina pašreizējās tehniskās palīdzības un konsultāciju programmas īpaši pievērsties mazākām pašvaldībām un pārrobežas, attāliem un lauku apgabaliem, kā arī tālākajiem un salu reģioniem, lai palīdzētu tiem risināt jaunās problēmas, piemēram, saistībā ar zaļo pārkārtošanos un klimata pārmaiņām; šajā sakarā uzsver, cik svarīgi ir sadarbībā starp EIB un Komisiju izstrādāt tehniskās palīdzības instrumentus, tostarp energoefektivitātes jomā; aicina sniegt mērķtiecīgu atbalstu 100 % ES finansējuma veidā tehnisko, finansiālo un administratīvo spēju veidošanai, projektu izstrādei un sagatavošanai, projektu ieceres noteikšanai un izveidei, kā arī stratēģiskās plānošanas spējām, tostarp plānošanas instrumentiem; uzskata, ka būtu jāturpina attīstīt </w:t>
      </w:r>
      <w:r w:rsidRPr="00284937">
        <w:rPr>
          <w:i/>
        </w:rPr>
        <w:t>URBIS</w:t>
      </w:r>
      <w:r w:rsidRPr="00284937">
        <w:t xml:space="preserve"> platformu kā vienotu pašvaldību kontaktpunktu;</w:t>
      </w:r>
    </w:p>
    <w:p w:rsidR="003D0B32" w:rsidRPr="00284937" w:rsidRDefault="003D0B32" w:rsidP="003D0B32">
      <w:pPr>
        <w:pStyle w:val="NormalHanging12a"/>
        <w:rPr>
          <w:szCs w:val="24"/>
        </w:rPr>
      </w:pPr>
      <w:r w:rsidRPr="00284937">
        <w:t>98.</w:t>
      </w:r>
      <w:r w:rsidRPr="00284937">
        <w:tab/>
        <w:t xml:space="preserve">uzstāj, ka ir būtiski jāpārskata Komisijas </w:t>
      </w:r>
      <w:proofErr w:type="spellStart"/>
      <w:r w:rsidRPr="00284937">
        <w:rPr>
          <w:i/>
        </w:rPr>
        <w:t>ad</w:t>
      </w:r>
      <w:proofErr w:type="spellEnd"/>
      <w:r w:rsidRPr="00284937">
        <w:rPr>
          <w:i/>
        </w:rPr>
        <w:t> </w:t>
      </w:r>
      <w:proofErr w:type="spellStart"/>
      <w:r w:rsidRPr="00284937">
        <w:rPr>
          <w:i/>
        </w:rPr>
        <w:t>hoc</w:t>
      </w:r>
      <w:proofErr w:type="spellEnd"/>
      <w:r w:rsidRPr="00284937">
        <w:t xml:space="preserve"> iniciatīvas un rūpīgi jāpārbauda jauno iniciatīvu kvalitāte un skaits; prasa, lai šis process tiktu pārvaldīts kopīgi un partnerībā, garantējot vietējā līmeņa, tostarp pilsētu un lauku apvidu, kā arī reģionu un pilsoniskās sabiedrības organizāciju pārstāvību; brīdina, ka tādu kohēzijas politikas fondu finansēto Komisijas </w:t>
      </w:r>
      <w:proofErr w:type="spellStart"/>
      <w:r w:rsidRPr="00284937">
        <w:rPr>
          <w:i/>
        </w:rPr>
        <w:t>ad</w:t>
      </w:r>
      <w:proofErr w:type="spellEnd"/>
      <w:r w:rsidRPr="00284937">
        <w:rPr>
          <w:i/>
        </w:rPr>
        <w:t> </w:t>
      </w:r>
      <w:proofErr w:type="spellStart"/>
      <w:r w:rsidRPr="00284937">
        <w:rPr>
          <w:i/>
        </w:rPr>
        <w:t>hoc</w:t>
      </w:r>
      <w:proofErr w:type="spellEnd"/>
      <w:r w:rsidRPr="00284937">
        <w:t xml:space="preserve"> iniciatīvu izplatīšanās, kas nedod pievienoto vērtību vietējam un reģionālajam līmenim, var mazināt iepriekš plānoto kopējo kohēzijas apropriāciju efektivitāti; uzstāj, ka katrai jaunai Komisijas iniciatīvai jāpievieno attiecīgs budžeta papildinājums;</w:t>
      </w:r>
    </w:p>
    <w:p w:rsidR="003D0B32" w:rsidRPr="00284937" w:rsidRDefault="003D0B32" w:rsidP="003D0B32">
      <w:pPr>
        <w:pStyle w:val="NormalHanging12a"/>
        <w:jc w:val="center"/>
      </w:pPr>
      <w:r w:rsidRPr="00284937">
        <w:lastRenderedPageBreak/>
        <w:t>°</w:t>
      </w:r>
    </w:p>
    <w:p w:rsidR="003D0B32" w:rsidRPr="00284937" w:rsidRDefault="003D0B32" w:rsidP="003D0B32">
      <w:pPr>
        <w:pStyle w:val="NormalHanging12a"/>
        <w:jc w:val="center"/>
      </w:pPr>
      <w:r w:rsidRPr="00284937">
        <w:t>°</w:t>
      </w:r>
      <w:r w:rsidRPr="00284937">
        <w:tab/>
        <w:t>°</w:t>
      </w:r>
    </w:p>
    <w:p w:rsidR="003D0B32" w:rsidRPr="00284937" w:rsidRDefault="003D0B32" w:rsidP="003D0B32">
      <w:pPr>
        <w:pStyle w:val="NormalHanging12a"/>
      </w:pPr>
      <w:r w:rsidRPr="00284937">
        <w:t>99.</w:t>
      </w:r>
      <w:r w:rsidRPr="00284937">
        <w:tab/>
        <w:t>uzdod priekšsēdētājai nosūtīt šo rezolūciju Padomei, Komisijai, Eiropas Ekonomikas un sociālo lietu komitejai, Eiropas Reģionu komitejai un dalībvalstu valsts un reģionālajiem parlamentiem.</w:t>
      </w:r>
    </w:p>
    <w:p w:rsidR="00E365E1" w:rsidRPr="00284937" w:rsidRDefault="00E365E1" w:rsidP="000755F0">
      <w:bookmarkStart w:id="8" w:name="TextBodyEnd"/>
      <w:bookmarkEnd w:id="8"/>
    </w:p>
    <w:sectPr w:rsidR="00E365E1" w:rsidRPr="00284937" w:rsidSect="007C32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5F0" w:rsidRPr="007C32EA" w:rsidRDefault="000755F0">
      <w:r w:rsidRPr="007C32EA">
        <w:separator/>
      </w:r>
    </w:p>
  </w:endnote>
  <w:endnote w:type="continuationSeparator" w:id="0">
    <w:p w:rsidR="000755F0" w:rsidRPr="007C32EA" w:rsidRDefault="000755F0">
      <w:r w:rsidRPr="007C32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5F0" w:rsidRPr="007C32EA" w:rsidRDefault="000755F0">
      <w:r w:rsidRPr="007C32EA">
        <w:separator/>
      </w:r>
    </w:p>
  </w:footnote>
  <w:footnote w:type="continuationSeparator" w:id="0">
    <w:p w:rsidR="000755F0" w:rsidRPr="007C32EA" w:rsidRDefault="000755F0">
      <w:r w:rsidRPr="007C32EA">
        <w:continuationSeparator/>
      </w:r>
    </w:p>
  </w:footnote>
  <w:footnote w:id="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347, 20.12.2013., 320. lpp.</w:t>
      </w:r>
    </w:p>
  </w:footnote>
  <w:footnote w:id="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347, 20.12.2013., 289. lpp.</w:t>
      </w:r>
    </w:p>
  </w:footnote>
  <w:footnote w:id="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347, 20.12.2013., 281. lpp.</w:t>
      </w:r>
    </w:p>
  </w:footnote>
  <w:footnote w:id="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347, 20.12.2013., 259. lpp.</w:t>
      </w:r>
    </w:p>
  </w:footnote>
  <w:footnote w:id="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347, 20.12.2013., 470. lpp.</w:t>
      </w:r>
    </w:p>
  </w:footnote>
  <w:footnote w:id="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99, 31.3.2020., 5. lpp.</w:t>
      </w:r>
    </w:p>
  </w:footnote>
  <w:footnote w:id="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130, 24.4.2020., 1. lpp.</w:t>
      </w:r>
    </w:p>
  </w:footnote>
  <w:footnote w:id="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109, 8.4.2022., 1. lpp.</w:t>
      </w:r>
    </w:p>
  </w:footnote>
  <w:footnote w:id="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L 275, 25.10.2022., 23. lpp.</w:t>
      </w:r>
    </w:p>
  </w:footnote>
  <w:footnote w:id="1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Pieņemtie teksti, P9_TA(2023)0439.</w:t>
      </w:r>
    </w:p>
  </w:footnote>
  <w:footnote w:id="1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OV C, C/2023/1061, 15.12.2023., ELI: http://data.europa.eu/eli/C/2023/1061/oj.</w:t>
      </w:r>
    </w:p>
  </w:footnote>
  <w:footnote w:id="1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125, 5.4.2023., 100. lpp.</w:t>
      </w:r>
    </w:p>
  </w:footnote>
  <w:footnote w:id="1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125, 5.4.2023., 114. lpp.</w:t>
      </w:r>
    </w:p>
  </w:footnote>
  <w:footnote w:id="1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342, 6.9.2022., 2. lpp.</w:t>
      </w:r>
    </w:p>
  </w:footnote>
  <w:footnote w:id="1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OV C 117, 11.3.2022., 18. lpp.</w:t>
      </w:r>
    </w:p>
  </w:footnote>
  <w:footnote w:id="1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15, 12.1.2022., 125. lpp.</w:t>
      </w:r>
    </w:p>
  </w:footnote>
  <w:footnote w:id="1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494, 8.12.2021., 26. lpp.</w:t>
      </w:r>
    </w:p>
  </w:footnote>
  <w:footnote w:id="1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OV C 28, 27.1.2020., 40. lpp.</w:t>
      </w:r>
    </w:p>
  </w:footnote>
  <w:footnote w:id="1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OV C 162, 10.5.2019., 24. lpp.</w:t>
      </w:r>
    </w:p>
  </w:footnote>
  <w:footnote w:id="2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OV C, C/2024/1041, 9.2.2024., ELI: http://data.europa.eu/eli/C/2024/1041/oj.</w:t>
      </w:r>
    </w:p>
  </w:footnote>
  <w:footnote w:id="2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Pētījums Reģionālās attīstības komitejai "ES atpalikušie reģioni: pašreizējais stāvoklis un nākotnes uzdevumi", Eiropas Parlaments, Iekšpolitikas ģenerāldirektorāts, Struktūrpolitikas un kohēzijas politikas departaments, 2020. gada 26. oktobris.</w:t>
      </w:r>
    </w:p>
  </w:footnote>
  <w:footnote w:id="2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Eiropas Revīzijas palātas īpašais ziņojums 02/2023 "</w:t>
      </w:r>
      <w:hyperlink r:id="rId1" w:history="1">
        <w:r w:rsidRPr="007C32EA">
          <w:rPr>
            <w:rStyle w:val="Hyperlink"/>
            <w:sz w:val="24"/>
            <w:lang w:val="lv-LV"/>
          </w:rPr>
          <w:t>Kohēzijas politikas noteikumu pielāgošana, lai reaģētu uz Covid-19 pandēmiju</w:t>
        </w:r>
      </w:hyperlink>
      <w:r w:rsidRPr="007C32EA">
        <w:rPr>
          <w:sz w:val="24"/>
          <w:lang w:val="lv-LV"/>
        </w:rPr>
        <w:t>", 2023. gada 2. februāris.</w:t>
      </w:r>
    </w:p>
  </w:footnote>
  <w:footnote w:id="2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Eiropas Revīzijas palāta, "</w:t>
      </w:r>
      <w:hyperlink r:id="rId2" w:history="1">
        <w:r w:rsidRPr="007C32EA">
          <w:rPr>
            <w:rStyle w:val="Hyperlink"/>
            <w:sz w:val="24"/>
            <w:lang w:val="lv-LV"/>
          </w:rPr>
          <w:t>Gada pārskats par ES budžeta izpildi 2022. finanšu gadā</w:t>
        </w:r>
      </w:hyperlink>
      <w:r w:rsidRPr="007C32EA">
        <w:rPr>
          <w:sz w:val="24"/>
          <w:lang w:val="lv-LV"/>
        </w:rPr>
        <w:t>", 2023. gada 5. oktobris.</w:t>
      </w:r>
    </w:p>
  </w:footnote>
  <w:footnote w:id="2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Komisijas Deleģētā regula (ES) Nr. 240/2014 (2014. gada 7. janvāris) par Eiropas rīcības kodeksu attiecībā uz partnerību saistībā ar Eiropas strukturālajiem un investīciju fondiem (OV L 74, 14.3.2014., 1. lpp.).</w:t>
      </w:r>
    </w:p>
  </w:footnote>
  <w:footnote w:id="2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Komisijas dienestu 2023. gada 30. janvāra darba dokuments par Eiropas strukturālo un investīciju fondu programmu 2014.–2020. gadam novērtējumu konstatējumu kopsavilkumu, kas pievienots 2022. gada kopsavilkuma ziņojumam (SWD(2023)0022).</w:t>
      </w:r>
    </w:p>
  </w:footnote>
  <w:footnote w:id="2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Komisijas dienestu 2024. gada 15. janvāra darba dokuments par Eiropas strukturālo un investīciju fondu programmu 2014.–2020. gadam novērtējumu konstatējumu kopsavilkumu, kas pievienots 2023. gada kopsavilkuma ziņojumam (SWD(2024)0002).</w:t>
      </w:r>
    </w:p>
  </w:footnote>
  <w:footnote w:id="2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Komisijas 2024. gada 15. janvāra ziņojums "Eiropas strukturālie un investīciju fondi. 2023. gada kopsavilkuma ziņojums par programmu gada īstenošanas ziņojumiem 2014.–2020. gada īstenošanas periodā" (COM(2024)0006).</w:t>
      </w:r>
    </w:p>
  </w:footnote>
  <w:footnote w:id="2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proofErr w:type="spellStart"/>
      <w:r w:rsidR="00284937">
        <w:fldChar w:fldCharType="begin"/>
      </w:r>
      <w:r w:rsidR="00284937" w:rsidRPr="00284937">
        <w:rPr>
          <w:lang w:val="lv-LV"/>
        </w:rPr>
        <w:instrText xml:space="preserve"> HYPERLINK "https://ec.europa.eu/regional_policy/policy/what/key-achievements_en" </w:instrText>
      </w:r>
      <w:r w:rsidR="00284937">
        <w:fldChar w:fldCharType="separate"/>
      </w:r>
      <w:r w:rsidRPr="007C32EA">
        <w:rPr>
          <w:rStyle w:val="Hyperlink"/>
          <w:i/>
          <w:sz w:val="24"/>
          <w:lang w:val="lv-LV"/>
        </w:rPr>
        <w:t>Key</w:t>
      </w:r>
      <w:proofErr w:type="spellEnd"/>
      <w:r w:rsidRPr="007C32EA">
        <w:rPr>
          <w:rStyle w:val="Hyperlink"/>
          <w:i/>
          <w:sz w:val="24"/>
          <w:lang w:val="lv-LV"/>
        </w:rPr>
        <w:t xml:space="preserve"> </w:t>
      </w:r>
      <w:proofErr w:type="spellStart"/>
      <w:r w:rsidRPr="007C32EA">
        <w:rPr>
          <w:rStyle w:val="Hyperlink"/>
          <w:i/>
          <w:sz w:val="24"/>
          <w:lang w:val="lv-LV"/>
        </w:rPr>
        <w:t>achievements</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Regional</w:t>
      </w:r>
      <w:proofErr w:type="spellEnd"/>
      <w:r w:rsidRPr="007C32EA">
        <w:rPr>
          <w:rStyle w:val="Hyperlink"/>
          <w:i/>
          <w:sz w:val="24"/>
          <w:lang w:val="lv-LV"/>
        </w:rPr>
        <w:t xml:space="preserve"> </w:t>
      </w:r>
      <w:proofErr w:type="spellStart"/>
      <w:r w:rsidRPr="007C32EA">
        <w:rPr>
          <w:rStyle w:val="Hyperlink"/>
          <w:i/>
          <w:sz w:val="24"/>
          <w:lang w:val="lv-LV"/>
        </w:rPr>
        <w:t>Policy</w:t>
      </w:r>
      <w:proofErr w:type="spellEnd"/>
      <w:r w:rsidRPr="007C32EA">
        <w:rPr>
          <w:rStyle w:val="Hyperlink"/>
          <w:i/>
          <w:sz w:val="24"/>
          <w:lang w:val="lv-LV"/>
        </w:rPr>
        <w:t xml:space="preserve"> 2014-2020</w:t>
      </w:r>
      <w:r w:rsidR="00284937">
        <w:rPr>
          <w:rStyle w:val="Hyperlink"/>
          <w:i/>
          <w:sz w:val="24"/>
          <w:lang w:val="lv-LV"/>
        </w:rPr>
        <w:fldChar w:fldCharType="end"/>
      </w:r>
      <w:r w:rsidRPr="007C32EA">
        <w:rPr>
          <w:sz w:val="24"/>
          <w:lang w:val="lv-LV"/>
        </w:rPr>
        <w:t>" (Galvenie reģionālās politikas sasniegumi 2014.–2020. gadā), skatīts 2024. gada 20. februārī.</w:t>
      </w:r>
    </w:p>
  </w:footnote>
  <w:footnote w:id="2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Turpat.</w:t>
      </w:r>
    </w:p>
  </w:footnote>
  <w:footnote w:id="3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Turpat.</w:t>
      </w:r>
    </w:p>
  </w:footnote>
  <w:footnote w:id="3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w:t>
      </w:r>
    </w:p>
  </w:footnote>
  <w:footnote w:id="3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Turpat.</w:t>
      </w:r>
    </w:p>
  </w:footnote>
  <w:footnote w:id="3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Pētījums Reģionālās attīstības komitejai</w:t>
      </w:r>
      <w:r w:rsidRPr="007C32EA">
        <w:rPr>
          <w:rStyle w:val="FootnoteReference"/>
          <w:sz w:val="24"/>
          <w:lang w:val="lv-LV"/>
        </w:rPr>
        <w:t xml:space="preserve"> "</w:t>
      </w:r>
      <w:proofErr w:type="spellStart"/>
      <w:r w:rsidR="00284937">
        <w:fldChar w:fldCharType="begin"/>
      </w:r>
      <w:r w:rsidR="00284937" w:rsidRPr="00284937">
        <w:rPr>
          <w:lang w:val="lv-LV"/>
        </w:rPr>
        <w:instrText xml:space="preserve"> HYPERLINK "https://www.europarl.europa.eu/RegData/etudes/STUD/2023/733107/IPOL_STU(2023)733107_EN.pdf" </w:instrText>
      </w:r>
      <w:r w:rsidR="00284937">
        <w:fldChar w:fldCharType="separate"/>
      </w:r>
      <w:r w:rsidRPr="007C32EA">
        <w:rPr>
          <w:rStyle w:val="Hyperlink"/>
          <w:i/>
          <w:sz w:val="24"/>
          <w:lang w:val="lv-LV"/>
        </w:rPr>
        <w:t>Cohesion</w:t>
      </w:r>
      <w:proofErr w:type="spellEnd"/>
      <w:r w:rsidRPr="007C32EA">
        <w:rPr>
          <w:rStyle w:val="Hyperlink"/>
          <w:i/>
          <w:sz w:val="24"/>
          <w:lang w:val="lv-LV"/>
        </w:rPr>
        <w:t xml:space="preserve"> </w:t>
      </w:r>
      <w:proofErr w:type="spellStart"/>
      <w:r w:rsidRPr="007C32EA">
        <w:rPr>
          <w:rStyle w:val="Hyperlink"/>
          <w:i/>
          <w:sz w:val="24"/>
          <w:lang w:val="lv-LV"/>
        </w:rPr>
        <w:t>Policy</w:t>
      </w:r>
      <w:proofErr w:type="spellEnd"/>
      <w:r w:rsidRPr="007C32EA">
        <w:rPr>
          <w:rStyle w:val="Hyperlink"/>
          <w:i/>
          <w:sz w:val="24"/>
          <w:lang w:val="lv-LV"/>
        </w:rPr>
        <w:t xml:space="preserve"> </w:t>
      </w:r>
      <w:proofErr w:type="spellStart"/>
      <w:r w:rsidRPr="007C32EA">
        <w:rPr>
          <w:rStyle w:val="Hyperlink"/>
          <w:i/>
          <w:sz w:val="24"/>
          <w:lang w:val="lv-LV"/>
        </w:rPr>
        <w:t>in</w:t>
      </w:r>
      <w:proofErr w:type="spellEnd"/>
      <w:r w:rsidRPr="007C32EA">
        <w:rPr>
          <w:rStyle w:val="Hyperlink"/>
          <w:i/>
          <w:sz w:val="24"/>
          <w:lang w:val="lv-LV"/>
        </w:rPr>
        <w:t xml:space="preserve"> EU </w:t>
      </w:r>
      <w:proofErr w:type="spellStart"/>
      <w:r w:rsidRPr="007C32EA">
        <w:rPr>
          <w:rStyle w:val="Hyperlink"/>
          <w:i/>
          <w:sz w:val="24"/>
          <w:lang w:val="lv-LV"/>
        </w:rPr>
        <w:t>Coal</w:t>
      </w:r>
      <w:proofErr w:type="spellEnd"/>
      <w:r w:rsidRPr="007C32EA">
        <w:rPr>
          <w:rStyle w:val="Hyperlink"/>
          <w:i/>
          <w:sz w:val="24"/>
          <w:lang w:val="lv-LV"/>
        </w:rPr>
        <w:t xml:space="preserve"> </w:t>
      </w:r>
      <w:proofErr w:type="spellStart"/>
      <w:r w:rsidRPr="007C32EA">
        <w:rPr>
          <w:rStyle w:val="Hyperlink"/>
          <w:i/>
          <w:sz w:val="24"/>
          <w:lang w:val="lv-LV"/>
        </w:rPr>
        <w:t>Regions</w:t>
      </w:r>
      <w:proofErr w:type="spellEnd"/>
      <w:r w:rsidR="00284937">
        <w:rPr>
          <w:rStyle w:val="Hyperlink"/>
          <w:i/>
          <w:sz w:val="24"/>
          <w:lang w:val="lv-LV"/>
        </w:rPr>
        <w:fldChar w:fldCharType="end"/>
      </w:r>
      <w:r w:rsidRPr="007C32EA">
        <w:rPr>
          <w:sz w:val="24"/>
          <w:lang w:val="lv-LV"/>
        </w:rPr>
        <w:t>" (Kohēzijas politika ES ogļu ieguves reģionos), Eiropas Parlaments, Iekšpolitikas ģenerāldirektorāts, Strukturālās un kohēzijas politikas departaments, 2023. gada 14. februāris.</w:t>
      </w:r>
    </w:p>
  </w:footnote>
  <w:footnote w:id="3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proofErr w:type="spellStart"/>
      <w:r w:rsidR="00284937">
        <w:fldChar w:fldCharType="begin"/>
      </w:r>
      <w:r w:rsidR="00284937" w:rsidRPr="00284937">
        <w:rPr>
          <w:lang w:val="lv-LV"/>
        </w:rPr>
        <w:instrText xml:space="preserve"> HYPERLINK "https://ec.europa.eu/regional_policy/policy/what/key-achievements_en" </w:instrText>
      </w:r>
      <w:r w:rsidR="00284937">
        <w:fldChar w:fldCharType="separate"/>
      </w:r>
      <w:r w:rsidRPr="007C32EA">
        <w:rPr>
          <w:rStyle w:val="Hyperlink"/>
          <w:i/>
          <w:sz w:val="24"/>
          <w:lang w:val="lv-LV"/>
        </w:rPr>
        <w:t>Key</w:t>
      </w:r>
      <w:proofErr w:type="spellEnd"/>
      <w:r w:rsidRPr="007C32EA">
        <w:rPr>
          <w:rStyle w:val="Hyperlink"/>
          <w:i/>
          <w:sz w:val="24"/>
          <w:lang w:val="lv-LV"/>
        </w:rPr>
        <w:t xml:space="preserve"> </w:t>
      </w:r>
      <w:proofErr w:type="spellStart"/>
      <w:r w:rsidRPr="007C32EA">
        <w:rPr>
          <w:rStyle w:val="Hyperlink"/>
          <w:i/>
          <w:sz w:val="24"/>
          <w:lang w:val="lv-LV"/>
        </w:rPr>
        <w:t>achievements</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Regional</w:t>
      </w:r>
      <w:proofErr w:type="spellEnd"/>
      <w:r w:rsidRPr="007C32EA">
        <w:rPr>
          <w:rStyle w:val="Hyperlink"/>
          <w:i/>
          <w:sz w:val="24"/>
          <w:lang w:val="lv-LV"/>
        </w:rPr>
        <w:t xml:space="preserve"> </w:t>
      </w:r>
      <w:proofErr w:type="spellStart"/>
      <w:r w:rsidRPr="007C32EA">
        <w:rPr>
          <w:rStyle w:val="Hyperlink"/>
          <w:i/>
          <w:sz w:val="24"/>
          <w:lang w:val="lv-LV"/>
        </w:rPr>
        <w:t>Policy</w:t>
      </w:r>
      <w:proofErr w:type="spellEnd"/>
      <w:r w:rsidRPr="007C32EA">
        <w:rPr>
          <w:rStyle w:val="Hyperlink"/>
          <w:i/>
          <w:sz w:val="24"/>
          <w:lang w:val="lv-LV"/>
        </w:rPr>
        <w:t xml:space="preserve"> 2014-2020</w:t>
      </w:r>
      <w:r w:rsidR="00284937">
        <w:rPr>
          <w:rStyle w:val="Hyperlink"/>
          <w:i/>
          <w:sz w:val="24"/>
          <w:lang w:val="lv-LV"/>
        </w:rPr>
        <w:fldChar w:fldCharType="end"/>
      </w:r>
      <w:r w:rsidRPr="007C32EA">
        <w:rPr>
          <w:sz w:val="24"/>
          <w:lang w:val="lv-LV"/>
        </w:rPr>
        <w:t>" (Galvenie reģionālās politikas sasniegumi 2014.–2020. gadā), skatīts 2024. gada 20. februārī.</w:t>
      </w:r>
    </w:p>
  </w:footnote>
  <w:footnote w:id="3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w:t>
      </w:r>
    </w:p>
  </w:footnote>
  <w:footnote w:id="3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13. lpp.</w:t>
      </w:r>
    </w:p>
  </w:footnote>
  <w:footnote w:id="3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hyperlink r:id="rId3" w:history="1">
        <w:r w:rsidRPr="007C32EA">
          <w:rPr>
            <w:rStyle w:val="Hyperlink"/>
            <w:sz w:val="24"/>
            <w:lang w:val="lv-LV"/>
          </w:rPr>
          <w:t>Kohēzijas atvērto datu platforma – Tēma:</w:t>
        </w:r>
      </w:hyperlink>
      <w:hyperlink r:id="rId4" w:history="1">
        <w:r w:rsidRPr="007C32EA">
          <w:rPr>
            <w:rStyle w:val="Hyperlink"/>
            <w:sz w:val="24"/>
            <w:lang w:val="lv-LV"/>
          </w:rPr>
          <w:t xml:space="preserve"> Pielāgošanās klimata pārmaiņām un riska novēršana – finansēšanas periods:</w:t>
        </w:r>
      </w:hyperlink>
      <w:hyperlink r:id="rId5" w:history="1">
        <w:r w:rsidRPr="007C32EA">
          <w:rPr>
            <w:rStyle w:val="Hyperlink"/>
            <w:sz w:val="24"/>
            <w:lang w:val="lv-LV"/>
          </w:rPr>
          <w:t xml:space="preserve"> 2014–2020</w:t>
        </w:r>
      </w:hyperlink>
      <w:r w:rsidRPr="007C32EA">
        <w:rPr>
          <w:sz w:val="24"/>
          <w:lang w:val="lv-LV"/>
        </w:rPr>
        <w:t>", skatīts 2024. gada 20. februārī.</w:t>
      </w:r>
    </w:p>
  </w:footnote>
  <w:footnote w:id="3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hyperlink r:id="rId6" w:history="1">
        <w:r w:rsidRPr="007C32EA">
          <w:rPr>
            <w:rStyle w:val="Hyperlink"/>
            <w:sz w:val="24"/>
            <w:lang w:val="lv-LV"/>
          </w:rPr>
          <w:t>Kohēzijas atvērto datu platforma – Tēma:</w:t>
        </w:r>
      </w:hyperlink>
      <w:hyperlink r:id="rId7" w:history="1">
        <w:r w:rsidRPr="007C32EA">
          <w:rPr>
            <w:rStyle w:val="Hyperlink"/>
            <w:sz w:val="24"/>
            <w:lang w:val="lv-LV"/>
          </w:rPr>
          <w:t xml:space="preserve"> Vides aizsardzība un resursu efektivitāte – finansēšanas periods:</w:t>
        </w:r>
      </w:hyperlink>
      <w:hyperlink r:id="rId8" w:history="1">
        <w:r w:rsidRPr="007C32EA">
          <w:rPr>
            <w:rStyle w:val="Hyperlink"/>
            <w:sz w:val="24"/>
            <w:lang w:val="lv-LV"/>
          </w:rPr>
          <w:t xml:space="preserve"> 2014–2020</w:t>
        </w:r>
      </w:hyperlink>
      <w:r w:rsidRPr="007C32EA">
        <w:rPr>
          <w:sz w:val="24"/>
          <w:lang w:val="lv-LV"/>
        </w:rPr>
        <w:t>", skatīts 2024. gada 20. februārī.</w:t>
      </w:r>
    </w:p>
  </w:footnote>
  <w:footnote w:id="3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14. lpp.</w:t>
      </w:r>
    </w:p>
  </w:footnote>
  <w:footnote w:id="4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Turpat.</w:t>
      </w:r>
    </w:p>
  </w:footnote>
  <w:footnote w:id="4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SWD(2024)0002, 9. lpp.</w:t>
      </w:r>
    </w:p>
  </w:footnote>
  <w:footnote w:id="4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14. lpp.</w:t>
      </w:r>
    </w:p>
  </w:footnote>
  <w:footnote w:id="4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proofErr w:type="spellStart"/>
      <w:r w:rsidR="00284937">
        <w:fldChar w:fldCharType="begin"/>
      </w:r>
      <w:r w:rsidR="00284937" w:rsidRPr="00284937">
        <w:rPr>
          <w:lang w:val="lv-LV"/>
        </w:rPr>
        <w:instrText xml:space="preserve"> HYPERLINK "https://commission.europa.eu/publications/annual-activity-report-2022-regional-and-urban-policy_en" </w:instrText>
      </w:r>
      <w:r w:rsidR="00284937">
        <w:fldChar w:fldCharType="separate"/>
      </w:r>
      <w:r w:rsidRPr="007C32EA">
        <w:rPr>
          <w:rStyle w:val="Hyperlink"/>
          <w:i/>
          <w:sz w:val="24"/>
          <w:lang w:val="lv-LV"/>
        </w:rPr>
        <w:t>Annual</w:t>
      </w:r>
      <w:proofErr w:type="spellEnd"/>
      <w:r w:rsidRPr="007C32EA">
        <w:rPr>
          <w:rStyle w:val="Hyperlink"/>
          <w:i/>
          <w:sz w:val="24"/>
          <w:lang w:val="lv-LV"/>
        </w:rPr>
        <w:t xml:space="preserve"> </w:t>
      </w:r>
      <w:proofErr w:type="spellStart"/>
      <w:r w:rsidRPr="007C32EA">
        <w:rPr>
          <w:rStyle w:val="Hyperlink"/>
          <w:i/>
          <w:sz w:val="24"/>
          <w:lang w:val="lv-LV"/>
        </w:rPr>
        <w:t>Activity</w:t>
      </w:r>
      <w:proofErr w:type="spellEnd"/>
      <w:r w:rsidRPr="007C32EA">
        <w:rPr>
          <w:rStyle w:val="Hyperlink"/>
          <w:i/>
          <w:sz w:val="24"/>
          <w:lang w:val="lv-LV"/>
        </w:rPr>
        <w:t xml:space="preserve"> </w:t>
      </w:r>
      <w:proofErr w:type="spellStart"/>
      <w:r w:rsidRPr="007C32EA">
        <w:rPr>
          <w:rStyle w:val="Hyperlink"/>
          <w:i/>
          <w:sz w:val="24"/>
          <w:lang w:val="lv-LV"/>
        </w:rPr>
        <w:t>Report</w:t>
      </w:r>
      <w:proofErr w:type="spellEnd"/>
      <w:r w:rsidRPr="007C32EA">
        <w:rPr>
          <w:rStyle w:val="Hyperlink"/>
          <w:i/>
          <w:sz w:val="24"/>
          <w:lang w:val="lv-LV"/>
        </w:rPr>
        <w:t xml:space="preserve"> 2022 – </w:t>
      </w:r>
      <w:proofErr w:type="spellStart"/>
      <w:r w:rsidRPr="007C32EA">
        <w:rPr>
          <w:rStyle w:val="Hyperlink"/>
          <w:i/>
          <w:sz w:val="24"/>
          <w:lang w:val="lv-LV"/>
        </w:rPr>
        <w:t>Directorate-General</w:t>
      </w:r>
      <w:proofErr w:type="spellEnd"/>
      <w:r w:rsidRPr="007C32EA">
        <w:rPr>
          <w:rStyle w:val="Hyperlink"/>
          <w:i/>
          <w:sz w:val="24"/>
          <w:lang w:val="lv-LV"/>
        </w:rPr>
        <w:t xml:space="preserve"> </w:t>
      </w:r>
      <w:proofErr w:type="spellStart"/>
      <w:r w:rsidRPr="007C32EA">
        <w:rPr>
          <w:rStyle w:val="Hyperlink"/>
          <w:i/>
          <w:sz w:val="24"/>
          <w:lang w:val="lv-LV"/>
        </w:rPr>
        <w:t>Regional</w:t>
      </w:r>
      <w:proofErr w:type="spellEnd"/>
      <w:r w:rsidRPr="007C32EA">
        <w:rPr>
          <w:rStyle w:val="Hyperlink"/>
          <w:i/>
          <w:sz w:val="24"/>
          <w:lang w:val="lv-LV"/>
        </w:rPr>
        <w:t xml:space="preserve"> </w:t>
      </w:r>
      <w:proofErr w:type="spellStart"/>
      <w:r w:rsidRPr="007C32EA">
        <w:rPr>
          <w:rStyle w:val="Hyperlink"/>
          <w:i/>
          <w:sz w:val="24"/>
          <w:lang w:val="lv-LV"/>
        </w:rPr>
        <w:t>and</w:t>
      </w:r>
      <w:proofErr w:type="spellEnd"/>
      <w:r w:rsidRPr="007C32EA">
        <w:rPr>
          <w:rStyle w:val="Hyperlink"/>
          <w:i/>
          <w:sz w:val="24"/>
          <w:lang w:val="lv-LV"/>
        </w:rPr>
        <w:t xml:space="preserve"> Urban </w:t>
      </w:r>
      <w:proofErr w:type="spellStart"/>
      <w:r w:rsidRPr="007C32EA">
        <w:rPr>
          <w:rStyle w:val="Hyperlink"/>
          <w:i/>
          <w:sz w:val="24"/>
          <w:lang w:val="lv-LV"/>
        </w:rPr>
        <w:t>Policy</w:t>
      </w:r>
      <w:proofErr w:type="spellEnd"/>
      <w:r w:rsidR="00284937">
        <w:rPr>
          <w:rStyle w:val="Hyperlink"/>
          <w:i/>
          <w:sz w:val="24"/>
          <w:lang w:val="lv-LV"/>
        </w:rPr>
        <w:fldChar w:fldCharType="end"/>
      </w:r>
      <w:r w:rsidRPr="007C32EA">
        <w:rPr>
          <w:sz w:val="24"/>
          <w:lang w:val="lv-LV"/>
        </w:rPr>
        <w:t xml:space="preserve">" (2022. gada darbības pārskats – Reģionālās politikas un </w:t>
      </w:r>
      <w:proofErr w:type="spellStart"/>
      <w:r w:rsidRPr="007C32EA">
        <w:rPr>
          <w:sz w:val="24"/>
          <w:lang w:val="lv-LV"/>
        </w:rPr>
        <w:t>pilsētpolitikas</w:t>
      </w:r>
      <w:proofErr w:type="spellEnd"/>
      <w:r w:rsidRPr="007C32EA">
        <w:rPr>
          <w:sz w:val="24"/>
          <w:lang w:val="lv-LV"/>
        </w:rPr>
        <w:t xml:space="preserve"> ģenerāldirektorāts), 2023. gada 20. jūnijs.</w:t>
      </w:r>
    </w:p>
  </w:footnote>
  <w:footnote w:id="4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COM(2024)0006, 14. lpp.</w:t>
      </w:r>
    </w:p>
  </w:footnote>
  <w:footnote w:id="4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15. lpp.</w:t>
      </w:r>
    </w:p>
  </w:footnote>
  <w:footnote w:id="4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proofErr w:type="spellStart"/>
      <w:r w:rsidRPr="007C32EA">
        <w:rPr>
          <w:i/>
          <w:sz w:val="24"/>
          <w:lang w:val="lv-LV"/>
        </w:rPr>
        <w:t>Equinox</w:t>
      </w:r>
      <w:proofErr w:type="spellEnd"/>
      <w:r w:rsidRPr="007C32EA">
        <w:rPr>
          <w:i/>
          <w:sz w:val="24"/>
          <w:lang w:val="lv-LV"/>
        </w:rPr>
        <w:t xml:space="preserve"> </w:t>
      </w:r>
      <w:proofErr w:type="spellStart"/>
      <w:r w:rsidRPr="007C32EA">
        <w:rPr>
          <w:i/>
          <w:sz w:val="24"/>
          <w:lang w:val="lv-LV"/>
        </w:rPr>
        <w:t>Consulting</w:t>
      </w:r>
      <w:proofErr w:type="spellEnd"/>
      <w:r w:rsidRPr="007C32EA">
        <w:rPr>
          <w:sz w:val="24"/>
          <w:lang w:val="lv-LV"/>
        </w:rPr>
        <w:t>, "</w:t>
      </w:r>
      <w:proofErr w:type="spellStart"/>
      <w:r w:rsidR="00284937">
        <w:fldChar w:fldCharType="begin"/>
      </w:r>
      <w:r w:rsidR="00284937" w:rsidRPr="00284937">
        <w:rPr>
          <w:lang w:val="lv-LV"/>
        </w:rPr>
        <w:instrText xml:space="preserve"> HYPERLINK "https://files.evaluationhelpdesk.eu/evaluations/HUE31.pdf" </w:instrText>
      </w:r>
      <w:r w:rsidR="00284937">
        <w:fldChar w:fldCharType="separate"/>
      </w:r>
      <w:r w:rsidRPr="007C32EA">
        <w:rPr>
          <w:rStyle w:val="Hyperlink"/>
          <w:i/>
          <w:sz w:val="24"/>
          <w:lang w:val="lv-LV"/>
        </w:rPr>
        <w:t>Az</w:t>
      </w:r>
      <w:proofErr w:type="spellEnd"/>
      <w:r w:rsidRPr="007C32EA">
        <w:rPr>
          <w:rStyle w:val="Hyperlink"/>
          <w:i/>
          <w:sz w:val="24"/>
          <w:lang w:val="lv-LV"/>
        </w:rPr>
        <w:t xml:space="preserve"> </w:t>
      </w:r>
      <w:proofErr w:type="spellStart"/>
      <w:r w:rsidRPr="007C32EA">
        <w:rPr>
          <w:rStyle w:val="Hyperlink"/>
          <w:i/>
          <w:sz w:val="24"/>
          <w:lang w:val="lv-LV"/>
        </w:rPr>
        <w:t>ifjúsági</w:t>
      </w:r>
      <w:proofErr w:type="spellEnd"/>
      <w:r w:rsidRPr="007C32EA">
        <w:rPr>
          <w:rStyle w:val="Hyperlink"/>
          <w:i/>
          <w:sz w:val="24"/>
          <w:lang w:val="lv-LV"/>
        </w:rPr>
        <w:t xml:space="preserve"> </w:t>
      </w:r>
      <w:proofErr w:type="spellStart"/>
      <w:r w:rsidRPr="007C32EA">
        <w:rPr>
          <w:rStyle w:val="Hyperlink"/>
          <w:i/>
          <w:sz w:val="24"/>
          <w:lang w:val="lv-LV"/>
        </w:rPr>
        <w:t>foglalkoztatási</w:t>
      </w:r>
      <w:proofErr w:type="spellEnd"/>
      <w:r w:rsidRPr="007C32EA">
        <w:rPr>
          <w:rStyle w:val="Hyperlink"/>
          <w:i/>
          <w:sz w:val="24"/>
          <w:lang w:val="lv-LV"/>
        </w:rPr>
        <w:t xml:space="preserve"> </w:t>
      </w:r>
      <w:proofErr w:type="spellStart"/>
      <w:r w:rsidRPr="007C32EA">
        <w:rPr>
          <w:rStyle w:val="Hyperlink"/>
          <w:i/>
          <w:sz w:val="24"/>
          <w:lang w:val="lv-LV"/>
        </w:rPr>
        <w:t>kezdeményezés</w:t>
      </w:r>
      <w:proofErr w:type="spellEnd"/>
      <w:r w:rsidRPr="007C32EA">
        <w:rPr>
          <w:rStyle w:val="Hyperlink"/>
          <w:i/>
          <w:sz w:val="24"/>
          <w:lang w:val="lv-LV"/>
        </w:rPr>
        <w:t xml:space="preserve"> - </w:t>
      </w:r>
      <w:proofErr w:type="spellStart"/>
      <w:r w:rsidRPr="007C32EA">
        <w:rPr>
          <w:rStyle w:val="Hyperlink"/>
          <w:i/>
          <w:sz w:val="24"/>
          <w:lang w:val="lv-LV"/>
        </w:rPr>
        <w:t>eredményeinek</w:t>
      </w:r>
      <w:proofErr w:type="spellEnd"/>
      <w:r w:rsidRPr="007C32EA">
        <w:rPr>
          <w:rStyle w:val="Hyperlink"/>
          <w:i/>
          <w:sz w:val="24"/>
          <w:lang w:val="lv-LV"/>
        </w:rPr>
        <w:t xml:space="preserve"> </w:t>
      </w:r>
      <w:proofErr w:type="spellStart"/>
      <w:r w:rsidRPr="007C32EA">
        <w:rPr>
          <w:rStyle w:val="Hyperlink"/>
          <w:i/>
          <w:sz w:val="24"/>
          <w:lang w:val="lv-LV"/>
        </w:rPr>
        <w:t>értékelése</w:t>
      </w:r>
      <w:proofErr w:type="spellEnd"/>
      <w:r w:rsidR="00284937">
        <w:rPr>
          <w:rStyle w:val="Hyperlink"/>
          <w:i/>
          <w:sz w:val="24"/>
          <w:lang w:val="lv-LV"/>
        </w:rPr>
        <w:fldChar w:fldCharType="end"/>
      </w:r>
      <w:r w:rsidRPr="007C32EA">
        <w:rPr>
          <w:sz w:val="24"/>
          <w:lang w:val="lv-LV"/>
        </w:rPr>
        <w:t>" (</w:t>
      </w:r>
      <w:r w:rsidR="00A57372" w:rsidRPr="00A57372">
        <w:rPr>
          <w:sz w:val="24"/>
          <w:lang w:val="lv-LV"/>
        </w:rPr>
        <w:t>Jaunatnes nodarbinātības iniciatīvas novērtējum</w:t>
      </w:r>
      <w:r w:rsidR="00A57372">
        <w:rPr>
          <w:sz w:val="24"/>
          <w:lang w:val="lv-LV"/>
        </w:rPr>
        <w:t>s</w:t>
      </w:r>
      <w:r w:rsidRPr="007C32EA">
        <w:rPr>
          <w:sz w:val="24"/>
          <w:lang w:val="lv-LV"/>
        </w:rPr>
        <w:t>), 2018. gads.</w:t>
      </w:r>
    </w:p>
  </w:footnote>
  <w:footnote w:id="4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proofErr w:type="spellStart"/>
      <w:r w:rsidRPr="007C32EA">
        <w:rPr>
          <w:i/>
          <w:sz w:val="24"/>
          <w:lang w:val="lv-LV"/>
        </w:rPr>
        <w:t>Kopint-Tárki</w:t>
      </w:r>
      <w:proofErr w:type="spellEnd"/>
      <w:r w:rsidRPr="007C32EA">
        <w:rPr>
          <w:sz w:val="24"/>
          <w:lang w:val="lv-LV"/>
        </w:rPr>
        <w:t xml:space="preserve">, Ungārijas Inovāciju un tehnoloģiju ministrijai sagatavotais ziņojums </w:t>
      </w:r>
      <w:r w:rsidRPr="007C32EA">
        <w:rPr>
          <w:rStyle w:val="FootnoteReference"/>
          <w:sz w:val="24"/>
          <w:lang w:val="lv-LV"/>
        </w:rPr>
        <w:t>"</w:t>
      </w:r>
      <w:proofErr w:type="spellStart"/>
      <w:r w:rsidR="00284937">
        <w:fldChar w:fldCharType="begin"/>
      </w:r>
      <w:r w:rsidR="00284937" w:rsidRPr="00284937">
        <w:rPr>
          <w:lang w:val="lv-LV"/>
        </w:rPr>
        <w:instrText xml:space="preserve"> HYPERLINK "https://files.evaluationhelpdesk.eu/evaluations/HUE63.pdf" </w:instrText>
      </w:r>
      <w:r w:rsidR="00284937">
        <w:fldChar w:fldCharType="separate"/>
      </w:r>
      <w:r w:rsidRPr="007C32EA">
        <w:rPr>
          <w:rStyle w:val="Hyperlink"/>
          <w:i/>
          <w:sz w:val="24"/>
          <w:lang w:val="lv-LV"/>
        </w:rPr>
        <w:t>Assessment</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labour</w:t>
      </w:r>
      <w:proofErr w:type="spellEnd"/>
      <w:r w:rsidRPr="007C32EA">
        <w:rPr>
          <w:rStyle w:val="Hyperlink"/>
          <w:i/>
          <w:sz w:val="24"/>
          <w:lang w:val="lv-LV"/>
        </w:rPr>
        <w:t xml:space="preserve"> </w:t>
      </w:r>
      <w:proofErr w:type="spellStart"/>
      <w:r w:rsidRPr="007C32EA">
        <w:rPr>
          <w:rStyle w:val="Hyperlink"/>
          <w:i/>
          <w:sz w:val="24"/>
          <w:lang w:val="lv-LV"/>
        </w:rPr>
        <w:t>market</w:t>
      </w:r>
      <w:proofErr w:type="spellEnd"/>
      <w:r w:rsidRPr="007C32EA">
        <w:rPr>
          <w:rStyle w:val="Hyperlink"/>
          <w:i/>
          <w:sz w:val="24"/>
          <w:lang w:val="lv-LV"/>
        </w:rPr>
        <w:t xml:space="preserve"> </w:t>
      </w:r>
      <w:proofErr w:type="spellStart"/>
      <w:r w:rsidRPr="007C32EA">
        <w:rPr>
          <w:rStyle w:val="Hyperlink"/>
          <w:i/>
          <w:sz w:val="24"/>
          <w:lang w:val="lv-LV"/>
        </w:rPr>
        <w:t>integration</w:t>
      </w:r>
      <w:proofErr w:type="spellEnd"/>
      <w:r w:rsidRPr="007C32EA">
        <w:rPr>
          <w:rStyle w:val="Hyperlink"/>
          <w:i/>
          <w:sz w:val="24"/>
          <w:lang w:val="lv-LV"/>
        </w:rPr>
        <w:t xml:space="preserve"> </w:t>
      </w:r>
      <w:proofErr w:type="spellStart"/>
      <w:r w:rsidRPr="007C32EA">
        <w:rPr>
          <w:rStyle w:val="Hyperlink"/>
          <w:i/>
          <w:sz w:val="24"/>
          <w:lang w:val="lv-LV"/>
        </w:rPr>
        <w:t>support</w:t>
      </w:r>
      <w:proofErr w:type="spellEnd"/>
      <w:r w:rsidRPr="007C32EA">
        <w:rPr>
          <w:rStyle w:val="Hyperlink"/>
          <w:i/>
          <w:sz w:val="24"/>
          <w:lang w:val="lv-LV"/>
        </w:rPr>
        <w:t xml:space="preserve"> </w:t>
      </w:r>
      <w:proofErr w:type="spellStart"/>
      <w:r w:rsidRPr="007C32EA">
        <w:rPr>
          <w:rStyle w:val="Hyperlink"/>
          <w:i/>
          <w:sz w:val="24"/>
          <w:lang w:val="lv-LV"/>
        </w:rPr>
        <w:t>schemes</w:t>
      </w:r>
      <w:proofErr w:type="spellEnd"/>
      <w:r w:rsidRPr="007C32EA">
        <w:rPr>
          <w:rStyle w:val="Hyperlink"/>
          <w:i/>
          <w:sz w:val="24"/>
          <w:lang w:val="lv-LV"/>
        </w:rPr>
        <w:t xml:space="preserve"> - </w:t>
      </w:r>
      <w:proofErr w:type="spellStart"/>
      <w:r w:rsidRPr="007C32EA">
        <w:rPr>
          <w:rStyle w:val="Hyperlink"/>
          <w:i/>
          <w:sz w:val="24"/>
          <w:lang w:val="lv-LV"/>
        </w:rPr>
        <w:t>Framework</w:t>
      </w:r>
      <w:proofErr w:type="spellEnd"/>
      <w:r w:rsidRPr="007C32EA">
        <w:rPr>
          <w:rStyle w:val="Hyperlink"/>
          <w:i/>
          <w:sz w:val="24"/>
          <w:lang w:val="lv-LV"/>
        </w:rPr>
        <w:t xml:space="preserve"> </w:t>
      </w:r>
      <w:proofErr w:type="spellStart"/>
      <w:r w:rsidRPr="007C32EA">
        <w:rPr>
          <w:rStyle w:val="Hyperlink"/>
          <w:i/>
          <w:sz w:val="24"/>
          <w:lang w:val="lv-LV"/>
        </w:rPr>
        <w:t>contract</w:t>
      </w:r>
      <w:proofErr w:type="spellEnd"/>
      <w:r w:rsidRPr="007C32EA">
        <w:rPr>
          <w:rStyle w:val="Hyperlink"/>
          <w:i/>
          <w:sz w:val="24"/>
          <w:lang w:val="lv-LV"/>
        </w:rPr>
        <w:t xml:space="preserve"> </w:t>
      </w:r>
      <w:proofErr w:type="spellStart"/>
      <w:r w:rsidRPr="007C32EA">
        <w:rPr>
          <w:rStyle w:val="Hyperlink"/>
          <w:i/>
          <w:sz w:val="24"/>
          <w:lang w:val="lv-LV"/>
        </w:rPr>
        <w:t>for</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performance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assessments</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development</w:t>
      </w:r>
      <w:proofErr w:type="spellEnd"/>
      <w:r w:rsidRPr="007C32EA">
        <w:rPr>
          <w:rStyle w:val="Hyperlink"/>
          <w:i/>
          <w:sz w:val="24"/>
          <w:lang w:val="lv-LV"/>
        </w:rPr>
        <w:t xml:space="preserve"> </w:t>
      </w:r>
      <w:proofErr w:type="spellStart"/>
      <w:r w:rsidRPr="007C32EA">
        <w:rPr>
          <w:rStyle w:val="Hyperlink"/>
          <w:i/>
          <w:sz w:val="24"/>
          <w:lang w:val="lv-LV"/>
        </w:rPr>
        <w:t>programmes</w:t>
      </w:r>
      <w:proofErr w:type="spellEnd"/>
      <w:r w:rsidRPr="007C32EA">
        <w:rPr>
          <w:rStyle w:val="Hyperlink"/>
          <w:i/>
          <w:sz w:val="24"/>
          <w:lang w:val="lv-LV"/>
        </w:rPr>
        <w:t xml:space="preserve"> </w:t>
      </w:r>
      <w:proofErr w:type="spellStart"/>
      <w:r w:rsidRPr="007C32EA">
        <w:rPr>
          <w:rStyle w:val="Hyperlink"/>
          <w:i/>
          <w:sz w:val="24"/>
          <w:lang w:val="lv-LV"/>
        </w:rPr>
        <w:t>co-financed</w:t>
      </w:r>
      <w:proofErr w:type="spellEnd"/>
      <w:r w:rsidRPr="007C32EA">
        <w:rPr>
          <w:rStyle w:val="Hyperlink"/>
          <w:i/>
          <w:sz w:val="24"/>
          <w:lang w:val="lv-LV"/>
        </w:rPr>
        <w:t xml:space="preserve"> </w:t>
      </w:r>
      <w:proofErr w:type="spellStart"/>
      <w:r w:rsidRPr="007C32EA">
        <w:rPr>
          <w:rStyle w:val="Hyperlink"/>
          <w:i/>
          <w:sz w:val="24"/>
          <w:lang w:val="lv-LV"/>
        </w:rPr>
        <w:t>by</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w:t>
      </w:r>
      <w:proofErr w:type="spellStart"/>
      <w:r w:rsidRPr="007C32EA">
        <w:rPr>
          <w:rStyle w:val="Hyperlink"/>
          <w:i/>
          <w:sz w:val="24"/>
          <w:lang w:val="lv-LV"/>
        </w:rPr>
        <w:t>Funds</w:t>
      </w:r>
      <w:proofErr w:type="spellEnd"/>
      <w:r w:rsidRPr="007C32EA">
        <w:rPr>
          <w:rStyle w:val="Hyperlink"/>
          <w:i/>
          <w:sz w:val="24"/>
          <w:lang w:val="lv-LV"/>
        </w:rPr>
        <w:t xml:space="preserve"> </w:t>
      </w:r>
      <w:proofErr w:type="spellStart"/>
      <w:r w:rsidRPr="007C32EA">
        <w:rPr>
          <w:rStyle w:val="Hyperlink"/>
          <w:i/>
          <w:sz w:val="24"/>
          <w:lang w:val="lv-LV"/>
        </w:rPr>
        <w:t>under</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w:t>
      </w:r>
      <w:proofErr w:type="spellStart"/>
      <w:r w:rsidRPr="007C32EA">
        <w:rPr>
          <w:rStyle w:val="Hyperlink"/>
          <w:i/>
          <w:sz w:val="24"/>
          <w:lang w:val="lv-LV"/>
        </w:rPr>
        <w:t>EU’s</w:t>
      </w:r>
      <w:proofErr w:type="spellEnd"/>
      <w:r w:rsidRPr="007C32EA">
        <w:rPr>
          <w:rStyle w:val="Hyperlink"/>
          <w:i/>
          <w:sz w:val="24"/>
          <w:lang w:val="lv-LV"/>
        </w:rPr>
        <w:t xml:space="preserve"> </w:t>
      </w:r>
      <w:proofErr w:type="spellStart"/>
      <w:r w:rsidRPr="007C32EA">
        <w:rPr>
          <w:rStyle w:val="Hyperlink"/>
          <w:i/>
          <w:sz w:val="24"/>
          <w:lang w:val="lv-LV"/>
        </w:rPr>
        <w:t>Cohesion</w:t>
      </w:r>
      <w:proofErr w:type="spellEnd"/>
      <w:r w:rsidRPr="007C32EA">
        <w:rPr>
          <w:rStyle w:val="Hyperlink"/>
          <w:i/>
          <w:sz w:val="24"/>
          <w:lang w:val="lv-LV"/>
        </w:rPr>
        <w:t xml:space="preserve"> </w:t>
      </w:r>
      <w:proofErr w:type="spellStart"/>
      <w:r w:rsidRPr="007C32EA">
        <w:rPr>
          <w:rStyle w:val="Hyperlink"/>
          <w:i/>
          <w:sz w:val="24"/>
          <w:lang w:val="lv-LV"/>
        </w:rPr>
        <w:t>Policy</w:t>
      </w:r>
      <w:proofErr w:type="spellEnd"/>
      <w:r w:rsidRPr="007C32EA">
        <w:rPr>
          <w:rStyle w:val="Hyperlink"/>
          <w:i/>
          <w:sz w:val="24"/>
          <w:lang w:val="lv-LV"/>
        </w:rPr>
        <w:t xml:space="preserve">, </w:t>
      </w:r>
      <w:proofErr w:type="spellStart"/>
      <w:r w:rsidRPr="007C32EA">
        <w:rPr>
          <w:rStyle w:val="Hyperlink"/>
          <w:i/>
          <w:sz w:val="24"/>
          <w:lang w:val="lv-LV"/>
        </w:rPr>
        <w:t>in</w:t>
      </w:r>
      <w:proofErr w:type="spellEnd"/>
      <w:r w:rsidRPr="007C32EA">
        <w:rPr>
          <w:rStyle w:val="Hyperlink"/>
          <w:i/>
          <w:sz w:val="24"/>
          <w:lang w:val="lv-LV"/>
        </w:rPr>
        <w:t xml:space="preserve"> 9 </w:t>
      </w:r>
      <w:proofErr w:type="spellStart"/>
      <w:r w:rsidRPr="007C32EA">
        <w:rPr>
          <w:rStyle w:val="Hyperlink"/>
          <w:i/>
          <w:sz w:val="24"/>
          <w:lang w:val="lv-LV"/>
        </w:rPr>
        <w:t>parts</w:t>
      </w:r>
      <w:proofErr w:type="spellEnd"/>
      <w:r w:rsidRPr="007C32EA">
        <w:rPr>
          <w:rStyle w:val="Hyperlink"/>
          <w:i/>
          <w:sz w:val="24"/>
          <w:lang w:val="lv-LV"/>
        </w:rPr>
        <w:t xml:space="preserve"> – </w:t>
      </w:r>
      <w:proofErr w:type="spellStart"/>
      <w:r w:rsidRPr="007C32EA">
        <w:rPr>
          <w:rStyle w:val="Hyperlink"/>
          <w:i/>
          <w:sz w:val="24"/>
          <w:lang w:val="lv-LV"/>
        </w:rPr>
        <w:t>Part</w:t>
      </w:r>
      <w:proofErr w:type="spellEnd"/>
      <w:r w:rsidRPr="007C32EA">
        <w:rPr>
          <w:rStyle w:val="Hyperlink"/>
          <w:i/>
          <w:sz w:val="24"/>
          <w:lang w:val="lv-LV"/>
        </w:rPr>
        <w:t xml:space="preserve"> III</w:t>
      </w:r>
      <w:r w:rsidRPr="007C32EA">
        <w:rPr>
          <w:rStyle w:val="Hyperlink"/>
          <w:sz w:val="24"/>
          <w:lang w:val="lv-LV"/>
        </w:rPr>
        <w:t>:</w:t>
      </w:r>
      <w:r w:rsidR="00284937">
        <w:rPr>
          <w:rStyle w:val="Hyperlink"/>
          <w:sz w:val="24"/>
          <w:lang w:val="lv-LV"/>
        </w:rPr>
        <w:fldChar w:fldCharType="end"/>
      </w:r>
      <w:hyperlink r:id="rId9" w:history="1">
        <w:r w:rsidRPr="007C32EA">
          <w:rPr>
            <w:rStyle w:val="Hyperlink"/>
            <w:sz w:val="24"/>
            <w:lang w:val="lv-LV"/>
          </w:rPr>
          <w:t xml:space="preserve"> </w:t>
        </w:r>
        <w:proofErr w:type="spellStart"/>
        <w:r w:rsidRPr="007C32EA">
          <w:rPr>
            <w:rStyle w:val="Hyperlink"/>
            <w:i/>
            <w:sz w:val="24"/>
            <w:lang w:val="lv-LV"/>
          </w:rPr>
          <w:t>Assessment</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impact</w:t>
        </w:r>
        <w:proofErr w:type="spellEnd"/>
        <w:r w:rsidRPr="007C32EA">
          <w:rPr>
            <w:rStyle w:val="Hyperlink"/>
            <w:i/>
            <w:sz w:val="24"/>
            <w:lang w:val="lv-LV"/>
          </w:rPr>
          <w:t xml:space="preserve"> </w:t>
        </w:r>
        <w:proofErr w:type="spellStart"/>
        <w:r w:rsidRPr="007C32EA">
          <w:rPr>
            <w:rStyle w:val="Hyperlink"/>
            <w:i/>
            <w:sz w:val="24"/>
            <w:lang w:val="lv-LV"/>
          </w:rPr>
          <w:t>on</w:t>
        </w:r>
        <w:proofErr w:type="spellEnd"/>
        <w:r w:rsidRPr="007C32EA">
          <w:rPr>
            <w:rStyle w:val="Hyperlink"/>
            <w:i/>
            <w:sz w:val="24"/>
            <w:lang w:val="lv-LV"/>
          </w:rPr>
          <w:t xml:space="preserve"> </w:t>
        </w:r>
        <w:proofErr w:type="spellStart"/>
        <w:r w:rsidRPr="007C32EA">
          <w:rPr>
            <w:rStyle w:val="Hyperlink"/>
            <w:i/>
            <w:sz w:val="24"/>
            <w:lang w:val="lv-LV"/>
          </w:rPr>
          <w:t>labour</w:t>
        </w:r>
        <w:proofErr w:type="spellEnd"/>
        <w:r w:rsidRPr="007C32EA">
          <w:rPr>
            <w:rStyle w:val="Hyperlink"/>
            <w:i/>
            <w:sz w:val="24"/>
            <w:lang w:val="lv-LV"/>
          </w:rPr>
          <w:t xml:space="preserve"> </w:t>
        </w:r>
        <w:proofErr w:type="spellStart"/>
        <w:r w:rsidRPr="007C32EA">
          <w:rPr>
            <w:rStyle w:val="Hyperlink"/>
            <w:i/>
            <w:sz w:val="24"/>
            <w:lang w:val="lv-LV"/>
          </w:rPr>
          <w:t>market</w:t>
        </w:r>
        <w:proofErr w:type="spellEnd"/>
        <w:r w:rsidRPr="007C32EA">
          <w:rPr>
            <w:rStyle w:val="Hyperlink"/>
            <w:i/>
            <w:sz w:val="24"/>
            <w:lang w:val="lv-LV"/>
          </w:rPr>
          <w:t xml:space="preserve"> </w:t>
        </w:r>
        <w:proofErr w:type="spellStart"/>
        <w:r w:rsidRPr="007C32EA">
          <w:rPr>
            <w:rStyle w:val="Hyperlink"/>
            <w:i/>
            <w:sz w:val="24"/>
            <w:lang w:val="lv-LV"/>
          </w:rPr>
          <w:t>and</w:t>
        </w:r>
        <w:proofErr w:type="spellEnd"/>
        <w:r w:rsidRPr="007C32EA">
          <w:rPr>
            <w:rStyle w:val="Hyperlink"/>
            <w:i/>
            <w:sz w:val="24"/>
            <w:lang w:val="lv-LV"/>
          </w:rPr>
          <w:t xml:space="preserve"> </w:t>
        </w:r>
        <w:proofErr w:type="spellStart"/>
        <w:r w:rsidRPr="007C32EA">
          <w:rPr>
            <w:rStyle w:val="Hyperlink"/>
            <w:i/>
            <w:sz w:val="24"/>
            <w:lang w:val="lv-LV"/>
          </w:rPr>
          <w:t>social</w:t>
        </w:r>
        <w:proofErr w:type="spellEnd"/>
        <w:r w:rsidRPr="007C32EA">
          <w:rPr>
            <w:rStyle w:val="Hyperlink"/>
            <w:i/>
            <w:sz w:val="24"/>
            <w:lang w:val="lv-LV"/>
          </w:rPr>
          <w:t xml:space="preserve"> </w:t>
        </w:r>
        <w:proofErr w:type="spellStart"/>
        <w:r w:rsidRPr="007C32EA">
          <w:rPr>
            <w:rStyle w:val="Hyperlink"/>
            <w:i/>
            <w:sz w:val="24"/>
            <w:lang w:val="lv-LV"/>
          </w:rPr>
          <w:t>outcomes</w:t>
        </w:r>
        <w:proofErr w:type="spellEnd"/>
      </w:hyperlink>
      <w:r w:rsidRPr="007C32EA">
        <w:rPr>
          <w:sz w:val="24"/>
          <w:lang w:val="lv-LV"/>
        </w:rPr>
        <w:t>" (Darba tirgus integrācijas atbalsta shēmu novērtējums. Pamatlīgums par ES kohēzijas politikas fondu līdzfinansēto attīstības programmu novērtējumu veikšanu, 9 daļās. III daļa: Ietekmes uz darba tirgu un sociālajiem rezultātiem novērtējum), 2021. gada 15. janvāris.</w:t>
      </w:r>
    </w:p>
  </w:footnote>
  <w:footnote w:id="4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proofErr w:type="spellStart"/>
      <w:r w:rsidRPr="007C32EA">
        <w:rPr>
          <w:i/>
          <w:sz w:val="24"/>
          <w:lang w:val="lv-LV"/>
        </w:rPr>
        <w:t>Wolf-Watz</w:t>
      </w:r>
      <w:proofErr w:type="spellEnd"/>
      <w:r w:rsidRPr="007C32EA">
        <w:rPr>
          <w:i/>
          <w:sz w:val="24"/>
          <w:lang w:val="lv-LV"/>
        </w:rPr>
        <w:t>, O</w:t>
      </w:r>
      <w:r w:rsidRPr="007C32EA">
        <w:rPr>
          <w:sz w:val="24"/>
          <w:lang w:val="lv-LV"/>
        </w:rPr>
        <w:t xml:space="preserve">. </w:t>
      </w:r>
      <w:r w:rsidRPr="007C32EA">
        <w:rPr>
          <w:sz w:val="24"/>
          <w:lang w:val="lv-LV"/>
        </w:rPr>
        <w:t xml:space="preserve">un </w:t>
      </w:r>
      <w:proofErr w:type="spellStart"/>
      <w:r w:rsidRPr="007C32EA">
        <w:rPr>
          <w:i/>
          <w:sz w:val="24"/>
          <w:lang w:val="lv-LV"/>
        </w:rPr>
        <w:t>Öhlin</w:t>
      </w:r>
      <w:proofErr w:type="spellEnd"/>
      <w:r w:rsidRPr="007C32EA">
        <w:rPr>
          <w:i/>
          <w:sz w:val="24"/>
          <w:lang w:val="lv-LV"/>
        </w:rPr>
        <w:t>, J</w:t>
      </w:r>
      <w:r w:rsidRPr="007C32EA">
        <w:rPr>
          <w:sz w:val="24"/>
          <w:lang w:val="lv-LV"/>
        </w:rPr>
        <w:t>., "</w:t>
      </w:r>
      <w:proofErr w:type="spellStart"/>
      <w:r w:rsidR="00284937">
        <w:fldChar w:fldCharType="begin"/>
      </w:r>
      <w:r w:rsidR="00284937" w:rsidRPr="00284937">
        <w:rPr>
          <w:lang w:val="lv-LV"/>
        </w:rPr>
        <w:instrText xml:space="preserve"> HYPERLINK "https://ec.europa.eu/regional_policy/policy/evaluations/member-states/see14_en" </w:instrText>
      </w:r>
      <w:r w:rsidR="00284937">
        <w:fldChar w:fldCharType="separate"/>
      </w:r>
      <w:r w:rsidRPr="007C32EA">
        <w:rPr>
          <w:rStyle w:val="Hyperlink"/>
          <w:i/>
          <w:sz w:val="24"/>
          <w:lang w:val="lv-LV"/>
        </w:rPr>
        <w:t>Evaluation</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YEI, 2018</w:t>
      </w:r>
      <w:r w:rsidR="00284937">
        <w:rPr>
          <w:rStyle w:val="Hyperlink"/>
          <w:i/>
          <w:sz w:val="24"/>
          <w:lang w:val="lv-LV"/>
        </w:rPr>
        <w:fldChar w:fldCharType="end"/>
      </w:r>
      <w:r w:rsidRPr="007C32EA">
        <w:rPr>
          <w:sz w:val="24"/>
          <w:lang w:val="lv-LV"/>
        </w:rPr>
        <w:t>" (JNI novērtējums), 2018. gada decembris.</w:t>
      </w:r>
    </w:p>
  </w:footnote>
  <w:footnote w:id="4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16. lpp.</w:t>
      </w:r>
    </w:p>
  </w:footnote>
  <w:footnote w:id="5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i/>
          <w:sz w:val="24"/>
          <w:lang w:val="lv-LV"/>
        </w:rPr>
        <w:t xml:space="preserve">SÖSTRA – </w:t>
      </w:r>
      <w:proofErr w:type="spellStart"/>
      <w:r w:rsidRPr="007C32EA">
        <w:rPr>
          <w:i/>
          <w:sz w:val="24"/>
          <w:lang w:val="lv-LV"/>
        </w:rPr>
        <w:t>Institut</w:t>
      </w:r>
      <w:proofErr w:type="spellEnd"/>
      <w:r w:rsidRPr="007C32EA">
        <w:rPr>
          <w:i/>
          <w:sz w:val="24"/>
          <w:lang w:val="lv-LV"/>
        </w:rPr>
        <w:t xml:space="preserve"> </w:t>
      </w:r>
      <w:proofErr w:type="spellStart"/>
      <w:r w:rsidRPr="007C32EA">
        <w:rPr>
          <w:i/>
          <w:sz w:val="24"/>
          <w:lang w:val="lv-LV"/>
        </w:rPr>
        <w:t>für</w:t>
      </w:r>
      <w:proofErr w:type="spellEnd"/>
      <w:r w:rsidRPr="007C32EA">
        <w:rPr>
          <w:i/>
          <w:sz w:val="24"/>
          <w:lang w:val="lv-LV"/>
        </w:rPr>
        <w:t xml:space="preserve"> </w:t>
      </w:r>
      <w:proofErr w:type="spellStart"/>
      <w:r w:rsidRPr="007C32EA">
        <w:rPr>
          <w:i/>
          <w:sz w:val="24"/>
          <w:lang w:val="lv-LV"/>
        </w:rPr>
        <w:t>sozialökonomische</w:t>
      </w:r>
      <w:proofErr w:type="spellEnd"/>
      <w:r w:rsidRPr="007C32EA">
        <w:rPr>
          <w:i/>
          <w:sz w:val="24"/>
          <w:lang w:val="lv-LV"/>
        </w:rPr>
        <w:t xml:space="preserve"> </w:t>
      </w:r>
      <w:proofErr w:type="spellStart"/>
      <w:r w:rsidRPr="007C32EA">
        <w:rPr>
          <w:i/>
          <w:sz w:val="24"/>
          <w:lang w:val="lv-LV"/>
        </w:rPr>
        <w:t>Strukturanalysen</w:t>
      </w:r>
      <w:proofErr w:type="spellEnd"/>
      <w:r w:rsidRPr="007C32EA">
        <w:rPr>
          <w:sz w:val="24"/>
          <w:lang w:val="lv-LV"/>
        </w:rPr>
        <w:t>, "</w:t>
      </w:r>
      <w:proofErr w:type="spellStart"/>
      <w:r w:rsidR="00284937">
        <w:fldChar w:fldCharType="begin"/>
      </w:r>
      <w:r w:rsidR="00284937" w:rsidRPr="00284937">
        <w:rPr>
          <w:lang w:val="lv-LV"/>
        </w:rPr>
        <w:instrText xml:space="preserve"> HYPERLINK "https://files.evaluationhelpdesk.eu/evaluations/DEE168.pdf" </w:instrText>
      </w:r>
      <w:r w:rsidR="00284937">
        <w:fldChar w:fldCharType="separate"/>
      </w:r>
      <w:r w:rsidRPr="007C32EA">
        <w:rPr>
          <w:rStyle w:val="Hyperlink"/>
          <w:i/>
          <w:sz w:val="24"/>
          <w:lang w:val="lv-LV"/>
        </w:rPr>
        <w:t>Übergreifende</w:t>
      </w:r>
      <w:proofErr w:type="spellEnd"/>
      <w:r w:rsidRPr="007C32EA">
        <w:rPr>
          <w:rStyle w:val="Hyperlink"/>
          <w:i/>
          <w:sz w:val="24"/>
          <w:lang w:val="lv-LV"/>
        </w:rPr>
        <w:t xml:space="preserve"> </w:t>
      </w:r>
      <w:proofErr w:type="spellStart"/>
      <w:r w:rsidRPr="007C32EA">
        <w:rPr>
          <w:rStyle w:val="Hyperlink"/>
          <w:i/>
          <w:sz w:val="24"/>
          <w:lang w:val="lv-LV"/>
        </w:rPr>
        <w:t>Programmevaluierung</w:t>
      </w:r>
      <w:proofErr w:type="spellEnd"/>
      <w:r w:rsidRPr="007C32EA">
        <w:rPr>
          <w:rStyle w:val="Hyperlink"/>
          <w:i/>
          <w:sz w:val="24"/>
          <w:lang w:val="lv-LV"/>
        </w:rPr>
        <w:t xml:space="preserve"> der </w:t>
      </w:r>
      <w:proofErr w:type="spellStart"/>
      <w:r w:rsidRPr="007C32EA">
        <w:rPr>
          <w:rStyle w:val="Hyperlink"/>
          <w:i/>
          <w:sz w:val="24"/>
          <w:lang w:val="lv-LV"/>
        </w:rPr>
        <w:t>Förderung</w:t>
      </w:r>
      <w:proofErr w:type="spellEnd"/>
      <w:r w:rsidRPr="007C32EA">
        <w:rPr>
          <w:rStyle w:val="Hyperlink"/>
          <w:i/>
          <w:sz w:val="24"/>
          <w:lang w:val="lv-LV"/>
        </w:rPr>
        <w:t xml:space="preserve"> </w:t>
      </w:r>
      <w:proofErr w:type="spellStart"/>
      <w:r w:rsidRPr="007C32EA">
        <w:rPr>
          <w:rStyle w:val="Hyperlink"/>
          <w:i/>
          <w:sz w:val="24"/>
          <w:lang w:val="lv-LV"/>
        </w:rPr>
        <w:t>durch</w:t>
      </w:r>
      <w:proofErr w:type="spellEnd"/>
      <w:r w:rsidRPr="007C32EA">
        <w:rPr>
          <w:rStyle w:val="Hyperlink"/>
          <w:i/>
          <w:sz w:val="24"/>
          <w:lang w:val="lv-LV"/>
        </w:rPr>
        <w:t xml:space="preserve"> </w:t>
      </w:r>
      <w:proofErr w:type="spellStart"/>
      <w:r w:rsidRPr="007C32EA">
        <w:rPr>
          <w:rStyle w:val="Hyperlink"/>
          <w:i/>
          <w:sz w:val="24"/>
          <w:lang w:val="lv-LV"/>
        </w:rPr>
        <w:t>den</w:t>
      </w:r>
      <w:proofErr w:type="spellEnd"/>
      <w:r w:rsidRPr="007C32EA">
        <w:rPr>
          <w:rStyle w:val="Hyperlink"/>
          <w:i/>
          <w:sz w:val="24"/>
          <w:lang w:val="lv-LV"/>
        </w:rPr>
        <w:t xml:space="preserve"> </w:t>
      </w:r>
      <w:proofErr w:type="spellStart"/>
      <w:r w:rsidRPr="007C32EA">
        <w:rPr>
          <w:rStyle w:val="Hyperlink"/>
          <w:i/>
          <w:sz w:val="24"/>
          <w:lang w:val="lv-LV"/>
        </w:rPr>
        <w:t>Europäischen</w:t>
      </w:r>
      <w:proofErr w:type="spellEnd"/>
      <w:r w:rsidRPr="007C32EA">
        <w:rPr>
          <w:rStyle w:val="Hyperlink"/>
          <w:i/>
          <w:sz w:val="24"/>
          <w:lang w:val="lv-LV"/>
        </w:rPr>
        <w:t xml:space="preserve"> </w:t>
      </w:r>
      <w:proofErr w:type="spellStart"/>
      <w:r w:rsidRPr="007C32EA">
        <w:rPr>
          <w:rStyle w:val="Hyperlink"/>
          <w:i/>
          <w:sz w:val="24"/>
          <w:lang w:val="lv-LV"/>
        </w:rPr>
        <w:t>Sozialfonds</w:t>
      </w:r>
      <w:proofErr w:type="spellEnd"/>
      <w:r w:rsidRPr="007C32EA">
        <w:rPr>
          <w:rStyle w:val="Hyperlink"/>
          <w:i/>
          <w:sz w:val="24"/>
          <w:lang w:val="lv-LV"/>
        </w:rPr>
        <w:t xml:space="preserve"> (ESF) </w:t>
      </w:r>
      <w:proofErr w:type="spellStart"/>
      <w:r w:rsidRPr="007C32EA">
        <w:rPr>
          <w:rStyle w:val="Hyperlink"/>
          <w:i/>
          <w:sz w:val="24"/>
          <w:lang w:val="lv-LV"/>
        </w:rPr>
        <w:t>im</w:t>
      </w:r>
      <w:proofErr w:type="spellEnd"/>
      <w:r w:rsidRPr="007C32EA">
        <w:rPr>
          <w:rStyle w:val="Hyperlink"/>
          <w:i/>
          <w:sz w:val="24"/>
          <w:lang w:val="lv-LV"/>
        </w:rPr>
        <w:t xml:space="preserve"> </w:t>
      </w:r>
      <w:proofErr w:type="spellStart"/>
      <w:r w:rsidRPr="007C32EA">
        <w:rPr>
          <w:rStyle w:val="Hyperlink"/>
          <w:i/>
          <w:sz w:val="24"/>
          <w:lang w:val="lv-LV"/>
        </w:rPr>
        <w:t>Freistaat</w:t>
      </w:r>
      <w:proofErr w:type="spellEnd"/>
      <w:r w:rsidRPr="007C32EA">
        <w:rPr>
          <w:rStyle w:val="Hyperlink"/>
          <w:i/>
          <w:sz w:val="24"/>
          <w:lang w:val="lv-LV"/>
        </w:rPr>
        <w:t xml:space="preserve"> </w:t>
      </w:r>
      <w:proofErr w:type="spellStart"/>
      <w:r w:rsidRPr="007C32EA">
        <w:rPr>
          <w:rStyle w:val="Hyperlink"/>
          <w:i/>
          <w:sz w:val="24"/>
          <w:lang w:val="lv-LV"/>
        </w:rPr>
        <w:t>Thüringen</w:t>
      </w:r>
      <w:proofErr w:type="spellEnd"/>
      <w:r w:rsidRPr="007C32EA">
        <w:rPr>
          <w:rStyle w:val="Hyperlink"/>
          <w:i/>
          <w:sz w:val="24"/>
          <w:lang w:val="lv-LV"/>
        </w:rPr>
        <w:t xml:space="preserve"> </w:t>
      </w:r>
      <w:proofErr w:type="spellStart"/>
      <w:r w:rsidRPr="007C32EA">
        <w:rPr>
          <w:rStyle w:val="Hyperlink"/>
          <w:i/>
          <w:sz w:val="24"/>
          <w:lang w:val="lv-LV"/>
        </w:rPr>
        <w:t>in</w:t>
      </w:r>
      <w:proofErr w:type="spellEnd"/>
      <w:r w:rsidRPr="007C32EA">
        <w:rPr>
          <w:rStyle w:val="Hyperlink"/>
          <w:i/>
          <w:sz w:val="24"/>
          <w:lang w:val="lv-LV"/>
        </w:rPr>
        <w:t xml:space="preserve"> der </w:t>
      </w:r>
      <w:proofErr w:type="spellStart"/>
      <w:r w:rsidRPr="007C32EA">
        <w:rPr>
          <w:rStyle w:val="Hyperlink"/>
          <w:i/>
          <w:sz w:val="24"/>
          <w:lang w:val="lv-LV"/>
        </w:rPr>
        <w:t>Förderperiode</w:t>
      </w:r>
      <w:proofErr w:type="spellEnd"/>
      <w:r w:rsidRPr="007C32EA">
        <w:rPr>
          <w:rStyle w:val="Hyperlink"/>
          <w:i/>
          <w:sz w:val="24"/>
          <w:lang w:val="lv-LV"/>
        </w:rPr>
        <w:t xml:space="preserve"> 2014 </w:t>
      </w:r>
      <w:proofErr w:type="spellStart"/>
      <w:r w:rsidRPr="007C32EA">
        <w:rPr>
          <w:rStyle w:val="Hyperlink"/>
          <w:i/>
          <w:sz w:val="24"/>
          <w:lang w:val="lv-LV"/>
        </w:rPr>
        <w:t>bis</w:t>
      </w:r>
      <w:proofErr w:type="spellEnd"/>
      <w:r w:rsidRPr="007C32EA">
        <w:rPr>
          <w:rStyle w:val="Hyperlink"/>
          <w:i/>
          <w:sz w:val="24"/>
          <w:lang w:val="lv-LV"/>
        </w:rPr>
        <w:t xml:space="preserve"> 2020 -</w:t>
      </w:r>
      <w:proofErr w:type="spellStart"/>
      <w:r w:rsidRPr="007C32EA">
        <w:rPr>
          <w:rStyle w:val="Hyperlink"/>
          <w:i/>
          <w:sz w:val="24"/>
          <w:lang w:val="lv-LV"/>
        </w:rPr>
        <w:t>Abschlussbericht</w:t>
      </w:r>
      <w:proofErr w:type="spellEnd"/>
      <w:r w:rsidR="00284937">
        <w:rPr>
          <w:rStyle w:val="Hyperlink"/>
          <w:i/>
          <w:sz w:val="24"/>
          <w:lang w:val="lv-LV"/>
        </w:rPr>
        <w:fldChar w:fldCharType="end"/>
      </w:r>
      <w:r w:rsidRPr="007C32EA">
        <w:rPr>
          <w:sz w:val="24"/>
          <w:lang w:val="lv-LV"/>
        </w:rPr>
        <w:t xml:space="preserve">" (Eiropas Sociālā fonda (ESF) finansējuma starpnozaru programmas novērtējums </w:t>
      </w:r>
      <w:proofErr w:type="spellStart"/>
      <w:r w:rsidRPr="007C32EA">
        <w:rPr>
          <w:sz w:val="24"/>
          <w:lang w:val="lv-LV"/>
        </w:rPr>
        <w:t>Tīringenes</w:t>
      </w:r>
      <w:proofErr w:type="spellEnd"/>
      <w:r w:rsidRPr="007C32EA">
        <w:rPr>
          <w:sz w:val="24"/>
          <w:lang w:val="lv-LV"/>
        </w:rPr>
        <w:t xml:space="preserve"> brīvvalstī 2014.–2020. gada finansēšanas periodā – galīgais ziņojums), 2020. gads.</w:t>
      </w:r>
    </w:p>
  </w:footnote>
  <w:footnote w:id="5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proofErr w:type="spellStart"/>
      <w:r w:rsidRPr="007C32EA">
        <w:rPr>
          <w:i/>
          <w:sz w:val="24"/>
          <w:lang w:val="lv-LV"/>
        </w:rPr>
        <w:t>Touchpoints</w:t>
      </w:r>
      <w:proofErr w:type="spellEnd"/>
      <w:r w:rsidRPr="007C32EA">
        <w:rPr>
          <w:i/>
          <w:sz w:val="24"/>
          <w:lang w:val="lv-LV"/>
        </w:rPr>
        <w:t xml:space="preserve"> ASBL</w:t>
      </w:r>
      <w:r w:rsidRPr="007C32EA">
        <w:rPr>
          <w:sz w:val="24"/>
          <w:lang w:val="lv-LV"/>
        </w:rPr>
        <w:t>, "</w:t>
      </w:r>
      <w:hyperlink r:id="rId10" w:history="1">
        <w:r w:rsidRPr="007C32EA">
          <w:rPr>
            <w:rStyle w:val="Hyperlink"/>
            <w:sz w:val="24"/>
            <w:lang w:val="lv-LV"/>
          </w:rPr>
          <w:t xml:space="preserve">2020 </w:t>
        </w:r>
        <w:proofErr w:type="spellStart"/>
        <w:r w:rsidRPr="007C32EA">
          <w:rPr>
            <w:rStyle w:val="Hyperlink"/>
            <w:sz w:val="24"/>
            <w:lang w:val="lv-LV"/>
          </w:rPr>
          <w:t>Annual</w:t>
        </w:r>
        <w:proofErr w:type="spellEnd"/>
        <w:r w:rsidRPr="007C32EA">
          <w:rPr>
            <w:rStyle w:val="Hyperlink"/>
            <w:sz w:val="24"/>
            <w:lang w:val="lv-LV"/>
          </w:rPr>
          <w:t xml:space="preserve"> </w:t>
        </w:r>
        <w:proofErr w:type="spellStart"/>
        <w:r w:rsidRPr="007C32EA">
          <w:rPr>
            <w:rStyle w:val="Hyperlink"/>
            <w:sz w:val="24"/>
            <w:lang w:val="lv-LV"/>
          </w:rPr>
          <w:t>Report</w:t>
        </w:r>
        <w:proofErr w:type="spellEnd"/>
      </w:hyperlink>
      <w:r w:rsidRPr="007C32EA">
        <w:rPr>
          <w:sz w:val="24"/>
          <w:lang w:val="lv-LV"/>
        </w:rPr>
        <w:t>" (2020. gada ziņojums), 2021. gada 1. jūnijs.</w:t>
      </w:r>
    </w:p>
  </w:footnote>
  <w:footnote w:id="5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Eiropas Komisija, "</w:t>
      </w:r>
      <w:hyperlink r:id="rId11" w:history="1">
        <w:r w:rsidRPr="007C32EA">
          <w:rPr>
            <w:rStyle w:val="Hyperlink"/>
            <w:sz w:val="24"/>
            <w:lang w:val="lv-LV"/>
          </w:rPr>
          <w:t>Kohēzijas atvērto datu platforma – Tēma:</w:t>
        </w:r>
      </w:hyperlink>
      <w:hyperlink r:id="rId12" w:history="1">
        <w:r w:rsidRPr="007C32EA">
          <w:rPr>
            <w:rStyle w:val="Hyperlink"/>
            <w:sz w:val="24"/>
            <w:lang w:val="lv-LV"/>
          </w:rPr>
          <w:t xml:space="preserve"> Sociālā iekļaušana – finansēšanas periods:</w:t>
        </w:r>
      </w:hyperlink>
      <w:hyperlink r:id="rId13" w:history="1">
        <w:r w:rsidRPr="007C32EA">
          <w:rPr>
            <w:rStyle w:val="Hyperlink"/>
            <w:sz w:val="24"/>
            <w:lang w:val="lv-LV"/>
          </w:rPr>
          <w:t xml:space="preserve"> 2014–2020</w:t>
        </w:r>
      </w:hyperlink>
      <w:r w:rsidRPr="007C32EA">
        <w:rPr>
          <w:sz w:val="24"/>
          <w:lang w:val="lv-LV"/>
        </w:rPr>
        <w:t xml:space="preserve">", skatīts 2024. gada 20. februārī. </w:t>
      </w:r>
    </w:p>
  </w:footnote>
  <w:footnote w:id="5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17. lpp.</w:t>
      </w:r>
    </w:p>
  </w:footnote>
  <w:footnote w:id="5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Eiropas Komisija, "</w:t>
      </w:r>
      <w:hyperlink r:id="rId14" w:anchor="achievements" w:history="1">
        <w:r w:rsidRPr="007C32EA">
          <w:rPr>
            <w:rStyle w:val="Hyperlink"/>
            <w:sz w:val="24"/>
            <w:lang w:val="lv-LV"/>
          </w:rPr>
          <w:t>Kohēzijas atvērto datu platforma – fonds:</w:t>
        </w:r>
      </w:hyperlink>
      <w:hyperlink r:id="rId15" w:anchor="achievements" w:history="1">
        <w:r w:rsidRPr="007C32EA">
          <w:rPr>
            <w:rStyle w:val="Hyperlink"/>
            <w:sz w:val="24"/>
            <w:lang w:val="lv-LV"/>
          </w:rPr>
          <w:t xml:space="preserve"> ERAF – Finansēšanas periods:</w:t>
        </w:r>
      </w:hyperlink>
      <w:hyperlink r:id="rId16" w:anchor="achievements" w:history="1">
        <w:r w:rsidRPr="007C32EA">
          <w:rPr>
            <w:rStyle w:val="Hyperlink"/>
            <w:sz w:val="24"/>
            <w:lang w:val="lv-LV"/>
          </w:rPr>
          <w:t xml:space="preserve"> 2014–2020</w:t>
        </w:r>
      </w:hyperlink>
      <w:r w:rsidRPr="007C32EA">
        <w:rPr>
          <w:sz w:val="24"/>
          <w:lang w:val="lv-LV"/>
        </w:rPr>
        <w:t>", skatīts 2024. gada 20. februārī.</w:t>
      </w:r>
    </w:p>
  </w:footnote>
  <w:footnote w:id="5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SWD(2024)0002, 15. lpp. </w:t>
      </w:r>
    </w:p>
  </w:footnote>
  <w:footnote w:id="5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SWD(2024)0002, 15. lpp. </w:t>
      </w:r>
    </w:p>
  </w:footnote>
  <w:footnote w:id="57">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proofErr w:type="spellStart"/>
      <w:r w:rsidRPr="007C32EA">
        <w:rPr>
          <w:i/>
          <w:sz w:val="24"/>
          <w:lang w:val="lv-LV"/>
        </w:rPr>
        <w:t>Civitta</w:t>
      </w:r>
      <w:proofErr w:type="spellEnd"/>
      <w:r w:rsidRPr="007C32EA">
        <w:rPr>
          <w:i/>
          <w:sz w:val="24"/>
          <w:lang w:val="lv-LV"/>
        </w:rPr>
        <w:t xml:space="preserve"> </w:t>
      </w:r>
      <w:proofErr w:type="spellStart"/>
      <w:r w:rsidRPr="007C32EA">
        <w:rPr>
          <w:i/>
          <w:sz w:val="24"/>
          <w:lang w:val="lv-LV"/>
        </w:rPr>
        <w:t>International</w:t>
      </w:r>
      <w:proofErr w:type="spellEnd"/>
      <w:r w:rsidRPr="007C32EA">
        <w:rPr>
          <w:sz w:val="24"/>
          <w:lang w:val="lv-LV"/>
        </w:rPr>
        <w:t xml:space="preserve"> un Vīnes Starptautisko ekonomikas pētījumu institūts, "</w:t>
      </w:r>
      <w:proofErr w:type="spellStart"/>
      <w:r w:rsidR="00284937">
        <w:fldChar w:fldCharType="begin"/>
      </w:r>
      <w:r w:rsidR="00284937" w:rsidRPr="00284937">
        <w:rPr>
          <w:lang w:val="lv-LV"/>
        </w:rPr>
        <w:instrText xml:space="preserve"> HYPERLINK "https://ec.europa.eu/regional_policy/policy/evaluations/member-states/ate37_en" </w:instrText>
      </w:r>
      <w:r w:rsidR="00284937">
        <w:fldChar w:fldCharType="separate"/>
      </w:r>
      <w:r w:rsidRPr="007C32EA">
        <w:rPr>
          <w:rStyle w:val="Hyperlink"/>
          <w:i/>
          <w:sz w:val="24"/>
          <w:lang w:val="lv-LV"/>
        </w:rPr>
        <w:t>Impact</w:t>
      </w:r>
      <w:proofErr w:type="spellEnd"/>
      <w:r w:rsidRPr="007C32EA">
        <w:rPr>
          <w:rStyle w:val="Hyperlink"/>
          <w:i/>
          <w:sz w:val="24"/>
          <w:lang w:val="lv-LV"/>
        </w:rPr>
        <w:t xml:space="preserve"> </w:t>
      </w:r>
      <w:proofErr w:type="spellStart"/>
      <w:r w:rsidRPr="007C32EA">
        <w:rPr>
          <w:rStyle w:val="Hyperlink"/>
          <w:i/>
          <w:sz w:val="24"/>
          <w:lang w:val="lv-LV"/>
        </w:rPr>
        <w:t>Evaluation</w:t>
      </w:r>
      <w:proofErr w:type="spellEnd"/>
      <w:r w:rsidRPr="007C32EA">
        <w:rPr>
          <w:rStyle w:val="Hyperlink"/>
          <w:i/>
          <w:sz w:val="24"/>
          <w:lang w:val="lv-LV"/>
        </w:rPr>
        <w:t xml:space="preserve"> </w:t>
      </w:r>
      <w:proofErr w:type="spellStart"/>
      <w:r w:rsidRPr="007C32EA">
        <w:rPr>
          <w:rStyle w:val="Hyperlink"/>
          <w:i/>
          <w:sz w:val="24"/>
          <w:lang w:val="lv-LV"/>
        </w:rPr>
        <w:t>Report</w:t>
      </w:r>
      <w:proofErr w:type="spellEnd"/>
      <w:r w:rsidRPr="007C32EA">
        <w:rPr>
          <w:rStyle w:val="Hyperlink"/>
          <w:i/>
          <w:sz w:val="24"/>
          <w:lang w:val="lv-LV"/>
        </w:rPr>
        <w:t xml:space="preserve"> </w:t>
      </w:r>
      <w:proofErr w:type="spellStart"/>
      <w:r w:rsidRPr="007C32EA">
        <w:rPr>
          <w:rStyle w:val="Hyperlink"/>
          <w:i/>
          <w:sz w:val="24"/>
          <w:lang w:val="lv-LV"/>
        </w:rPr>
        <w:t>for</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w:t>
      </w:r>
      <w:proofErr w:type="spellStart"/>
      <w:r w:rsidRPr="007C32EA">
        <w:rPr>
          <w:rStyle w:val="Hyperlink"/>
          <w:i/>
          <w:sz w:val="24"/>
          <w:lang w:val="lv-LV"/>
        </w:rPr>
        <w:t>Impact</w:t>
      </w:r>
      <w:proofErr w:type="spellEnd"/>
      <w:r w:rsidRPr="007C32EA">
        <w:rPr>
          <w:rStyle w:val="Hyperlink"/>
          <w:i/>
          <w:sz w:val="24"/>
          <w:lang w:val="lv-LV"/>
        </w:rPr>
        <w:t xml:space="preserve"> </w:t>
      </w:r>
      <w:proofErr w:type="spellStart"/>
      <w:r w:rsidRPr="007C32EA">
        <w:rPr>
          <w:rStyle w:val="Hyperlink"/>
          <w:i/>
          <w:sz w:val="24"/>
          <w:lang w:val="lv-LV"/>
        </w:rPr>
        <w:t>Evaluation</w:t>
      </w:r>
      <w:proofErr w:type="spellEnd"/>
      <w:r w:rsidRPr="007C32EA">
        <w:rPr>
          <w:rStyle w:val="Hyperlink"/>
          <w:i/>
          <w:sz w:val="24"/>
          <w:lang w:val="lv-LV"/>
        </w:rPr>
        <w:t xml:space="preserve"> </w:t>
      </w:r>
      <w:proofErr w:type="spellStart"/>
      <w:r w:rsidRPr="007C32EA">
        <w:rPr>
          <w:rStyle w:val="Hyperlink"/>
          <w:i/>
          <w:sz w:val="24"/>
          <w:lang w:val="lv-LV"/>
        </w:rPr>
        <w:t>of</w:t>
      </w:r>
      <w:proofErr w:type="spellEnd"/>
      <w:r w:rsidRPr="007C32EA">
        <w:rPr>
          <w:rStyle w:val="Hyperlink"/>
          <w:i/>
          <w:sz w:val="24"/>
          <w:lang w:val="lv-LV"/>
        </w:rPr>
        <w:t xml:space="preserve"> </w:t>
      </w:r>
      <w:proofErr w:type="spellStart"/>
      <w:r w:rsidRPr="007C32EA">
        <w:rPr>
          <w:rStyle w:val="Hyperlink"/>
          <w:i/>
          <w:sz w:val="24"/>
          <w:lang w:val="lv-LV"/>
        </w:rPr>
        <w:t>the</w:t>
      </w:r>
      <w:proofErr w:type="spellEnd"/>
      <w:r w:rsidRPr="007C32EA">
        <w:rPr>
          <w:rStyle w:val="Hyperlink"/>
          <w:i/>
          <w:sz w:val="24"/>
          <w:lang w:val="lv-LV"/>
        </w:rPr>
        <w:t xml:space="preserve"> </w:t>
      </w:r>
      <w:proofErr w:type="spellStart"/>
      <w:r w:rsidRPr="007C32EA">
        <w:rPr>
          <w:rStyle w:val="Hyperlink"/>
          <w:i/>
          <w:sz w:val="24"/>
          <w:lang w:val="lv-LV"/>
        </w:rPr>
        <w:t>Interreg</w:t>
      </w:r>
      <w:proofErr w:type="spellEnd"/>
      <w:r w:rsidRPr="007C32EA">
        <w:rPr>
          <w:rStyle w:val="Hyperlink"/>
          <w:i/>
          <w:sz w:val="24"/>
          <w:lang w:val="lv-LV"/>
        </w:rPr>
        <w:t xml:space="preserve"> CENTRAL EUROPE </w:t>
      </w:r>
      <w:proofErr w:type="spellStart"/>
      <w:r w:rsidRPr="007C32EA">
        <w:rPr>
          <w:rStyle w:val="Hyperlink"/>
          <w:i/>
          <w:sz w:val="24"/>
          <w:lang w:val="lv-LV"/>
        </w:rPr>
        <w:t>Programme</w:t>
      </w:r>
      <w:proofErr w:type="spellEnd"/>
      <w:r w:rsidRPr="007C32EA">
        <w:rPr>
          <w:rStyle w:val="Hyperlink"/>
          <w:i/>
          <w:sz w:val="24"/>
          <w:lang w:val="lv-LV"/>
        </w:rPr>
        <w:t xml:space="preserve"> – </w:t>
      </w:r>
      <w:proofErr w:type="spellStart"/>
      <w:r w:rsidRPr="007C32EA">
        <w:rPr>
          <w:rStyle w:val="Hyperlink"/>
          <w:i/>
          <w:sz w:val="24"/>
          <w:lang w:val="lv-LV"/>
        </w:rPr>
        <w:t>Phase</w:t>
      </w:r>
      <w:proofErr w:type="spellEnd"/>
      <w:r w:rsidRPr="007C32EA">
        <w:rPr>
          <w:rStyle w:val="Hyperlink"/>
          <w:i/>
          <w:sz w:val="24"/>
          <w:lang w:val="lv-LV"/>
        </w:rPr>
        <w:t xml:space="preserve"> 1</w:t>
      </w:r>
      <w:r w:rsidR="00284937">
        <w:rPr>
          <w:rStyle w:val="Hyperlink"/>
          <w:i/>
          <w:sz w:val="24"/>
          <w:lang w:val="lv-LV"/>
        </w:rPr>
        <w:fldChar w:fldCharType="end"/>
      </w:r>
      <w:r w:rsidRPr="007C32EA">
        <w:rPr>
          <w:sz w:val="24"/>
          <w:lang w:val="lv-LV"/>
        </w:rPr>
        <w:t xml:space="preserve">" (Ietekmes novērtējuma ziņojums par </w:t>
      </w:r>
      <w:proofErr w:type="spellStart"/>
      <w:r w:rsidRPr="007C32EA">
        <w:rPr>
          <w:i/>
          <w:sz w:val="24"/>
          <w:lang w:val="lv-LV"/>
        </w:rPr>
        <w:t>Interreg</w:t>
      </w:r>
      <w:proofErr w:type="spellEnd"/>
      <w:r w:rsidRPr="007C32EA">
        <w:rPr>
          <w:sz w:val="24"/>
          <w:lang w:val="lv-LV"/>
        </w:rPr>
        <w:t xml:space="preserve"> </w:t>
      </w:r>
      <w:proofErr w:type="spellStart"/>
      <w:r w:rsidRPr="007C32EA">
        <w:rPr>
          <w:sz w:val="24"/>
          <w:lang w:val="lv-LV"/>
        </w:rPr>
        <w:t>Viduseiropas</w:t>
      </w:r>
      <w:proofErr w:type="spellEnd"/>
      <w:r w:rsidRPr="007C32EA">
        <w:rPr>
          <w:sz w:val="24"/>
          <w:lang w:val="lv-LV"/>
        </w:rPr>
        <w:t xml:space="preserve"> programmas ietekmes novērtējumu. 1. posms), 2022. gada februāris. </w:t>
      </w:r>
    </w:p>
  </w:footnote>
  <w:footnote w:id="58">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SWD(2023)0022, 20. lpp. </w:t>
      </w:r>
    </w:p>
  </w:footnote>
  <w:footnote w:id="59">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SWD(2024)0002, 15. lpp. </w:t>
      </w:r>
    </w:p>
  </w:footnote>
  <w:footnote w:id="60">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SWD(2023)0022, 20. lpp.</w:t>
      </w:r>
    </w:p>
  </w:footnote>
  <w:footnote w:id="61">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Eiropas Komisija, "</w:t>
      </w:r>
      <w:proofErr w:type="spellStart"/>
      <w:r w:rsidR="00284937">
        <w:fldChar w:fldCharType="begin"/>
      </w:r>
      <w:r w:rsidR="00284937" w:rsidRPr="00284937">
        <w:rPr>
          <w:lang w:val="lv-LV"/>
        </w:rPr>
        <w:instrText xml:space="preserve"> HYPERLINK "https://cohesiondata.ec.europa.eu/stories/s/CORONAVIRUS-DASHBOARD-COHESION-POLICY-RESPONSE/4e2z-pw8r/" </w:instrText>
      </w:r>
      <w:r w:rsidR="00284937">
        <w:fldChar w:fldCharType="separate"/>
      </w:r>
      <w:r w:rsidRPr="007C32EA">
        <w:rPr>
          <w:rStyle w:val="Hyperlink"/>
          <w:sz w:val="24"/>
          <w:lang w:val="lv-LV"/>
        </w:rPr>
        <w:t>Koronavīrusa</w:t>
      </w:r>
      <w:proofErr w:type="spellEnd"/>
      <w:r w:rsidRPr="007C32EA">
        <w:rPr>
          <w:rStyle w:val="Hyperlink"/>
          <w:sz w:val="24"/>
          <w:lang w:val="lv-LV"/>
        </w:rPr>
        <w:t xml:space="preserve"> informācijas panelis:</w:t>
      </w:r>
      <w:r w:rsidR="00284937">
        <w:rPr>
          <w:rStyle w:val="Hyperlink"/>
          <w:sz w:val="24"/>
          <w:lang w:val="lv-LV"/>
        </w:rPr>
        <w:fldChar w:fldCharType="end"/>
      </w:r>
      <w:hyperlink r:id="rId17" w:history="1">
        <w:r w:rsidRPr="007C32EA">
          <w:rPr>
            <w:rStyle w:val="Hyperlink"/>
            <w:sz w:val="24"/>
            <w:lang w:val="lv-LV"/>
          </w:rPr>
          <w:t xml:space="preserve"> ES kohēzijas politikas reakcija uz krīzi</w:t>
        </w:r>
      </w:hyperlink>
      <w:r w:rsidRPr="007C32EA">
        <w:rPr>
          <w:sz w:val="24"/>
          <w:lang w:val="lv-LV"/>
        </w:rPr>
        <w:t>", 2023. gada 18. oktobris.</w:t>
      </w:r>
    </w:p>
  </w:footnote>
  <w:footnote w:id="62">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Turpat. </w:t>
      </w:r>
    </w:p>
  </w:footnote>
  <w:footnote w:id="63">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SWD(2024)0002, 16. lpp. </w:t>
      </w:r>
    </w:p>
  </w:footnote>
  <w:footnote w:id="64">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 xml:space="preserve">SWD(2023)0022, 18. lpp. </w:t>
      </w:r>
    </w:p>
  </w:footnote>
  <w:footnote w:id="65">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vertAlign w:val="superscript"/>
          <w:lang w:val="lv-LV"/>
        </w:rPr>
        <w:t xml:space="preserve"> </w:t>
      </w:r>
      <w:r w:rsidR="007C32EA" w:rsidRPr="007C32EA">
        <w:rPr>
          <w:sz w:val="24"/>
          <w:vertAlign w:val="superscript"/>
          <w:lang w:val="lv-LV"/>
        </w:rPr>
        <w:tab/>
      </w:r>
      <w:r w:rsidRPr="007C32EA">
        <w:rPr>
          <w:sz w:val="24"/>
          <w:lang w:val="lv-LV"/>
        </w:rPr>
        <w:t>Komisijas dienestu 2023. gada 14. jūlija darba dokuments "</w:t>
      </w:r>
      <w:proofErr w:type="spellStart"/>
      <w:r w:rsidRPr="007C32EA">
        <w:rPr>
          <w:i/>
          <w:sz w:val="24"/>
          <w:lang w:val="lv-LV"/>
        </w:rPr>
        <w:t>Preliminary</w:t>
      </w:r>
      <w:proofErr w:type="spellEnd"/>
      <w:r w:rsidRPr="007C32EA">
        <w:rPr>
          <w:i/>
          <w:sz w:val="24"/>
          <w:lang w:val="lv-LV"/>
        </w:rPr>
        <w:t xml:space="preserve"> </w:t>
      </w:r>
      <w:proofErr w:type="spellStart"/>
      <w:r w:rsidRPr="007C32EA">
        <w:rPr>
          <w:i/>
          <w:sz w:val="24"/>
          <w:lang w:val="lv-LV"/>
        </w:rPr>
        <w:t>evaluation</w:t>
      </w:r>
      <w:proofErr w:type="spellEnd"/>
      <w:r w:rsidRPr="007C32EA">
        <w:rPr>
          <w:i/>
          <w:sz w:val="24"/>
          <w:lang w:val="lv-LV"/>
        </w:rPr>
        <w:t xml:space="preserve"> </w:t>
      </w:r>
      <w:proofErr w:type="spellStart"/>
      <w:r w:rsidRPr="007C32EA">
        <w:rPr>
          <w:i/>
          <w:sz w:val="24"/>
          <w:lang w:val="lv-LV"/>
        </w:rPr>
        <w:t>of</w:t>
      </w:r>
      <w:proofErr w:type="spellEnd"/>
      <w:r w:rsidRPr="007C32EA">
        <w:rPr>
          <w:i/>
          <w:sz w:val="24"/>
          <w:lang w:val="lv-LV"/>
        </w:rPr>
        <w:t xml:space="preserve"> </w:t>
      </w:r>
      <w:proofErr w:type="spellStart"/>
      <w:r w:rsidRPr="007C32EA">
        <w:rPr>
          <w:i/>
          <w:sz w:val="24"/>
          <w:lang w:val="lv-LV"/>
        </w:rPr>
        <w:t>the</w:t>
      </w:r>
      <w:proofErr w:type="spellEnd"/>
      <w:r w:rsidRPr="007C32EA">
        <w:rPr>
          <w:i/>
          <w:sz w:val="24"/>
          <w:lang w:val="lv-LV"/>
        </w:rPr>
        <w:t xml:space="preserve"> </w:t>
      </w:r>
      <w:proofErr w:type="spellStart"/>
      <w:r w:rsidRPr="007C32EA">
        <w:rPr>
          <w:i/>
          <w:sz w:val="24"/>
          <w:lang w:val="lv-LV"/>
        </w:rPr>
        <w:t>support</w:t>
      </w:r>
      <w:proofErr w:type="spellEnd"/>
      <w:r w:rsidRPr="007C32EA">
        <w:rPr>
          <w:i/>
          <w:sz w:val="24"/>
          <w:lang w:val="lv-LV"/>
        </w:rPr>
        <w:t xml:space="preserve"> </w:t>
      </w:r>
      <w:proofErr w:type="spellStart"/>
      <w:r w:rsidRPr="007C32EA">
        <w:rPr>
          <w:i/>
          <w:sz w:val="24"/>
          <w:lang w:val="lv-LV"/>
        </w:rPr>
        <w:t>provided</w:t>
      </w:r>
      <w:proofErr w:type="spellEnd"/>
      <w:r w:rsidRPr="007C32EA">
        <w:rPr>
          <w:i/>
          <w:sz w:val="24"/>
          <w:lang w:val="lv-LV"/>
        </w:rPr>
        <w:t xml:space="preserve"> </w:t>
      </w:r>
      <w:proofErr w:type="spellStart"/>
      <w:r w:rsidRPr="007C32EA">
        <w:rPr>
          <w:i/>
          <w:sz w:val="24"/>
          <w:lang w:val="lv-LV"/>
        </w:rPr>
        <w:t>by</w:t>
      </w:r>
      <w:proofErr w:type="spellEnd"/>
      <w:r w:rsidRPr="007C32EA">
        <w:rPr>
          <w:i/>
          <w:sz w:val="24"/>
          <w:lang w:val="lv-LV"/>
        </w:rPr>
        <w:t xml:space="preserve"> ESF </w:t>
      </w:r>
      <w:proofErr w:type="spellStart"/>
      <w:r w:rsidRPr="007C32EA">
        <w:rPr>
          <w:i/>
          <w:sz w:val="24"/>
          <w:lang w:val="lv-LV"/>
        </w:rPr>
        <w:t>and</w:t>
      </w:r>
      <w:proofErr w:type="spellEnd"/>
      <w:r w:rsidRPr="007C32EA">
        <w:rPr>
          <w:i/>
          <w:sz w:val="24"/>
          <w:lang w:val="lv-LV"/>
        </w:rPr>
        <w:t xml:space="preserve"> FEAD </w:t>
      </w:r>
      <w:proofErr w:type="spellStart"/>
      <w:r w:rsidRPr="007C32EA">
        <w:rPr>
          <w:i/>
          <w:sz w:val="24"/>
          <w:lang w:val="lv-LV"/>
        </w:rPr>
        <w:t>under</w:t>
      </w:r>
      <w:proofErr w:type="spellEnd"/>
      <w:r w:rsidRPr="007C32EA">
        <w:rPr>
          <w:i/>
          <w:sz w:val="24"/>
          <w:lang w:val="lv-LV"/>
        </w:rPr>
        <w:t xml:space="preserve"> </w:t>
      </w:r>
      <w:proofErr w:type="spellStart"/>
      <w:r w:rsidRPr="007C32EA">
        <w:rPr>
          <w:i/>
          <w:sz w:val="24"/>
          <w:lang w:val="lv-LV"/>
        </w:rPr>
        <w:t>the</w:t>
      </w:r>
      <w:proofErr w:type="spellEnd"/>
      <w:r w:rsidRPr="007C32EA">
        <w:rPr>
          <w:i/>
          <w:sz w:val="24"/>
          <w:lang w:val="lv-LV"/>
        </w:rPr>
        <w:t xml:space="preserve"> </w:t>
      </w:r>
      <w:proofErr w:type="spellStart"/>
      <w:r w:rsidRPr="007C32EA">
        <w:rPr>
          <w:i/>
          <w:sz w:val="24"/>
          <w:lang w:val="lv-LV"/>
        </w:rPr>
        <w:t>Coronavirus</w:t>
      </w:r>
      <w:proofErr w:type="spellEnd"/>
      <w:r w:rsidRPr="007C32EA">
        <w:rPr>
          <w:i/>
          <w:sz w:val="24"/>
          <w:lang w:val="lv-LV"/>
        </w:rPr>
        <w:t xml:space="preserve"> </w:t>
      </w:r>
      <w:proofErr w:type="spellStart"/>
      <w:r w:rsidRPr="007C32EA">
        <w:rPr>
          <w:i/>
          <w:sz w:val="24"/>
          <w:lang w:val="lv-LV"/>
        </w:rPr>
        <w:t>Response</w:t>
      </w:r>
      <w:proofErr w:type="spellEnd"/>
      <w:r w:rsidRPr="007C32EA">
        <w:rPr>
          <w:i/>
          <w:sz w:val="24"/>
          <w:lang w:val="lv-LV"/>
        </w:rPr>
        <w:t xml:space="preserve"> </w:t>
      </w:r>
      <w:proofErr w:type="spellStart"/>
      <w:r w:rsidRPr="007C32EA">
        <w:rPr>
          <w:i/>
          <w:sz w:val="24"/>
          <w:lang w:val="lv-LV"/>
        </w:rPr>
        <w:t>Investment</w:t>
      </w:r>
      <w:proofErr w:type="spellEnd"/>
      <w:r w:rsidRPr="007C32EA">
        <w:rPr>
          <w:i/>
          <w:sz w:val="24"/>
          <w:lang w:val="lv-LV"/>
        </w:rPr>
        <w:t xml:space="preserve"> </w:t>
      </w:r>
      <w:proofErr w:type="spellStart"/>
      <w:r w:rsidRPr="007C32EA">
        <w:rPr>
          <w:i/>
          <w:sz w:val="24"/>
          <w:lang w:val="lv-LV"/>
        </w:rPr>
        <w:t>Initiatives</w:t>
      </w:r>
      <w:proofErr w:type="spellEnd"/>
      <w:r w:rsidRPr="007C32EA">
        <w:rPr>
          <w:i/>
          <w:sz w:val="24"/>
          <w:lang w:val="lv-LV"/>
        </w:rPr>
        <w:t xml:space="preserve"> (CRII </w:t>
      </w:r>
      <w:proofErr w:type="spellStart"/>
      <w:r w:rsidRPr="007C32EA">
        <w:rPr>
          <w:i/>
          <w:sz w:val="24"/>
          <w:lang w:val="lv-LV"/>
        </w:rPr>
        <w:t>and</w:t>
      </w:r>
      <w:proofErr w:type="spellEnd"/>
      <w:r w:rsidRPr="007C32EA">
        <w:rPr>
          <w:i/>
          <w:sz w:val="24"/>
          <w:lang w:val="lv-LV"/>
        </w:rPr>
        <w:t xml:space="preserve"> CRII+)</w:t>
      </w:r>
      <w:r w:rsidRPr="007C32EA">
        <w:rPr>
          <w:sz w:val="24"/>
          <w:lang w:val="lv-LV"/>
        </w:rPr>
        <w:t xml:space="preserve">" (Sākotnējais novērtējums par atbalstu, ko ESF un EAFVP sniedza Investīciju iniciatīvu reaģēšanai uz </w:t>
      </w:r>
      <w:proofErr w:type="spellStart"/>
      <w:r w:rsidRPr="007C32EA">
        <w:rPr>
          <w:sz w:val="24"/>
          <w:lang w:val="lv-LV"/>
        </w:rPr>
        <w:t>koronavīrusu</w:t>
      </w:r>
      <w:proofErr w:type="spellEnd"/>
      <w:r w:rsidRPr="007C32EA">
        <w:rPr>
          <w:sz w:val="24"/>
          <w:lang w:val="lv-LV"/>
        </w:rPr>
        <w:t xml:space="preserve"> (</w:t>
      </w:r>
      <w:r w:rsidRPr="007C32EA">
        <w:rPr>
          <w:i/>
          <w:sz w:val="24"/>
          <w:lang w:val="lv-LV"/>
        </w:rPr>
        <w:t>CRII un CRII+</w:t>
      </w:r>
      <w:r w:rsidRPr="007C32EA">
        <w:rPr>
          <w:sz w:val="24"/>
          <w:lang w:val="lv-LV"/>
        </w:rPr>
        <w:t>) ietvaros) (SWD(2023)0249).</w:t>
      </w:r>
    </w:p>
  </w:footnote>
  <w:footnote w:id="66">
    <w:p w:rsidR="003D0B32" w:rsidRPr="007C32EA" w:rsidRDefault="003D0B32" w:rsidP="007C32EA">
      <w:pPr>
        <w:pStyle w:val="FootnoteText"/>
        <w:ind w:left="567" w:hanging="567"/>
        <w:rPr>
          <w:sz w:val="24"/>
          <w:lang w:val="lv-LV"/>
        </w:rPr>
      </w:pPr>
      <w:r w:rsidRPr="007C32EA">
        <w:rPr>
          <w:rStyle w:val="FootnoteReference"/>
          <w:sz w:val="24"/>
          <w:lang w:val="lv-LV"/>
        </w:rPr>
        <w:footnoteRef/>
      </w:r>
      <w:r w:rsidR="007C32EA" w:rsidRPr="007C32EA">
        <w:rPr>
          <w:sz w:val="24"/>
          <w:lang w:val="lv-LV"/>
        </w:rPr>
        <w:t xml:space="preserve"> </w:t>
      </w:r>
      <w:r w:rsidR="007C32EA" w:rsidRPr="007C32EA">
        <w:rPr>
          <w:sz w:val="24"/>
          <w:lang w:val="lv-LV"/>
        </w:rPr>
        <w:tab/>
      </w:r>
      <w:r w:rsidRPr="007C32EA">
        <w:rPr>
          <w:sz w:val="24"/>
          <w:lang w:val="lv-LV"/>
        </w:rPr>
        <w:t>Komisijas 2015. gada 8. jūlija Deleģētā regula (ES) 2015/1970, ar ko papildina Eiropas Parlamenta un Padomes Regulu (ES) Nr. 1303/2013 ar īpašiem noteikumiem par ziņošanu par pārkāpumiem attiecībā uz Eiropas Reģionālās attīstības fondu, Eiropas Sociālo fondu, Kohēzijas fondu un Eiropas Jūrlietu un zivsaimniecības fondu (OV L 293, 10.11.2015.,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2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LV"/>
    <w:docVar w:name="dvnumam" w:val="0"/>
    <w:docVar w:name="dvpe" w:val="756.089"/>
    <w:docVar w:name="dvrapporteur" w:val="Referents: "/>
    <w:docVar w:name="dvtitre" w:val="Eiropas Parlamenta 2024. gada XX. XXX  rezolūcija par kohēzijas politiku 2014.–2020. gadam — īstenošana un rezultāti dalībvalstīs(2023/2121(INI))"/>
  </w:docVars>
  <w:rsids>
    <w:rsidRoot w:val="000755F0"/>
    <w:rsid w:val="00002272"/>
    <w:rsid w:val="00064002"/>
    <w:rsid w:val="000677B9"/>
    <w:rsid w:val="000755F0"/>
    <w:rsid w:val="000831BA"/>
    <w:rsid w:val="000A42CC"/>
    <w:rsid w:val="000E7DD9"/>
    <w:rsid w:val="0010095E"/>
    <w:rsid w:val="00125B37"/>
    <w:rsid w:val="00187494"/>
    <w:rsid w:val="001F32AE"/>
    <w:rsid w:val="002767FF"/>
    <w:rsid w:val="00284937"/>
    <w:rsid w:val="002B18FE"/>
    <w:rsid w:val="002B5493"/>
    <w:rsid w:val="00343214"/>
    <w:rsid w:val="00361C00"/>
    <w:rsid w:val="00395FA1"/>
    <w:rsid w:val="003D0B3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32EA"/>
    <w:rsid w:val="007D1690"/>
    <w:rsid w:val="007E22AD"/>
    <w:rsid w:val="00817416"/>
    <w:rsid w:val="00842779"/>
    <w:rsid w:val="00865F67"/>
    <w:rsid w:val="0087781F"/>
    <w:rsid w:val="00881A7B"/>
    <w:rsid w:val="008840E5"/>
    <w:rsid w:val="00887B3E"/>
    <w:rsid w:val="008A3973"/>
    <w:rsid w:val="008C2AC6"/>
    <w:rsid w:val="00930C23"/>
    <w:rsid w:val="0093193B"/>
    <w:rsid w:val="009509D8"/>
    <w:rsid w:val="00950B64"/>
    <w:rsid w:val="00981893"/>
    <w:rsid w:val="00987A5E"/>
    <w:rsid w:val="00A1687D"/>
    <w:rsid w:val="00A43E52"/>
    <w:rsid w:val="00A4678D"/>
    <w:rsid w:val="00A5737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DFDA3"/>
  <w15:chartTrackingRefBased/>
  <w15:docId w15:val="{0860E83B-4586-4131-A9EC-092C52E51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D0B32"/>
    <w:rPr>
      <w:b/>
    </w:rPr>
  </w:style>
  <w:style w:type="paragraph" w:customStyle="1" w:styleId="NormalHanging12a">
    <w:name w:val="NormalHanging12a"/>
    <w:basedOn w:val="Normal"/>
    <w:link w:val="NormalHanging12aChar"/>
    <w:rsid w:val="003D0B32"/>
    <w:pPr>
      <w:spacing w:after="240"/>
      <w:ind w:left="567" w:hanging="567"/>
    </w:pPr>
  </w:style>
  <w:style w:type="paragraph" w:customStyle="1" w:styleId="EPComma">
    <w:name w:val="EPComma"/>
    <w:basedOn w:val="Normal"/>
    <w:rsid w:val="003D0B32"/>
    <w:pPr>
      <w:spacing w:before="480" w:after="240"/>
    </w:pPr>
  </w:style>
  <w:style w:type="character" w:styleId="Hyperlink">
    <w:name w:val="Hyperlink"/>
    <w:basedOn w:val="DefaultParagraphFont"/>
    <w:unhideWhenUsed/>
    <w:rsid w:val="003D0B32"/>
    <w:rPr>
      <w:color w:val="0563C1" w:themeColor="hyperlink"/>
      <w:u w:val="single"/>
    </w:rPr>
  </w:style>
  <w:style w:type="character" w:customStyle="1" w:styleId="NormalHanging12aChar">
    <w:name w:val="NormalHanging12a Char"/>
    <w:basedOn w:val="DefaultParagraphFont"/>
    <w:link w:val="NormalHanging12a"/>
    <w:locked/>
    <w:rsid w:val="003D0B32"/>
    <w:rPr>
      <w:sz w:val="24"/>
      <w:lang w:val="lv-LV"/>
    </w:rPr>
  </w:style>
  <w:style w:type="character" w:customStyle="1" w:styleId="expandableitem">
    <w:name w:val="expandableitem"/>
    <w:basedOn w:val="DefaultParagraphFont"/>
    <w:rsid w:val="003D0B32"/>
  </w:style>
  <w:style w:type="paragraph" w:styleId="BalloonText">
    <w:name w:val="Balloon Text"/>
    <w:basedOn w:val="Normal"/>
    <w:link w:val="BalloonTextChar"/>
    <w:rsid w:val="00A57372"/>
    <w:rPr>
      <w:rFonts w:ascii="Segoe UI" w:hAnsi="Segoe UI" w:cs="Segoe UI"/>
      <w:sz w:val="18"/>
      <w:szCs w:val="18"/>
    </w:rPr>
  </w:style>
  <w:style w:type="character" w:customStyle="1" w:styleId="BalloonTextChar">
    <w:name w:val="Balloon Text Char"/>
    <w:basedOn w:val="DefaultParagraphFont"/>
    <w:link w:val="BalloonText"/>
    <w:rsid w:val="00A5737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6/14-20" TargetMode="External"/><Relationship Id="rId13" Type="http://schemas.openxmlformats.org/officeDocument/2006/relationships/hyperlink" Target="https://cohesiondata.ec.europa.eu/themes/9/14-20" TargetMode="External"/><Relationship Id="rId3" Type="http://schemas.openxmlformats.org/officeDocument/2006/relationships/hyperlink" Target="https://cohesiondata.ec.europa.eu/themes/5/14-20"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cohesiondata.ec.europa.eu/themes/9/14-20" TargetMode="External"/><Relationship Id="rId17" Type="http://schemas.openxmlformats.org/officeDocument/2006/relationships/hyperlink" Target="https://cohesiondata.ec.europa.eu/stories/s/CORONAVIRUS-DASHBOARD-COHESION-POLICY-RESPONSE/4e2z-pw8r/" TargetMode="External"/><Relationship Id="rId2" Type="http://schemas.openxmlformats.org/officeDocument/2006/relationships/hyperlink" Target="https://www.eca.europa.eu/ECAPublications/AR-2022/AR-2022_LV.pdf" TargetMode="External"/><Relationship Id="rId16" Type="http://schemas.openxmlformats.org/officeDocument/2006/relationships/hyperlink" Target="https://cohesiondata.ec.europa.eu/funds/erdf/14-20" TargetMode="External"/><Relationship Id="rId1" Type="http://schemas.openxmlformats.org/officeDocument/2006/relationships/hyperlink" Target="https://www.eca.europa.eu/lv/publications?did=63210" TargetMode="External"/><Relationship Id="rId6" Type="http://schemas.openxmlformats.org/officeDocument/2006/relationships/hyperlink" Target="https://cohesiondata.ec.europa.eu/themes/6/14-20" TargetMode="External"/><Relationship Id="rId11" Type="http://schemas.openxmlformats.org/officeDocument/2006/relationships/hyperlink" Target="https://cohesiondata.ec.europa.eu/themes/9/14-20" TargetMode="External"/><Relationship Id="rId5" Type="http://schemas.openxmlformats.org/officeDocument/2006/relationships/hyperlink" Target="https://cohesiondata.ec.europa.eu/themes/5/14-20" TargetMode="External"/><Relationship Id="rId15" Type="http://schemas.openxmlformats.org/officeDocument/2006/relationships/hyperlink" Target="https://cohesiondata.ec.europa.eu/funds/erdf/14-20" TargetMode="External"/><Relationship Id="rId10" Type="http://schemas.openxmlformats.org/officeDocument/2006/relationships/hyperlink" Target="https://www.touchpoints.lu/single-post/2020-annual-report-of-touchpoints-asbl?lang=en" TargetMode="External"/><Relationship Id="rId4" Type="http://schemas.openxmlformats.org/officeDocument/2006/relationships/hyperlink" Target="https://cohesiondata.ec.europa.eu/themes/5/14-20" TargetMode="External"/><Relationship Id="rId9" Type="http://schemas.openxmlformats.org/officeDocument/2006/relationships/hyperlink" Target="https://files.evaluationhelpdesk.eu/evaluations/HUE63.pdf" TargetMode="External"/><Relationship Id="rId14" Type="http://schemas.openxmlformats.org/officeDocument/2006/relationships/hyperlink" Target="https://cohesiondata.ec.europa.eu/funds/erdf/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8D78E-36D3-46AF-979B-3BE7B1E8C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8670</Words>
  <Characters>58548</Characters>
  <Application>Microsoft Office Word</Application>
  <DocSecurity>4</DocSecurity>
  <Lines>487</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2024-09-09T13:12:00Z</dcterms:created>
  <dcterms:modified xsi:type="dcterms:W3CDTF">2024-09-09T13:12:00Z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A9-0049/2024</vt:lpwstr>
  </property>
  <property fmtid="{D5CDD505-2E9C-101B-9397-08002B2CF9AE}" pid="4" name="&lt;Type&gt;">
    <vt:lpwstr>RR</vt:lpwstr>
  </property>
</Properties>
</file>