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13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1341" w:rsidRDefault="00421A59" w:rsidP="0010095E">
            <w:pPr>
              <w:pStyle w:val="EPName"/>
            </w:pPr>
            <w:r w:rsidRPr="00EC1341">
              <w:t>Европейски</w:t>
            </w:r>
            <w:r w:rsidR="00570D5E" w:rsidRPr="00EC1341">
              <w:t xml:space="preserve"> парламент</w:t>
            </w:r>
          </w:p>
          <w:p w:rsidR="00751A4A" w:rsidRPr="00EC1341" w:rsidRDefault="00421A59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EC134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C1341" w:rsidRDefault="00187494" w:rsidP="0010095E">
            <w:pPr>
              <w:pStyle w:val="EPLogo"/>
            </w:pPr>
            <w:r w:rsidRPr="00EC13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1341" w:rsidRDefault="00D058B8" w:rsidP="004C5D52">
      <w:pPr>
        <w:pStyle w:val="LineTop"/>
      </w:pPr>
    </w:p>
    <w:p w:rsidR="00680577" w:rsidRPr="00EC1341" w:rsidRDefault="00570D5E" w:rsidP="00680577">
      <w:pPr>
        <w:pStyle w:val="EPBodyTA1"/>
      </w:pPr>
      <w:r w:rsidRPr="00EC1341">
        <w:t>ПРИЕТИ ТЕКСТОВЕ</w:t>
      </w:r>
    </w:p>
    <w:p w:rsidR="00D058B8" w:rsidRPr="00EC1341" w:rsidRDefault="00D058B8" w:rsidP="00D058B8">
      <w:pPr>
        <w:pStyle w:val="LineBottom"/>
      </w:pPr>
    </w:p>
    <w:p w:rsidR="00570D5E" w:rsidRPr="00EC1341" w:rsidRDefault="00570D5E" w:rsidP="00570D5E">
      <w:pPr>
        <w:pStyle w:val="ATHeading1"/>
      </w:pPr>
      <w:bookmarkStart w:id="0" w:name="TANumber"/>
      <w:r w:rsidRPr="00EC1341">
        <w:t>P9_TA(2024)0</w:t>
      </w:r>
      <w:r w:rsidR="00223206">
        <w:rPr>
          <w:lang w:val="en-GB"/>
        </w:rPr>
        <w:t>175</w:t>
      </w:r>
      <w:bookmarkEnd w:id="0"/>
    </w:p>
    <w:p w:rsidR="00570D5E" w:rsidRPr="00EC1341" w:rsidRDefault="00570D5E" w:rsidP="00570D5E">
      <w:pPr>
        <w:pStyle w:val="ATHeading2"/>
      </w:pPr>
      <w:bookmarkStart w:id="1" w:name="title"/>
      <w:r w:rsidRPr="00EC1341">
        <w:t>Приемане на специалната мярка в полза на Тунис за 2023 г.</w:t>
      </w:r>
      <w:bookmarkEnd w:id="1"/>
    </w:p>
    <w:p w:rsidR="00570D5E" w:rsidRPr="00EC1341" w:rsidRDefault="00570D5E" w:rsidP="00570D5E">
      <w:pPr>
        <w:rPr>
          <w:i/>
          <w:vanish/>
        </w:rPr>
      </w:pPr>
      <w:r w:rsidRPr="00EC1341">
        <w:rPr>
          <w:i/>
        </w:rPr>
        <w:fldChar w:fldCharType="begin"/>
      </w:r>
      <w:r w:rsidRPr="00EC1341">
        <w:rPr>
          <w:i/>
        </w:rPr>
        <w:instrText xml:space="preserve"> TC"(</w:instrText>
      </w:r>
      <w:bookmarkStart w:id="2" w:name="DocNumber"/>
      <w:r w:rsidRPr="00EC1341">
        <w:rPr>
          <w:i/>
        </w:rPr>
        <w:instrText>B9-0173/2024</w:instrText>
      </w:r>
      <w:bookmarkEnd w:id="2"/>
      <w:r w:rsidRPr="00EC1341">
        <w:rPr>
          <w:i/>
        </w:rPr>
        <w:instrText xml:space="preserve">)"\l3 \n&gt; \* MERGEFORMAT </w:instrText>
      </w:r>
      <w:r w:rsidRPr="00EC1341">
        <w:rPr>
          <w:i/>
        </w:rPr>
        <w:fldChar w:fldCharType="end"/>
      </w:r>
    </w:p>
    <w:p w:rsidR="00570D5E" w:rsidRPr="00EC1341" w:rsidRDefault="00570D5E" w:rsidP="00570D5E">
      <w:pPr>
        <w:rPr>
          <w:vanish/>
        </w:rPr>
      </w:pPr>
      <w:bookmarkStart w:id="3" w:name="PE"/>
      <w:r w:rsidRPr="00EC1341">
        <w:rPr>
          <w:vanish/>
        </w:rPr>
        <w:t>PE759.058</w:t>
      </w:r>
      <w:bookmarkEnd w:id="3"/>
    </w:p>
    <w:p w:rsidR="00570D5E" w:rsidRPr="00EC1341" w:rsidRDefault="00570D5E" w:rsidP="00421A59">
      <w:pPr>
        <w:pStyle w:val="ATHeading3"/>
      </w:pPr>
      <w:bookmarkStart w:id="4" w:name="Sujet"/>
      <w:r w:rsidRPr="00EC1341">
        <w:t xml:space="preserve">Резолюция на Европейския парламент от </w:t>
      </w:r>
      <w:r w:rsidR="00D42988">
        <w:t>14 март</w:t>
      </w:r>
      <w:r w:rsidR="00D42988" w:rsidRPr="00EC1341">
        <w:t xml:space="preserve"> </w:t>
      </w:r>
      <w:r w:rsidRPr="00EC1341">
        <w:t>2024 г. относно приемането на специалната мярка в полза на Тунис за 2023 г.</w:t>
      </w:r>
      <w:bookmarkEnd w:id="4"/>
      <w:r w:rsidRPr="00EC1341">
        <w:t xml:space="preserve"> </w:t>
      </w:r>
      <w:bookmarkStart w:id="5" w:name="References"/>
      <w:r w:rsidRPr="00EC1341">
        <w:t>(2024/2573(RSP))</w:t>
      </w:r>
      <w:bookmarkEnd w:id="5"/>
    </w:p>
    <w:p w:rsidR="00C35104" w:rsidRPr="00EC1341" w:rsidRDefault="00C35104" w:rsidP="00C35104">
      <w:pPr>
        <w:pStyle w:val="EPComma"/>
      </w:pPr>
      <w:bookmarkStart w:id="6" w:name="TextBodyBegin"/>
      <w:bookmarkEnd w:id="6"/>
      <w:r w:rsidRPr="00EC1341">
        <w:rPr>
          <w:i/>
        </w:rPr>
        <w:t>Европейският парламент</w:t>
      </w:r>
      <w:r w:rsidRPr="00EC1341">
        <w:t>,</w:t>
      </w:r>
    </w:p>
    <w:p w:rsidR="00C35104" w:rsidRPr="00EC1341" w:rsidRDefault="00C35104" w:rsidP="00C35104">
      <w:pPr>
        <w:pStyle w:val="NormalHanging12a"/>
      </w:pPr>
      <w:r w:rsidRPr="00EC1341">
        <w:t>–</w:t>
      </w:r>
      <w:r w:rsidRPr="00EC1341">
        <w:tab/>
        <w:t>като взе предвид Договора за Европейския съюз (ДЕС) и по-специално член 14 от него,</w:t>
      </w:r>
    </w:p>
    <w:p w:rsidR="00C35104" w:rsidRPr="00EC1341" w:rsidRDefault="00C35104" w:rsidP="00C35104">
      <w:pPr>
        <w:pStyle w:val="NormalHanging12a"/>
      </w:pPr>
      <w:r w:rsidRPr="00EC1341">
        <w:t>–</w:t>
      </w:r>
      <w:r w:rsidRPr="00EC1341">
        <w:tab/>
        <w:t>като взе предвид Договора за функционирането на Европейския съюз (ДФЕС),</w:t>
      </w:r>
    </w:p>
    <w:p w:rsidR="00C35104" w:rsidRPr="00EC1341" w:rsidRDefault="00C35104" w:rsidP="00C35104">
      <w:pPr>
        <w:pStyle w:val="NormalHanging12a"/>
      </w:pPr>
      <w:r w:rsidRPr="00EC1341">
        <w:t>–</w:t>
      </w:r>
      <w:r w:rsidRPr="00EC1341">
        <w:tab/>
        <w:t>като взе предвид Регламент (ЕС) 2021/947 на Европейския парламент и на Съвета от 9 юни 2021 г. за създаване на Инструмента за съседство, сътрудничество за развитие и международно сътрудничество – Глобална Европа, за изменение и отмяна на Решение № 466/2014/ЕС на Европейския парламент и на Съвета и за отмяна на Регламент (ЕС) 2017/1601 на Европейския парламент и на Съвета и на Регламент (ЕО, Евратом) № 480/2009</w:t>
      </w:r>
      <w:r w:rsidRPr="00EC1341">
        <w:rPr>
          <w:rStyle w:val="FootnoteReference"/>
          <w:szCs w:val="24"/>
        </w:rPr>
        <w:footnoteReference w:id="1"/>
      </w:r>
      <w:r w:rsidRPr="00EC1341">
        <w:t xml:space="preserve"> на Съвета (Регламента за ИССРМС — Глобална Европа),</w:t>
      </w:r>
    </w:p>
    <w:p w:rsidR="00C35104" w:rsidRPr="00EC1341" w:rsidRDefault="00C35104" w:rsidP="00C35104">
      <w:pPr>
        <w:pStyle w:val="NormalHanging12a"/>
      </w:pPr>
      <w:r w:rsidRPr="00EC1341">
        <w:t>–</w:t>
      </w:r>
      <w:r w:rsidRPr="00EC1341">
        <w:tab/>
        <w:t>като взе предвид Споразумението между Европейския парламент и Комисията от 3 юни 2008 г. относно условията и реда за прилагане на Решение 1999/468/EО на Съвета за установяване на условията и реда за упражняване на изпълнителните правомощия, предоставени на Комисията, изменено с Решение 2006/512/ЕО</w:t>
      </w:r>
      <w:r w:rsidRPr="00EC1341">
        <w:rPr>
          <w:rStyle w:val="FootnoteReference"/>
        </w:rPr>
        <w:footnoteReference w:id="2"/>
      </w:r>
      <w:r w:rsidRPr="00EC1341">
        <w:t>,</w:t>
      </w:r>
    </w:p>
    <w:p w:rsidR="00C35104" w:rsidRPr="00EC1341" w:rsidRDefault="00C35104" w:rsidP="00C35104">
      <w:pPr>
        <w:pStyle w:val="NormalHanging12a"/>
      </w:pPr>
      <w:r w:rsidRPr="00EC1341">
        <w:t>–</w:t>
      </w:r>
      <w:r w:rsidRPr="00EC1341">
        <w:tab/>
        <w:t>като взе предвид Регламент (ЕС, Евратом) 2018/1046 на Европейския парламент и на Съвета от 18 юли 2018 г. за финансовите правила, приложими за общия бюджет на Съюза, за изменение на регламенти (ЕС) № 1296/2013, (ЕС) № 1301/2013, (ЕС) № 1303/2013, (ЕС) № 1304/2013, (ЕС) № 1309/2013, (ЕС) № 1316/2013, (ЕС) № 223/2014 и (ЕС) № 283/2014 и на Решение № 541/2014/ЕС и за отмяна на Регламент (ЕС, Евратом) № 966/2012</w:t>
      </w:r>
      <w:r w:rsidRPr="00EC1341">
        <w:rPr>
          <w:rStyle w:val="FootnoteReference"/>
          <w:color w:val="000000"/>
          <w:szCs w:val="24"/>
        </w:rPr>
        <w:footnoteReference w:id="3"/>
      </w:r>
      <w:r w:rsidRPr="00EC1341">
        <w:t xml:space="preserve"> („Финансовия регламент“),</w:t>
      </w:r>
    </w:p>
    <w:p w:rsidR="00C35104" w:rsidRPr="00EC1341" w:rsidRDefault="00C35104" w:rsidP="00C35104">
      <w:pPr>
        <w:pStyle w:val="NormalHanging12a"/>
      </w:pPr>
      <w:r w:rsidRPr="00EC1341">
        <w:t>–</w:t>
      </w:r>
      <w:r w:rsidRPr="00EC1341">
        <w:tab/>
        <w:t xml:space="preserve">като взе предвид Евро-средиземноморското споразумение за асоцииране между Европейските общности и техните държави членки, от една страна, и Република </w:t>
      </w:r>
      <w:r w:rsidRPr="00EC1341">
        <w:lastRenderedPageBreak/>
        <w:t>Тунис, от друга страна</w:t>
      </w:r>
      <w:r w:rsidRPr="00EC1341">
        <w:rPr>
          <w:rStyle w:val="FootnoteReference"/>
        </w:rPr>
        <w:footnoteReference w:id="4"/>
      </w:r>
      <w:r w:rsidRPr="00EC1341">
        <w:t>,</w:t>
      </w:r>
    </w:p>
    <w:p w:rsidR="00C35104" w:rsidRPr="00EC1341" w:rsidRDefault="00C35104" w:rsidP="00C35104">
      <w:pPr>
        <w:pStyle w:val="NormalHanging12a"/>
      </w:pPr>
      <w:r w:rsidRPr="00EC1341">
        <w:t>–</w:t>
      </w:r>
      <w:r w:rsidRPr="00EC1341">
        <w:tab/>
        <w:t>като взе предвид предишните си резолюции относно Тунис, и по-специално резолюцията от 16 март 2023 г. относно неотдавнашните атаки срещу свободата на изразяване на мнение и свободата на сдружаване и срещу синдикални организации, и по-специално случаят с журналиста Нуредин Бутар</w:t>
      </w:r>
      <w:r w:rsidRPr="00EC1341">
        <w:rPr>
          <w:rStyle w:val="FootnoteReference"/>
        </w:rPr>
        <w:footnoteReference w:id="5"/>
      </w:r>
      <w:r w:rsidRPr="00EC1341">
        <w:t>,</w:t>
      </w:r>
    </w:p>
    <w:p w:rsidR="00C35104" w:rsidRPr="00EC1341" w:rsidRDefault="00C35104" w:rsidP="00C35104">
      <w:pPr>
        <w:pStyle w:val="NormalHanging12a"/>
      </w:pPr>
      <w:r w:rsidRPr="00EC1341">
        <w:t>–</w:t>
      </w:r>
      <w:r w:rsidRPr="00EC1341">
        <w:tab/>
        <w:t>като взе предвид изявлението за медиите на председателя на Комисията Фон дер Лайен с министър-председателя на Италия Мелони, министър-председателя на Нидерландия Рюте и президента на Тунис Саид от 11 юни 2023 г.,</w:t>
      </w:r>
    </w:p>
    <w:p w:rsidR="00C35104" w:rsidRPr="00EC1341" w:rsidRDefault="00C35104" w:rsidP="00C35104">
      <w:pPr>
        <w:pStyle w:val="NormalHanging12a"/>
      </w:pPr>
      <w:r w:rsidRPr="00EC1341">
        <w:t>–</w:t>
      </w:r>
      <w:r w:rsidRPr="00EC1341">
        <w:tab/>
        <w:t>като взе предвид Меморандума за разбирателство от 16 юли 2023 г. относно стратегическо и глобално партньорство между ЕС и Тунис,</w:t>
      </w:r>
    </w:p>
    <w:p w:rsidR="00C35104" w:rsidRPr="00EC1341" w:rsidRDefault="00C35104" w:rsidP="00C35104">
      <w:pPr>
        <w:pStyle w:val="NormalHanging12a"/>
      </w:pPr>
      <w:r w:rsidRPr="00EC1341">
        <w:t>–</w:t>
      </w:r>
      <w:r w:rsidRPr="00EC1341">
        <w:tab/>
        <w:t>като взе предвид решението за изпълнение на Комисията от 20 декември 2023 г. относно финансирането на специалната мярка в полза на Тунис за 2023 г. (C</w:t>
      </w:r>
      <w:bookmarkStart w:id="7" w:name="_GoBack"/>
      <w:bookmarkEnd w:id="7"/>
      <w:r w:rsidRPr="00EC1341">
        <w:t>(2023)9184) и придружаващия го документ за действие относно програмата за подкрепа на макроикономическите реформи в Тунис,</w:t>
      </w:r>
    </w:p>
    <w:p w:rsidR="00C35104" w:rsidRPr="00EC1341" w:rsidRDefault="00C35104" w:rsidP="00C35104">
      <w:pPr>
        <w:pStyle w:val="NormalHanging12a"/>
      </w:pPr>
      <w:r w:rsidRPr="00EC1341">
        <w:t>–</w:t>
      </w:r>
      <w:r w:rsidRPr="00EC1341">
        <w:tab/>
        <w:t>като взе предвид член 136, параграф 5 и член 132, параграф 2 от своя Правилник за дейността,</w:t>
      </w:r>
    </w:p>
    <w:p w:rsidR="00C35104" w:rsidRPr="00EC1341" w:rsidRDefault="00C35104" w:rsidP="00C35104">
      <w:pPr>
        <w:pStyle w:val="NormalHanging12a"/>
      </w:pPr>
      <w:r w:rsidRPr="00EC1341">
        <w:t>–</w:t>
      </w:r>
      <w:r w:rsidRPr="00EC1341">
        <w:tab/>
        <w:t>като взе предвид предложението за резолюция на комисията по външни работи и комисията по развитие,</w:t>
      </w:r>
    </w:p>
    <w:p w:rsidR="00C35104" w:rsidRPr="00EC1341" w:rsidRDefault="00C35104" w:rsidP="00C35104">
      <w:pPr>
        <w:pStyle w:val="NormalHanging12a"/>
      </w:pPr>
      <w:r w:rsidRPr="00EC1341">
        <w:t>А.</w:t>
      </w:r>
      <w:r w:rsidRPr="00EC1341">
        <w:tab/>
        <w:t>като има предвид, че съгласно член 21 от ДЕС „дейността на Съюза на международната сцена се ръководи от основополагащите принципи за неговото създаване, развитие и разширяване, които той цели да насърчава в останалата част от света: демокрацията, правовата държава, универсалността и неделимостта на правата на човека и на основните свободи, зачитането на човешкото достойнство, принципите на равенство и солидарност и зачитането на принципите на Устава на Организацията на обединените нации и на международното право“;</w:t>
      </w:r>
    </w:p>
    <w:p w:rsidR="00C35104" w:rsidRPr="00EC1341" w:rsidRDefault="00C35104" w:rsidP="00C35104">
      <w:pPr>
        <w:pStyle w:val="NormalHanging12a"/>
      </w:pPr>
      <w:r w:rsidRPr="00EC1341">
        <w:t>Б.</w:t>
      </w:r>
      <w:r w:rsidRPr="00EC1341">
        <w:tab/>
        <w:t>като има предвид, че член 2 от Евро-средиземноморското споразумение между ЕС и Тунис посочва, че „[о]тношенията между страните, както и разпоредбите на самото споразумение се основават на спазването на демократичните принципи и на основните човешки права, които ръководят вътрешната и международната им политика и представляват съществен елемент на настоящото споразумение.“;</w:t>
      </w:r>
    </w:p>
    <w:p w:rsidR="00C35104" w:rsidRPr="00EC1341" w:rsidRDefault="00C35104" w:rsidP="00C35104">
      <w:pPr>
        <w:pStyle w:val="NormalHanging12a"/>
      </w:pPr>
      <w:r w:rsidRPr="00EC1341">
        <w:t>В.</w:t>
      </w:r>
      <w:r w:rsidRPr="00EC1341">
        <w:tab/>
        <w:t>като има предвид, че член 29 от Регламента за ИССРМС — Глобална Европа изключва действия, които могат да доведат до нарушаване на правата на човека в държавите партньори; като има предвид, че в член 25, параграф 5 от Регламента се очаква Комисията да извършва предварителни оценки на въздействието върху правата на човека, пропорционални на целите и обхвата на предвидените действия и мерки; като има предвид, че член 3, параграф 4 от Регламента гласи, че „[н]ай-малко 93% от разходите по Инструмента отговарят на критериите за ОПР [официална помощ за развитие], [...] като по този начин допринасят за колективните ангажименти за ОПР“;</w:t>
      </w:r>
    </w:p>
    <w:p w:rsidR="00C35104" w:rsidRPr="00EC1341" w:rsidRDefault="00C35104" w:rsidP="00C35104">
      <w:pPr>
        <w:pStyle w:val="NormalHanging12a"/>
      </w:pPr>
      <w:r w:rsidRPr="00EC1341">
        <w:lastRenderedPageBreak/>
        <w:t>Г.</w:t>
      </w:r>
      <w:r w:rsidRPr="00EC1341">
        <w:tab/>
        <w:t>като има предвид, че съображение 40 от Регламента за ИССРМС — Глобална Европа гласи, че „[т]ъй като зачитането на демокрацията, правата на човека и принципите на правовата държава е от съществено значение за доброто финансово управление и ефективното финансиране от Съюза, както е посочено във Финансовия регламент, помощта би могла да бъде спряна в случай на влошаване на състоянието на демокрацията, правата на човека или принципите на правовата държава в трети държави“;</w:t>
      </w:r>
    </w:p>
    <w:p w:rsidR="00C35104" w:rsidRPr="00EC1341" w:rsidRDefault="00C35104" w:rsidP="00C35104">
      <w:pPr>
        <w:pStyle w:val="NormalHanging12a"/>
      </w:pPr>
      <w:r w:rsidRPr="00EC1341">
        <w:t>Д.</w:t>
      </w:r>
      <w:r w:rsidRPr="00EC1341">
        <w:tab/>
        <w:t>като има предвид, че под управлението на президента Каис Саид Тунис претърпя авторитарен обрат и тревожно отстъпление от демокрацията, правата на човека и принципите на правовата държава; като има предвид, че през последната година при управлението на президента Каис Саид произволно бяха арестувани и задържани политици от опозицията, съдии, работещи в медиите и активисти на гражданското общество;</w:t>
      </w:r>
    </w:p>
    <w:p w:rsidR="00C35104" w:rsidRPr="00EC1341" w:rsidRDefault="00C35104" w:rsidP="00C35104">
      <w:pPr>
        <w:pStyle w:val="NormalHanging12a"/>
      </w:pPr>
      <w:r w:rsidRPr="00EC1341">
        <w:t>Е.</w:t>
      </w:r>
      <w:r w:rsidRPr="00EC1341">
        <w:tab/>
        <w:t>като има предвид, че Комисията прие специалната мярка чрез спешна писмена процедура;</w:t>
      </w:r>
    </w:p>
    <w:p w:rsidR="00C35104" w:rsidRPr="00EC1341" w:rsidRDefault="00C35104" w:rsidP="00C35104">
      <w:pPr>
        <w:pStyle w:val="NormalHanging12a"/>
      </w:pPr>
      <w:r w:rsidRPr="00EC1341">
        <w:t>Ж.</w:t>
      </w:r>
      <w:r w:rsidRPr="00EC1341">
        <w:tab/>
        <w:t>като има предвид, че шест месеца по-рано в изявлението за медиите на Комисията от 11 юни 2023 г. беше обявена бюджетна подкрепа в размер на 150 милиона евро за Тунис; като има предвид, че тази бюджетна подкрепа беше обявена преди подписването на Меморандума за разбирателство между ЕС и Тунис;</w:t>
      </w:r>
    </w:p>
    <w:p w:rsidR="00C35104" w:rsidRPr="00EC1341" w:rsidRDefault="00C35104" w:rsidP="00C35104">
      <w:pPr>
        <w:pStyle w:val="NormalHanging12a"/>
      </w:pPr>
      <w:r w:rsidRPr="00EC1341">
        <w:t>З.</w:t>
      </w:r>
      <w:r w:rsidRPr="00EC1341">
        <w:tab/>
        <w:t>като има предвид, че не бяха осъществени неформални контакти между Комисията и Парламента преди приемането на специалната мярка чрез спешна писмена процедура, както е предвидено в параграф 12 от Споразумението между Парламента и Комисията от 3 юни 2008 г.;</w:t>
      </w:r>
    </w:p>
    <w:p w:rsidR="00C35104" w:rsidRPr="00EC1341" w:rsidRDefault="00C35104" w:rsidP="00C35104">
      <w:pPr>
        <w:pStyle w:val="NormalHanging12a"/>
      </w:pPr>
      <w:r w:rsidRPr="00EC1341">
        <w:t>И.</w:t>
      </w:r>
      <w:r w:rsidRPr="00EC1341">
        <w:tab/>
        <w:t>като има предвид, че съгласно член 27, параграф 4 от Регламента за ИССРМС — Глобална Европа „[к]огато предоставя бюджетна подкрепа в съответствие с член 236 от Финансовия регламент, Комисията ясно определя и следи критериите за обвързването с условия на бюджетната подкрепа, включително напредъка с реформите и прозрачността, и подкрепя развитието на парламентарния контрол и националния капацитет за одит, както и повишаването на прозрачността и обществения достъп до информация“;</w:t>
      </w:r>
    </w:p>
    <w:p w:rsidR="00C35104" w:rsidRPr="00EC1341" w:rsidRDefault="00C35104" w:rsidP="00C35104">
      <w:pPr>
        <w:pStyle w:val="NormalHanging12a"/>
      </w:pPr>
      <w:r w:rsidRPr="00EC1341">
        <w:t>Й.</w:t>
      </w:r>
      <w:r w:rsidRPr="00EC1341">
        <w:tab/>
        <w:t>като има предвид, че член 218 от ДФЕС установява процедурата, която трябва да се използва за договаряне и сключване на споразумения между ЕС и трети държави; като има предвид, че тази процедура позволява подходящи процедурни гаранции, както и парламентарен и съдебен контрол, като по този начин се увеличава отчетността и демократичната легитимност;</w:t>
      </w:r>
    </w:p>
    <w:p w:rsidR="00C35104" w:rsidRPr="00EC1341" w:rsidRDefault="00C35104" w:rsidP="00C35104">
      <w:pPr>
        <w:pStyle w:val="NormalHanging12a"/>
      </w:pPr>
      <w:r w:rsidRPr="00EC1341">
        <w:t>К.</w:t>
      </w:r>
      <w:r w:rsidRPr="00EC1341">
        <w:tab/>
        <w:t>като има предвид, че на делегация на комисията по външни работи беше отказано влизане в Тунис на 13 септември 2023 г., като по този начин беше ограничена възможността на Парламента да упражнява правомощията си за контрол;</w:t>
      </w:r>
    </w:p>
    <w:p w:rsidR="00C35104" w:rsidRPr="00EC1341" w:rsidRDefault="00C35104" w:rsidP="00C35104">
      <w:pPr>
        <w:pStyle w:val="NormalHanging12a"/>
      </w:pPr>
      <w:r w:rsidRPr="00EC1341">
        <w:t>Л.</w:t>
      </w:r>
      <w:r w:rsidRPr="00EC1341">
        <w:tab/>
        <w:t>като има предвид, че на 26 септември 2023 г. тунизийските органи едностранно отложиха посещение на Комисията само дни преди неговото провеждане;</w:t>
      </w:r>
    </w:p>
    <w:p w:rsidR="00C35104" w:rsidRPr="00EC1341" w:rsidRDefault="00C35104" w:rsidP="00C35104">
      <w:pPr>
        <w:pStyle w:val="NormalHanging12a"/>
      </w:pPr>
      <w:r w:rsidRPr="00EC1341">
        <w:t>М.</w:t>
      </w:r>
      <w:r w:rsidRPr="00EC1341">
        <w:tab/>
        <w:t>като има предвид, че през октомври 2023 г. президентът на Тунис отхвърли и върна 60 милиона евро под формата на бюджетна подкрепа от ЕС;</w:t>
      </w:r>
    </w:p>
    <w:p w:rsidR="00C35104" w:rsidRPr="00EC1341" w:rsidRDefault="00C35104" w:rsidP="00C35104">
      <w:pPr>
        <w:pStyle w:val="NormalHanging12a"/>
      </w:pPr>
      <w:r w:rsidRPr="00EC1341">
        <w:lastRenderedPageBreak/>
        <w:t>Н.</w:t>
      </w:r>
      <w:r w:rsidRPr="00EC1341">
        <w:tab/>
        <w:t>като има предвид, че е от съществено значение за ЕС да продължи сътрудничеството с Тунис, за да се гарантират макроикономическата стабилност, принципите на правовата държава и правата на човека в страната;</w:t>
      </w:r>
    </w:p>
    <w:p w:rsidR="00C35104" w:rsidRPr="00EC1341" w:rsidRDefault="00C35104" w:rsidP="00C35104">
      <w:pPr>
        <w:pStyle w:val="NormalHanging12a"/>
      </w:pPr>
      <w:r w:rsidRPr="00EC1341">
        <w:t>1.</w:t>
      </w:r>
      <w:r w:rsidRPr="00EC1341">
        <w:tab/>
        <w:t>оспорва необходимостта от спешна писмена процедура за специалната мярка в полза на Тунис, тъй като първоначалното обявяване от страна на Комисията на бюджетната подкрепа в размер на 150 милиона евро беше направено още на 11 юни 2023 г., което остави достатъчно време за използване на нормалната процедура; счита, че графикът за започване на тази спешна писмена процедура показва незачитане на парламентарния контрол и процедурата на комитет;</w:t>
      </w:r>
    </w:p>
    <w:p w:rsidR="00C35104" w:rsidRPr="00EC1341" w:rsidRDefault="00C35104" w:rsidP="00C35104">
      <w:pPr>
        <w:pStyle w:val="NormalHanging12a"/>
      </w:pPr>
      <w:r w:rsidRPr="00EC1341">
        <w:t>2.</w:t>
      </w:r>
      <w:r w:rsidRPr="00EC1341">
        <w:tab/>
        <w:t>призовава Комисията да предостави подробно, основано на факти обяснение в контекста на следващия предстоящ геополитически диалог на високо равнище защо не са били осъществени неформални контакти между Комисията и Парламента преди приемането на специалната мярка чрез спешна писмена процедура, както е предвидено в параграф 12 от Споразумението между Парламента и Комисията от 3 юни 2008 г.; поради това очаква Тунис да бъде избран като приоритетна държава по време на следващия геополитически диалог на високо равнище;</w:t>
      </w:r>
    </w:p>
    <w:p w:rsidR="00C35104" w:rsidRPr="00EC1341" w:rsidRDefault="00C35104" w:rsidP="00C35104">
      <w:pPr>
        <w:pStyle w:val="NormalHanging12a"/>
      </w:pPr>
      <w:r w:rsidRPr="00EC1341">
        <w:t>3.</w:t>
      </w:r>
      <w:r w:rsidRPr="00EC1341">
        <w:tab/>
        <w:t>счита, че политическият ангажимент, поет в Меморандума за разбирателство, да се изплати „изцяло“ бюджетната подкрепа за 2023 г., не съставлява правно основание за приемането на тази мярка нито като специална мярка съгласно член 23, параграф 4 от Регламента за ИССРМС — Глобална Европа, нито в рамките на спешна писмена процедура;</w:t>
      </w:r>
    </w:p>
    <w:p w:rsidR="00C35104" w:rsidRPr="00EC1341" w:rsidRDefault="00C35104" w:rsidP="00C35104">
      <w:pPr>
        <w:pStyle w:val="NormalHanging12a"/>
      </w:pPr>
      <w:r w:rsidRPr="00EC1341">
        <w:t>4.</w:t>
      </w:r>
      <w:r w:rsidRPr="00EC1341">
        <w:tab/>
        <w:t>изразява съжаление, че Комисията не е предоставила проактивно на Парламента относимото споразумение за финансиране с Тунис, в което се определят специални условия и изисквания, в съответствие с член 112, параграф 4) и член 236 от Финансовия регламент;</w:t>
      </w:r>
    </w:p>
    <w:p w:rsidR="00C35104" w:rsidRPr="00EC1341" w:rsidRDefault="00C35104" w:rsidP="00C35104">
      <w:pPr>
        <w:pStyle w:val="NormalHanging12a"/>
      </w:pPr>
      <w:r w:rsidRPr="00EC1341">
        <w:t>5.</w:t>
      </w:r>
      <w:r w:rsidRPr="00EC1341">
        <w:tab/>
        <w:t>изисква подробно обяснение на начина, по който термин като „задоволителен напредък“, който се използва в раздел 4.3.2 от документа за действие на Комисията за специалната мярка, в който подробно се описват критериите за отпускане на бюджетна подкрепа, съставляват „ясно определени критерии за обвързване с условия за бюджетна подкрепа“, както е предвидено в член 27, параграф 4 от Регламента за ИССРМС — Глобална Европа;</w:t>
      </w:r>
    </w:p>
    <w:p w:rsidR="00C35104" w:rsidRPr="00EC1341" w:rsidRDefault="00C35104" w:rsidP="00C35104">
      <w:pPr>
        <w:pStyle w:val="NormalHanging12a"/>
      </w:pPr>
      <w:r w:rsidRPr="00EC1341">
        <w:t>6.</w:t>
      </w:r>
      <w:r w:rsidRPr="00EC1341">
        <w:tab/>
        <w:t>изразява съмнение, че зачитането на основните принципи във външната дейност, свързани с демокрацията, правата на човека и принципите на правовата държава, както е посочено в член 21 от ДЕС, различните разпоредби на Регламента за ИССРМС — Глобална Европа и член 2 от Евро-средиземноморското споразумение между ЕС и Тунис, е изпълнено за тази специална мярка, като се има предвид значителното влошаване на основните права, което вече е настъпило в Тунис от юли 2021 г. насам, и като се има предвид фактът, че значително влошаване на основните ценности би могло да накара ЕС да спре, намали или отмени бюджетната подкрепа за държавите партньори;</w:t>
      </w:r>
    </w:p>
    <w:p w:rsidR="00C35104" w:rsidRPr="00EC1341" w:rsidRDefault="00C35104" w:rsidP="00C35104">
      <w:pPr>
        <w:pStyle w:val="NormalHanging12a"/>
      </w:pPr>
      <w:r w:rsidRPr="00EC1341">
        <w:t>7.</w:t>
      </w:r>
      <w:r w:rsidRPr="00EC1341">
        <w:tab/>
        <w:t xml:space="preserve">поради това призовава Комисията спешно да предостави преди края на парламентарния мандат допълнителни подробности в писмена форма за това как и кога ще оцени дали условията, посочени в раздел 4.3.2 относно отпускането на </w:t>
      </w:r>
      <w:r w:rsidRPr="00EC1341">
        <w:lastRenderedPageBreak/>
        <w:t>бюджетна подкрепа, са били или ще бъдат изпълнени и какви обективни критерии ще бъдат използвани, за да се определи дали е постигнат „задоволителен напредък“ в изпълнението на общите условия, изброени в раздел 4.3.2;</w:t>
      </w:r>
    </w:p>
    <w:p w:rsidR="00C35104" w:rsidRPr="00EC1341" w:rsidRDefault="00C35104" w:rsidP="00C35104">
      <w:pPr>
        <w:pStyle w:val="NormalHanging12a"/>
      </w:pPr>
      <w:r w:rsidRPr="00EC1341">
        <w:t>8.</w:t>
      </w:r>
      <w:r w:rsidRPr="00EC1341">
        <w:tab/>
        <w:t>изисква от Комисията да изясни в писмен вид как оценява понастоящем, че Тунис отговаря на изискването, посочено в раздел 4.3.2, буква б) от документа за действие за специалната мярка, по отношение на основните ценности;</w:t>
      </w:r>
    </w:p>
    <w:p w:rsidR="00C35104" w:rsidRPr="00EC1341" w:rsidRDefault="00C35104" w:rsidP="00C35104">
      <w:pPr>
        <w:pStyle w:val="NormalHanging12a"/>
      </w:pPr>
      <w:r w:rsidRPr="00EC1341">
        <w:t>9.</w:t>
      </w:r>
      <w:r w:rsidRPr="00EC1341">
        <w:tab/>
        <w:t>призовава Комисията да разясни защо е избрала да изплати 150 млн. евро под формата на един транш, вместо да разреши постепенно изплащане въз основа на конкретни етапни цели или стъпки, както е предвидено в член 236, параграф 2 от Финансовия регламент, възпрепятствайки възможността за преустановяване на по-нататъшни плащания, ако се наблюдава явно подкопаване на основните ценности;</w:t>
      </w:r>
    </w:p>
    <w:p w:rsidR="00C35104" w:rsidRPr="00EC1341" w:rsidRDefault="00C35104" w:rsidP="00C35104">
      <w:pPr>
        <w:pStyle w:val="NormalHanging12a"/>
      </w:pPr>
      <w:r w:rsidRPr="00EC1341">
        <w:t>10.</w:t>
      </w:r>
      <w:r w:rsidRPr="00EC1341">
        <w:tab/>
        <w:t>призовава Комисията да обясни по какъв начин специалната мярка ще допринесе за подобряване на стопанския и инвестиционен климат в контекста на влошаването на положението с принципите на правовата държава в Тунис от юли 2021 г. насам, което представлява пречка за икономическото развитие;</w:t>
      </w:r>
    </w:p>
    <w:p w:rsidR="00C35104" w:rsidRPr="00EC1341" w:rsidRDefault="00C35104" w:rsidP="00C35104">
      <w:pPr>
        <w:pStyle w:val="NormalHanging12a"/>
      </w:pPr>
      <w:r w:rsidRPr="00EC1341">
        <w:t>11.</w:t>
      </w:r>
      <w:r w:rsidRPr="00EC1341">
        <w:tab/>
        <w:t>призовава Комисията да изясни причините, поради които тунизийските органи отхвърлиха бюджетната подкрепа в размер на 60 милиона евро, отпусната по линия на механизма за COVID през октомври 2023 г., и на какви основания Комисията счита, че тунизийските органи са готови да приемат бюджетната подкрепа, предвидена в тази специална мярка;</w:t>
      </w:r>
    </w:p>
    <w:p w:rsidR="00C35104" w:rsidRPr="00EC1341" w:rsidRDefault="00C35104" w:rsidP="00C35104">
      <w:pPr>
        <w:pStyle w:val="NormalHanging12a"/>
      </w:pPr>
      <w:r w:rsidRPr="00EC1341">
        <w:t>12.</w:t>
      </w:r>
      <w:r w:rsidRPr="00EC1341">
        <w:tab/>
        <w:t>призовава Комисията да разясни какви гаранции е получила от тунизийските държавни органи от септември 2023 г. насам, че на Парламента ще бъде разрешено да посещава финансирани от ЕС проекти в Тунис и по този начин да упражнява правото си на надзор и контрол в съответствие с член 14 от ДЕС;</w:t>
      </w:r>
    </w:p>
    <w:p w:rsidR="00C35104" w:rsidRPr="00EC1341" w:rsidRDefault="00C35104" w:rsidP="00C35104">
      <w:pPr>
        <w:pStyle w:val="NormalHanging12a"/>
      </w:pPr>
      <w:r w:rsidRPr="00EC1341">
        <w:t>13.</w:t>
      </w:r>
      <w:r w:rsidRPr="00EC1341">
        <w:tab/>
        <w:t>изисква Комисията да разясни положението, като даде подходящ и всеобхватен отговор на въпроса на Парламента с искане за устен отговор и на тази придружаваща го резолюция;</w:t>
      </w:r>
    </w:p>
    <w:p w:rsidR="00C35104" w:rsidRPr="00EC1341" w:rsidRDefault="00C35104" w:rsidP="00C35104">
      <w:pPr>
        <w:pStyle w:val="NormalHanging12a"/>
      </w:pPr>
      <w:r w:rsidRPr="00EC1341">
        <w:t>14.</w:t>
      </w:r>
      <w:r w:rsidRPr="00EC1341">
        <w:tab/>
        <w:t>възлага на своя председател да предаде настоящата резолюция на Комисията, на заместник-председателя на Комисията и върховен представител на Съюза по въпросите на външните работи и политиката на сигурност и на Съвета.</w:t>
      </w:r>
    </w:p>
    <w:sectPr w:rsidR="00C35104" w:rsidRPr="00EC1341" w:rsidSect="00EC13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D5E" w:rsidRPr="00EC1341" w:rsidRDefault="00570D5E">
      <w:r w:rsidRPr="00EC1341">
        <w:separator/>
      </w:r>
    </w:p>
  </w:endnote>
  <w:endnote w:type="continuationSeparator" w:id="0">
    <w:p w:rsidR="00570D5E" w:rsidRPr="00EC1341" w:rsidRDefault="00570D5E">
      <w:r w:rsidRPr="00EC13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3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3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3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D5E" w:rsidRPr="00EC1341" w:rsidRDefault="00570D5E">
      <w:r w:rsidRPr="00EC1341">
        <w:separator/>
      </w:r>
    </w:p>
  </w:footnote>
  <w:footnote w:type="continuationSeparator" w:id="0">
    <w:p w:rsidR="00570D5E" w:rsidRPr="00EC1341" w:rsidRDefault="00570D5E">
      <w:r w:rsidRPr="00EC1341">
        <w:continuationSeparator/>
      </w:r>
    </w:p>
  </w:footnote>
  <w:footnote w:id="1">
    <w:p w:rsidR="00C35104" w:rsidRPr="00EC1341" w:rsidRDefault="00C35104" w:rsidP="00EC1341">
      <w:pPr>
        <w:pStyle w:val="FootnoteText"/>
        <w:ind w:left="567" w:hanging="567"/>
        <w:rPr>
          <w:b/>
          <w:sz w:val="24"/>
          <w:lang w:val="bg-BG"/>
        </w:rPr>
      </w:pPr>
      <w:r w:rsidRPr="00EC1341">
        <w:rPr>
          <w:rStyle w:val="FootnoteReference"/>
          <w:sz w:val="24"/>
          <w:lang w:val="bg-BG"/>
        </w:rPr>
        <w:footnoteRef/>
      </w:r>
      <w:r w:rsidR="00EC1341" w:rsidRPr="00EC1341">
        <w:rPr>
          <w:sz w:val="24"/>
          <w:lang w:val="bg-BG"/>
        </w:rPr>
        <w:t xml:space="preserve"> </w:t>
      </w:r>
      <w:r w:rsidR="00EC1341" w:rsidRPr="00EC1341">
        <w:rPr>
          <w:sz w:val="24"/>
          <w:lang w:val="bg-BG"/>
        </w:rPr>
        <w:tab/>
      </w:r>
      <w:r w:rsidRPr="00EC1341">
        <w:rPr>
          <w:sz w:val="24"/>
          <w:lang w:val="bg-BG"/>
        </w:rPr>
        <w:t>OВ L 209, 14.6.2021 г., стр. 1.</w:t>
      </w:r>
    </w:p>
  </w:footnote>
  <w:footnote w:id="2">
    <w:p w:rsidR="00C35104" w:rsidRPr="00EC1341" w:rsidRDefault="00C35104" w:rsidP="00EC1341">
      <w:pPr>
        <w:pStyle w:val="FootnoteText"/>
        <w:ind w:left="567" w:hanging="567"/>
        <w:rPr>
          <w:sz w:val="24"/>
          <w:lang w:val="bg-BG"/>
        </w:rPr>
      </w:pPr>
      <w:r w:rsidRPr="00EC1341">
        <w:rPr>
          <w:rStyle w:val="FootnoteReference"/>
          <w:sz w:val="24"/>
          <w:lang w:val="bg-BG"/>
        </w:rPr>
        <w:footnoteRef/>
      </w:r>
      <w:r w:rsidR="00EC1341" w:rsidRPr="00EC1341">
        <w:rPr>
          <w:sz w:val="24"/>
          <w:lang w:val="bg-BG"/>
        </w:rPr>
        <w:t xml:space="preserve"> </w:t>
      </w:r>
      <w:r w:rsidR="00EC1341" w:rsidRPr="00EC1341">
        <w:rPr>
          <w:sz w:val="24"/>
          <w:lang w:val="bg-BG"/>
        </w:rPr>
        <w:tab/>
      </w:r>
      <w:r w:rsidRPr="00EC1341">
        <w:rPr>
          <w:sz w:val="24"/>
          <w:lang w:val="bg-BG"/>
        </w:rPr>
        <w:t>ОВ С 143, 10.6.2008 г</w:t>
      </w:r>
      <w:r w:rsidR="00D42988">
        <w:rPr>
          <w:sz w:val="24"/>
          <w:lang w:val="bg-BG"/>
        </w:rPr>
        <w:t>.</w:t>
      </w:r>
      <w:r w:rsidRPr="00EC1341">
        <w:rPr>
          <w:sz w:val="24"/>
          <w:lang w:val="bg-BG"/>
        </w:rPr>
        <w:t>, стр. 1.</w:t>
      </w:r>
    </w:p>
  </w:footnote>
  <w:footnote w:id="3">
    <w:p w:rsidR="00C35104" w:rsidRPr="00EC1341" w:rsidRDefault="00C35104" w:rsidP="00EC1341">
      <w:pPr>
        <w:pStyle w:val="FootnoteText"/>
        <w:ind w:left="567" w:hanging="567"/>
        <w:rPr>
          <w:sz w:val="24"/>
          <w:lang w:val="bg-BG"/>
        </w:rPr>
      </w:pPr>
      <w:r w:rsidRPr="00EC1341">
        <w:rPr>
          <w:rStyle w:val="FootnoteReference"/>
          <w:sz w:val="24"/>
          <w:lang w:val="bg-BG"/>
        </w:rPr>
        <w:footnoteRef/>
      </w:r>
      <w:r w:rsidR="00EC1341" w:rsidRPr="00EC1341">
        <w:rPr>
          <w:sz w:val="24"/>
          <w:lang w:val="bg-BG"/>
        </w:rPr>
        <w:t xml:space="preserve"> </w:t>
      </w:r>
      <w:r w:rsidR="00EC1341" w:rsidRPr="00EC1341">
        <w:rPr>
          <w:sz w:val="24"/>
          <w:lang w:val="bg-BG"/>
        </w:rPr>
        <w:tab/>
      </w:r>
      <w:r w:rsidRPr="00EC1341">
        <w:rPr>
          <w:sz w:val="24"/>
          <w:lang w:val="bg-BG"/>
        </w:rPr>
        <w:t>OВ L 193, 30.7.2018 г., стр. 1.</w:t>
      </w:r>
    </w:p>
  </w:footnote>
  <w:footnote w:id="4">
    <w:p w:rsidR="00C35104" w:rsidRPr="00EC1341" w:rsidRDefault="00C35104" w:rsidP="00EC1341">
      <w:pPr>
        <w:pStyle w:val="FootnoteText"/>
        <w:ind w:left="567" w:hanging="567"/>
        <w:rPr>
          <w:sz w:val="24"/>
          <w:lang w:val="bg-BG"/>
        </w:rPr>
      </w:pPr>
      <w:r w:rsidRPr="00EC1341">
        <w:rPr>
          <w:rStyle w:val="FootnoteReference"/>
          <w:sz w:val="24"/>
          <w:lang w:val="bg-BG"/>
        </w:rPr>
        <w:footnoteRef/>
      </w:r>
      <w:r w:rsidR="00EC1341" w:rsidRPr="00EC1341">
        <w:rPr>
          <w:sz w:val="24"/>
          <w:lang w:val="bg-BG"/>
        </w:rPr>
        <w:t xml:space="preserve"> </w:t>
      </w:r>
      <w:r w:rsidR="00EC1341" w:rsidRPr="00EC1341">
        <w:rPr>
          <w:sz w:val="24"/>
          <w:lang w:val="bg-BG"/>
        </w:rPr>
        <w:tab/>
      </w:r>
      <w:r w:rsidRPr="00EC1341">
        <w:rPr>
          <w:sz w:val="24"/>
          <w:lang w:val="bg-BG"/>
        </w:rPr>
        <w:t>OВ L 97, 30.3.1998 г., стр. 2.</w:t>
      </w:r>
    </w:p>
  </w:footnote>
  <w:footnote w:id="5">
    <w:p w:rsidR="00C35104" w:rsidRPr="00EC1341" w:rsidRDefault="00C35104" w:rsidP="00EC1341">
      <w:pPr>
        <w:pStyle w:val="FootnoteText"/>
        <w:ind w:left="567" w:hanging="567"/>
        <w:rPr>
          <w:sz w:val="24"/>
          <w:lang w:val="bg-BG"/>
        </w:rPr>
      </w:pPr>
      <w:r w:rsidRPr="00EC1341">
        <w:rPr>
          <w:rStyle w:val="FootnoteReference"/>
          <w:sz w:val="24"/>
          <w:lang w:val="bg-BG"/>
        </w:rPr>
        <w:footnoteRef/>
      </w:r>
      <w:r w:rsidR="00EC1341" w:rsidRPr="00EC1341">
        <w:rPr>
          <w:sz w:val="24"/>
          <w:lang w:val="bg-BG"/>
        </w:rPr>
        <w:t xml:space="preserve"> </w:t>
      </w:r>
      <w:r w:rsidR="00EC1341" w:rsidRPr="00EC1341">
        <w:rPr>
          <w:sz w:val="24"/>
          <w:lang w:val="bg-BG"/>
        </w:rPr>
        <w:tab/>
      </w:r>
      <w:r w:rsidRPr="00EC1341">
        <w:rPr>
          <w:sz w:val="24"/>
          <w:lang w:val="bg-BG"/>
        </w:rPr>
        <w:t>ОВ C, C/2023/407, 23.11.2023</w:t>
      </w:r>
      <w:r w:rsidR="00D42988">
        <w:rPr>
          <w:sz w:val="24"/>
          <w:lang w:val="bg-BG"/>
        </w:rPr>
        <w:t> г.</w:t>
      </w:r>
      <w:r w:rsidRPr="00EC1341">
        <w:rPr>
          <w:sz w:val="24"/>
          <w:lang w:val="bg-BG"/>
        </w:rPr>
        <w:t xml:space="preserve">, ELI: </w:t>
      </w:r>
      <w:hyperlink r:id="rId1" w:history="1">
        <w:r w:rsidR="00D42988" w:rsidRPr="0041031C">
          <w:rPr>
            <w:rStyle w:val="Hyperlink"/>
            <w:sz w:val="24"/>
            <w:lang w:val="bg-BG"/>
          </w:rPr>
          <w:t>https://eur-lex.europa.eu/eli/C/2023/407/oj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3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3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3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3/2024"/>
    <w:docVar w:name="dvlangue" w:val="BG"/>
    <w:docVar w:name="dvnumam" w:val="0"/>
    <w:docVar w:name="dvpe" w:val="759.058"/>
    <w:docVar w:name="dvtitre" w:val="Резолюция на Европейския парламент от ... 2024 г. относно приемането на специалната мярка в полза на Тунис за 2023 г.(2024/2573(RSP))"/>
  </w:docVars>
  <w:rsids>
    <w:rsidRoot w:val="00570D5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320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A5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0D5E"/>
    <w:rsid w:val="005C2568"/>
    <w:rsid w:val="006037C0"/>
    <w:rsid w:val="006631B6"/>
    <w:rsid w:val="00680577"/>
    <w:rsid w:val="006F74FA"/>
    <w:rsid w:val="00731ADD"/>
    <w:rsid w:val="00734777"/>
    <w:rsid w:val="00744ECF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5104"/>
    <w:rsid w:val="00C61C0C"/>
    <w:rsid w:val="00C941CB"/>
    <w:rsid w:val="00CC2357"/>
    <w:rsid w:val="00CF071A"/>
    <w:rsid w:val="00D058B8"/>
    <w:rsid w:val="00D4298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34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39DB44-D190-4C09-830D-7700EF773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35104"/>
    <w:pPr>
      <w:spacing w:before="480" w:after="240"/>
    </w:pPr>
  </w:style>
  <w:style w:type="paragraph" w:customStyle="1" w:styleId="NormalHanging12a">
    <w:name w:val="NormalHanging12a"/>
    <w:basedOn w:val="Normal"/>
    <w:rsid w:val="00C35104"/>
    <w:pPr>
      <w:spacing w:after="240"/>
      <w:ind w:left="567" w:hanging="567"/>
    </w:pPr>
  </w:style>
  <w:style w:type="character" w:styleId="Hyperlink">
    <w:name w:val="Hyperlink"/>
    <w:basedOn w:val="DefaultParagraphFont"/>
    <w:rsid w:val="00D429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3/4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A7081-6C87-4A97-BF24-2DD9DB835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1897</Words>
  <Characters>10725</Characters>
  <Application>Microsoft Office Word</Application>
  <DocSecurity>0</DocSecurity>
  <Lines>369</Lines>
  <Paragraphs>221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DIMITROV Cvetan</cp:lastModifiedBy>
  <cp:revision>2</cp:revision>
  <cp:lastPrinted>2004-11-19T15:42:00Z</cp:lastPrinted>
  <dcterms:created xsi:type="dcterms:W3CDTF">2024-04-16T08:56:00Z</dcterms:created>
  <dcterms:modified xsi:type="dcterms:W3CDTF">2024-04-16T08:56:00Z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B9-0173/2024</vt:lpwstr>
  </property>
  <property fmtid="{D5CDD505-2E9C-101B-9397-08002B2CF9AE}" pid="4" name="&lt;Type&gt;">
    <vt:lpwstr>RR</vt:lpwstr>
  </property>
</Properties>
</file>