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4700" w:rsidTr="0010095E">
        <w:trPr>
          <w:trHeight w:hRule="exact" w:val="1418"/>
        </w:trPr>
        <w:tc>
          <w:tcPr>
            <w:tcW w:w="6804" w:type="dxa"/>
            <w:shd w:val="clear" w:color="auto" w:fill="auto"/>
            <w:vAlign w:val="center"/>
          </w:tcPr>
          <w:p w:rsidR="00751A4A" w:rsidRPr="00694700" w:rsidRDefault="00CD05F0" w:rsidP="0010095E">
            <w:pPr>
              <w:pStyle w:val="EPName"/>
            </w:pPr>
            <w:r w:rsidRPr="00694700">
              <w:t>Europäisches Parlament</w:t>
            </w:r>
          </w:p>
          <w:p w:rsidR="00751A4A" w:rsidRPr="00694700" w:rsidRDefault="00817416" w:rsidP="00756632">
            <w:pPr>
              <w:pStyle w:val="EPTerm"/>
              <w:rPr>
                <w:rStyle w:val="HideTWBExt"/>
                <w:noProof w:val="0"/>
                <w:vanish w:val="0"/>
                <w:color w:val="auto"/>
              </w:rPr>
            </w:pPr>
            <w:r w:rsidRPr="00E0686E">
              <w:t>2019</w:t>
            </w:r>
            <w:r w:rsidRPr="00694700">
              <w:t>-</w:t>
            </w:r>
            <w:r w:rsidRPr="00E0686E">
              <w:t>2024</w:t>
            </w:r>
          </w:p>
        </w:tc>
        <w:tc>
          <w:tcPr>
            <w:tcW w:w="2268" w:type="dxa"/>
            <w:shd w:val="clear" w:color="auto" w:fill="auto"/>
          </w:tcPr>
          <w:p w:rsidR="00751A4A" w:rsidRPr="00694700" w:rsidRDefault="00187494" w:rsidP="0010095E">
            <w:pPr>
              <w:pStyle w:val="EPLogo"/>
            </w:pPr>
            <w:r w:rsidRPr="00694700">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94700" w:rsidRDefault="00D058B8" w:rsidP="004C5D52">
      <w:pPr>
        <w:pStyle w:val="LineTop"/>
      </w:pPr>
    </w:p>
    <w:p w:rsidR="00680577" w:rsidRPr="00694700" w:rsidRDefault="00CD05F0" w:rsidP="00680577">
      <w:pPr>
        <w:pStyle w:val="EPBodyTA1"/>
      </w:pPr>
      <w:r w:rsidRPr="00694700">
        <w:t>ANGENOMMENE TEXTE</w:t>
      </w:r>
    </w:p>
    <w:p w:rsidR="00D058B8" w:rsidRPr="00694700" w:rsidRDefault="00D058B8" w:rsidP="00D058B8">
      <w:pPr>
        <w:pStyle w:val="LineBottom"/>
      </w:pPr>
    </w:p>
    <w:p w:rsidR="00CD05F0" w:rsidRPr="00694700" w:rsidRDefault="00CD05F0" w:rsidP="00CD05F0">
      <w:pPr>
        <w:pStyle w:val="ATHeading1"/>
      </w:pPr>
      <w:bookmarkStart w:id="0" w:name="TANumber"/>
      <w:r w:rsidRPr="00694700">
        <w:t>P</w:t>
      </w:r>
      <w:r w:rsidRPr="00E0686E">
        <w:t>9</w:t>
      </w:r>
      <w:r w:rsidRPr="00694700">
        <w:t>_TA(</w:t>
      </w:r>
      <w:r w:rsidRPr="00E0686E">
        <w:t>2024</w:t>
      </w:r>
      <w:r w:rsidRPr="00694700">
        <w:t>)</w:t>
      </w:r>
      <w:bookmarkEnd w:id="0"/>
      <w:r w:rsidR="00BD70CB">
        <w:t>0175</w:t>
      </w:r>
      <w:bookmarkStart w:id="1" w:name="_GoBack"/>
      <w:bookmarkEnd w:id="1"/>
    </w:p>
    <w:p w:rsidR="00CD05F0" w:rsidRPr="00694700" w:rsidRDefault="00CD05F0" w:rsidP="00CD05F0">
      <w:pPr>
        <w:pStyle w:val="ATHeading2"/>
      </w:pPr>
      <w:bookmarkStart w:id="2" w:name="title"/>
      <w:r w:rsidRPr="00694700">
        <w:t xml:space="preserve">Entschließungsanträge - Annahme der Sondermaßnahme zugunsten Tunesiens für </w:t>
      </w:r>
      <w:r w:rsidRPr="00E0686E">
        <w:t>2023</w:t>
      </w:r>
      <w:bookmarkEnd w:id="2"/>
    </w:p>
    <w:p w:rsidR="00CD05F0" w:rsidRPr="00694700" w:rsidRDefault="00CD05F0" w:rsidP="00CD05F0">
      <w:pPr>
        <w:rPr>
          <w:i/>
          <w:vanish/>
        </w:rPr>
      </w:pPr>
      <w:r w:rsidRPr="00694700">
        <w:rPr>
          <w:i/>
        </w:rPr>
        <w:fldChar w:fldCharType="begin"/>
      </w:r>
      <w:r w:rsidRPr="00694700">
        <w:rPr>
          <w:i/>
        </w:rPr>
        <w:instrText xml:space="preserve"> TC"(</w:instrText>
      </w:r>
      <w:bookmarkStart w:id="3" w:name="DocNumber"/>
      <w:r w:rsidRPr="00694700">
        <w:rPr>
          <w:i/>
        </w:rPr>
        <w:instrText>B</w:instrText>
      </w:r>
      <w:r w:rsidRPr="00E0686E">
        <w:rPr>
          <w:i/>
        </w:rPr>
        <w:instrText>9</w:instrText>
      </w:r>
      <w:r w:rsidRPr="00694700">
        <w:rPr>
          <w:i/>
        </w:rPr>
        <w:instrText>-</w:instrText>
      </w:r>
      <w:r w:rsidRPr="00E0686E">
        <w:rPr>
          <w:i/>
        </w:rPr>
        <w:instrText>0173</w:instrText>
      </w:r>
      <w:r w:rsidRPr="00694700">
        <w:rPr>
          <w:i/>
        </w:rPr>
        <w:instrText>/</w:instrText>
      </w:r>
      <w:r w:rsidRPr="00E0686E">
        <w:rPr>
          <w:i/>
        </w:rPr>
        <w:instrText>2024</w:instrText>
      </w:r>
      <w:bookmarkEnd w:id="3"/>
      <w:r w:rsidRPr="00694700">
        <w:rPr>
          <w:i/>
        </w:rPr>
        <w:instrText>)"\l</w:instrText>
      </w:r>
      <w:r w:rsidRPr="00E0686E">
        <w:rPr>
          <w:i/>
        </w:rPr>
        <w:instrText>3</w:instrText>
      </w:r>
      <w:r w:rsidRPr="00694700">
        <w:rPr>
          <w:i/>
        </w:rPr>
        <w:instrText xml:space="preserve"> \n&gt; \* MERGEFORMAT </w:instrText>
      </w:r>
      <w:r w:rsidRPr="00694700">
        <w:rPr>
          <w:i/>
        </w:rPr>
        <w:fldChar w:fldCharType="end"/>
      </w:r>
    </w:p>
    <w:p w:rsidR="00CD05F0" w:rsidRPr="00694700" w:rsidRDefault="00CD05F0" w:rsidP="00CD05F0">
      <w:pPr>
        <w:rPr>
          <w:vanish/>
        </w:rPr>
      </w:pPr>
      <w:bookmarkStart w:id="4" w:name="PE"/>
      <w:r w:rsidRPr="00694700">
        <w:rPr>
          <w:vanish/>
        </w:rPr>
        <w:t>PE</w:t>
      </w:r>
      <w:r w:rsidRPr="00E0686E">
        <w:rPr>
          <w:vanish/>
        </w:rPr>
        <w:t>759</w:t>
      </w:r>
      <w:r w:rsidRPr="00694700">
        <w:rPr>
          <w:vanish/>
        </w:rPr>
        <w:t>.</w:t>
      </w:r>
      <w:r w:rsidRPr="00E0686E">
        <w:rPr>
          <w:vanish/>
        </w:rPr>
        <w:t>058</w:t>
      </w:r>
      <w:bookmarkEnd w:id="4"/>
    </w:p>
    <w:p w:rsidR="00CD05F0" w:rsidRPr="00694700" w:rsidRDefault="00CD05F0" w:rsidP="00CD05F0">
      <w:pPr>
        <w:pStyle w:val="ATHeading3"/>
      </w:pPr>
      <w:bookmarkStart w:id="5" w:name="Sujet"/>
      <w:r w:rsidRPr="00694700">
        <w:t xml:space="preserve">Entschließung des Europäischen Parlaments vom </w:t>
      </w:r>
      <w:r w:rsidRPr="00E0686E">
        <w:t>14</w:t>
      </w:r>
      <w:r w:rsidRPr="00694700">
        <w:t xml:space="preserve">. März </w:t>
      </w:r>
      <w:r w:rsidRPr="00E0686E">
        <w:t>2024</w:t>
      </w:r>
      <w:r w:rsidRPr="00694700">
        <w:t xml:space="preserve"> zu der Annahme der Sondermaßnahme zugunsten Tunesiens für </w:t>
      </w:r>
      <w:r w:rsidRPr="00E0686E">
        <w:t>2023</w:t>
      </w:r>
      <w:bookmarkEnd w:id="5"/>
      <w:r w:rsidRPr="00694700">
        <w:t xml:space="preserve"> </w:t>
      </w:r>
      <w:bookmarkStart w:id="6" w:name="References"/>
      <w:r w:rsidRPr="00694700">
        <w:t>(</w:t>
      </w:r>
      <w:r w:rsidRPr="00E0686E">
        <w:t>2024</w:t>
      </w:r>
      <w:r w:rsidRPr="00694700">
        <w:t>/</w:t>
      </w:r>
      <w:r w:rsidRPr="00E0686E">
        <w:t>2573</w:t>
      </w:r>
      <w:r w:rsidRPr="00694700">
        <w:t>(RSP))</w:t>
      </w:r>
      <w:bookmarkEnd w:id="6"/>
    </w:p>
    <w:p w:rsidR="0068019C" w:rsidRPr="00694700" w:rsidRDefault="0068019C" w:rsidP="0068019C">
      <w:pPr>
        <w:pStyle w:val="EPComma"/>
      </w:pPr>
      <w:bookmarkStart w:id="7" w:name="TextBodyBegin"/>
      <w:bookmarkEnd w:id="7"/>
      <w:r w:rsidRPr="00694700">
        <w:rPr>
          <w:i/>
        </w:rPr>
        <w:t>Das Europäische Parlament</w:t>
      </w:r>
      <w:r w:rsidRPr="00694700">
        <w:t>,</w:t>
      </w:r>
    </w:p>
    <w:p w:rsidR="0068019C" w:rsidRPr="00694700" w:rsidRDefault="0068019C" w:rsidP="0068019C">
      <w:pPr>
        <w:pStyle w:val="NormalHanging12a"/>
      </w:pPr>
      <w:r w:rsidRPr="00694700">
        <w:t>–</w:t>
      </w:r>
      <w:r w:rsidRPr="00694700">
        <w:tab/>
        <w:t>gestützt auf den Vertrag über die Europäische Union (EUV), insbesondere auf Artikel </w:t>
      </w:r>
      <w:r w:rsidRPr="00E0686E">
        <w:t>14</w:t>
      </w:r>
      <w:r w:rsidRPr="00694700">
        <w:t>,</w:t>
      </w:r>
    </w:p>
    <w:p w:rsidR="0068019C" w:rsidRPr="00694700" w:rsidRDefault="0068019C" w:rsidP="0068019C">
      <w:pPr>
        <w:pStyle w:val="NormalHanging12a"/>
      </w:pPr>
      <w:r w:rsidRPr="00694700">
        <w:t>–</w:t>
      </w:r>
      <w:r w:rsidRPr="00694700">
        <w:tab/>
        <w:t>unter Hinweis auf den Vertrag über die Arbeitsweise der Europäischen Union (AEUV),</w:t>
      </w:r>
    </w:p>
    <w:p w:rsidR="0068019C" w:rsidRPr="00694700" w:rsidRDefault="0068019C" w:rsidP="0068019C">
      <w:pPr>
        <w:pStyle w:val="NormalHanging12a"/>
      </w:pPr>
      <w:r w:rsidRPr="00694700">
        <w:t>–</w:t>
      </w:r>
      <w:r w:rsidRPr="00694700">
        <w:tab/>
        <w:t xml:space="preserve">unter Hinweis auf die Verordnung (EU) </w:t>
      </w:r>
      <w:r w:rsidRPr="00E0686E">
        <w:t>2021</w:t>
      </w:r>
      <w:r w:rsidRPr="00694700">
        <w:t>/</w:t>
      </w:r>
      <w:r w:rsidRPr="00E0686E">
        <w:t>947</w:t>
      </w:r>
      <w:r w:rsidRPr="00694700">
        <w:t xml:space="preserve"> des Europäischen Parlaments und des Rates vom </w:t>
      </w:r>
      <w:r w:rsidRPr="00E0686E">
        <w:t>9</w:t>
      </w:r>
      <w:r w:rsidRPr="00694700">
        <w:t xml:space="preserve">. Juni </w:t>
      </w:r>
      <w:r w:rsidRPr="00E0686E">
        <w:t>2021</w:t>
      </w:r>
      <w:r w:rsidRPr="00694700">
        <w:t xml:space="preserve"> zur Schaffung des Instruments für Nachbarschaft, Entwicklungszusammenarbeit und internationale Zusammenarbeit – Europa in der Welt, zur Änderung und Aufhebung des Beschlusses Nr. </w:t>
      </w:r>
      <w:r w:rsidRPr="00E0686E">
        <w:t>466</w:t>
      </w:r>
      <w:r w:rsidRPr="00694700">
        <w:t>/</w:t>
      </w:r>
      <w:r w:rsidRPr="00E0686E">
        <w:t>2014</w:t>
      </w:r>
      <w:r w:rsidRPr="00694700">
        <w:t xml:space="preserve">/EU des Europäischen Parlaments und des Rates und zur Aufhebung der Verordnung (EU) </w:t>
      </w:r>
      <w:r w:rsidRPr="00E0686E">
        <w:t>2017</w:t>
      </w:r>
      <w:r w:rsidRPr="00694700">
        <w:t>/</w:t>
      </w:r>
      <w:r w:rsidRPr="00E0686E">
        <w:t>1601</w:t>
      </w:r>
      <w:r w:rsidRPr="00694700">
        <w:t xml:space="preserve"> des Europäischen Parlaments und des Rates und der Verordnung (EG, Euratom) Nr. </w:t>
      </w:r>
      <w:r w:rsidRPr="00E0686E">
        <w:t>480</w:t>
      </w:r>
      <w:r w:rsidRPr="00694700">
        <w:t>/</w:t>
      </w:r>
      <w:r w:rsidRPr="00E0686E">
        <w:t>2009</w:t>
      </w:r>
      <w:r w:rsidRPr="00694700">
        <w:t xml:space="preserve"> des Rates</w:t>
      </w:r>
      <w:r w:rsidRPr="00694700">
        <w:rPr>
          <w:rStyle w:val="FootnoteReference"/>
          <w:szCs w:val="24"/>
        </w:rPr>
        <w:footnoteReference w:id="1"/>
      </w:r>
      <w:r w:rsidRPr="00694700">
        <w:t xml:space="preserve"> (Verordnung über das Instrument „NDICI/Europa in der Welt“),</w:t>
      </w:r>
    </w:p>
    <w:p w:rsidR="0068019C" w:rsidRPr="00694700" w:rsidRDefault="0068019C" w:rsidP="0068019C">
      <w:pPr>
        <w:pStyle w:val="NormalHanging12a"/>
      </w:pPr>
      <w:r w:rsidRPr="00694700">
        <w:t>–</w:t>
      </w:r>
      <w:r w:rsidRPr="00694700">
        <w:tab/>
        <w:t xml:space="preserve">unter Hinweis auf die Vereinbarung zwischen dem Europäischen Parlament und der Kommission vom </w:t>
      </w:r>
      <w:r w:rsidRPr="00E0686E">
        <w:t>3</w:t>
      </w:r>
      <w:r w:rsidRPr="00694700">
        <w:t xml:space="preserve">. Juni </w:t>
      </w:r>
      <w:r w:rsidRPr="00E0686E">
        <w:t>2008</w:t>
      </w:r>
      <w:r w:rsidRPr="00694700">
        <w:t xml:space="preserve"> über die Modalitäten der Anwendung des Beschlusses </w:t>
      </w:r>
      <w:r w:rsidRPr="00E0686E">
        <w:t>1999</w:t>
      </w:r>
      <w:r w:rsidRPr="00694700">
        <w:t>/</w:t>
      </w:r>
      <w:r w:rsidRPr="00E0686E">
        <w:t>468</w:t>
      </w:r>
      <w:r w:rsidRPr="00694700">
        <w:t xml:space="preserve">/EG des Rates zur Festlegung der Modalitäten für die Ausübung der der Kommission übertragenen Durchführungsbefugnisse, in der Fassung des Beschlusses </w:t>
      </w:r>
      <w:r w:rsidRPr="00E0686E">
        <w:t>2006</w:t>
      </w:r>
      <w:r w:rsidRPr="00694700">
        <w:t>/</w:t>
      </w:r>
      <w:r w:rsidRPr="00E0686E">
        <w:t>512</w:t>
      </w:r>
      <w:r w:rsidRPr="00694700">
        <w:t>/EG</w:t>
      </w:r>
      <w:r w:rsidRPr="00694700">
        <w:rPr>
          <w:rStyle w:val="FootnoteReference"/>
        </w:rPr>
        <w:footnoteReference w:id="2"/>
      </w:r>
      <w:r w:rsidRPr="00694700">
        <w:t>,</w:t>
      </w:r>
    </w:p>
    <w:p w:rsidR="0068019C" w:rsidRPr="00694700" w:rsidRDefault="0068019C" w:rsidP="0068019C">
      <w:pPr>
        <w:pStyle w:val="NormalHanging12a"/>
      </w:pPr>
      <w:r w:rsidRPr="00694700">
        <w:t>–</w:t>
      </w:r>
      <w:r w:rsidRPr="00694700">
        <w:tab/>
        <w:t xml:space="preserve">unter Hinweis auf die Verordnung (EU, Euratom) </w:t>
      </w:r>
      <w:r w:rsidRPr="00E0686E">
        <w:t>2018</w:t>
      </w:r>
      <w:r w:rsidRPr="00694700">
        <w:t>/</w:t>
      </w:r>
      <w:r w:rsidRPr="00E0686E">
        <w:t>1046</w:t>
      </w:r>
      <w:r w:rsidRPr="00694700">
        <w:t xml:space="preserve"> des Europäischen Parlaments und des Rates vom </w:t>
      </w:r>
      <w:r w:rsidRPr="00E0686E">
        <w:t>18</w:t>
      </w:r>
      <w:r w:rsidRPr="00694700">
        <w:t xml:space="preserve">. Juli </w:t>
      </w:r>
      <w:r w:rsidRPr="00E0686E">
        <w:t>2018</w:t>
      </w:r>
      <w:r w:rsidRPr="00694700">
        <w:t xml:space="preserve"> über die Haushaltsordnung für den Gesamthaushaltsplan der Union, zur Änderung der Verordnungen (EU) Nr. </w:t>
      </w:r>
      <w:r w:rsidRPr="00E0686E">
        <w:t>1296</w:t>
      </w:r>
      <w:r w:rsidRPr="00694700">
        <w:t>/</w:t>
      </w:r>
      <w:r w:rsidRPr="00E0686E">
        <w:t>2013</w:t>
      </w:r>
      <w:r w:rsidRPr="00694700">
        <w:t>, (EU) Nr. </w:t>
      </w:r>
      <w:r w:rsidRPr="00E0686E">
        <w:t>1301</w:t>
      </w:r>
      <w:r w:rsidRPr="00694700">
        <w:t>/</w:t>
      </w:r>
      <w:r w:rsidRPr="00E0686E">
        <w:t>2013</w:t>
      </w:r>
      <w:r w:rsidRPr="00694700">
        <w:t>, (EU) Nr. </w:t>
      </w:r>
      <w:r w:rsidRPr="00E0686E">
        <w:t>1303</w:t>
      </w:r>
      <w:r w:rsidRPr="00694700">
        <w:t>/</w:t>
      </w:r>
      <w:r w:rsidRPr="00E0686E">
        <w:t>2013</w:t>
      </w:r>
      <w:r w:rsidRPr="00694700">
        <w:t>, (EU) Nr. </w:t>
      </w:r>
      <w:r w:rsidRPr="00E0686E">
        <w:t>1304</w:t>
      </w:r>
      <w:r w:rsidRPr="00694700">
        <w:t>/</w:t>
      </w:r>
      <w:r w:rsidRPr="00E0686E">
        <w:t>2013</w:t>
      </w:r>
      <w:r w:rsidRPr="00694700">
        <w:t>, (EU) Nr. </w:t>
      </w:r>
      <w:r w:rsidRPr="00E0686E">
        <w:t>1309</w:t>
      </w:r>
      <w:r w:rsidRPr="00694700">
        <w:t>/</w:t>
      </w:r>
      <w:r w:rsidRPr="00E0686E">
        <w:t>2013</w:t>
      </w:r>
      <w:r w:rsidRPr="00694700">
        <w:t>, (EU) Nr. </w:t>
      </w:r>
      <w:r w:rsidRPr="00E0686E">
        <w:t>1316</w:t>
      </w:r>
      <w:r w:rsidRPr="00694700">
        <w:t>/</w:t>
      </w:r>
      <w:r w:rsidRPr="00E0686E">
        <w:t>2013</w:t>
      </w:r>
      <w:r w:rsidRPr="00694700">
        <w:t>, (EU) Nr. </w:t>
      </w:r>
      <w:r w:rsidRPr="00E0686E">
        <w:t>223</w:t>
      </w:r>
      <w:r w:rsidRPr="00694700">
        <w:t>/</w:t>
      </w:r>
      <w:r w:rsidRPr="00E0686E">
        <w:t>2014</w:t>
      </w:r>
      <w:r w:rsidRPr="00694700">
        <w:t>, (EU) Nr. </w:t>
      </w:r>
      <w:r w:rsidRPr="00E0686E">
        <w:t>283</w:t>
      </w:r>
      <w:r w:rsidRPr="00694700">
        <w:t>/</w:t>
      </w:r>
      <w:r w:rsidRPr="00E0686E">
        <w:t>2014</w:t>
      </w:r>
      <w:r w:rsidRPr="00694700">
        <w:t xml:space="preserve"> und des Beschlusses </w:t>
      </w:r>
      <w:r w:rsidRPr="00694700">
        <w:lastRenderedPageBreak/>
        <w:t>Nr. </w:t>
      </w:r>
      <w:r w:rsidRPr="00E0686E">
        <w:t>541</w:t>
      </w:r>
      <w:r w:rsidRPr="00694700">
        <w:t>/</w:t>
      </w:r>
      <w:r w:rsidRPr="00E0686E">
        <w:t>2014</w:t>
      </w:r>
      <w:r w:rsidRPr="00694700">
        <w:t>/EU sowie zur Aufhebung der Verordnung (EU, Euratom) Nr. </w:t>
      </w:r>
      <w:r w:rsidRPr="00E0686E">
        <w:t>966</w:t>
      </w:r>
      <w:r w:rsidRPr="00694700">
        <w:t>/</w:t>
      </w:r>
      <w:r w:rsidRPr="00E0686E">
        <w:t>2012</w:t>
      </w:r>
      <w:r w:rsidRPr="00694700">
        <w:rPr>
          <w:rStyle w:val="FootnoteReference"/>
          <w:color w:val="000000"/>
          <w:szCs w:val="24"/>
        </w:rPr>
        <w:footnoteReference w:id="3"/>
      </w:r>
      <w:r w:rsidRPr="00694700">
        <w:t xml:space="preserve"> (Haushaltsordnung),</w:t>
      </w:r>
    </w:p>
    <w:p w:rsidR="0068019C" w:rsidRPr="00694700" w:rsidRDefault="0068019C" w:rsidP="0068019C">
      <w:pPr>
        <w:pStyle w:val="NormalHanging12a"/>
      </w:pPr>
      <w:r w:rsidRPr="00694700">
        <w:t>–</w:t>
      </w:r>
      <w:r w:rsidRPr="00694700">
        <w:tab/>
        <w:t>unter Hinweis auf das Europa-Mittelmeer-Abkommen zur Gründung einer Assoziation zwischen der Europäischen Gemeinschaft und ihren Mitgliedstaaten einerseits und der Tunesischen Republik andererseits</w:t>
      </w:r>
      <w:r w:rsidRPr="00694700">
        <w:rPr>
          <w:rStyle w:val="FootnoteReference"/>
        </w:rPr>
        <w:footnoteReference w:id="4"/>
      </w:r>
      <w:r w:rsidRPr="00694700">
        <w:t>,</w:t>
      </w:r>
    </w:p>
    <w:p w:rsidR="0068019C" w:rsidRPr="00694700" w:rsidRDefault="0068019C" w:rsidP="0068019C">
      <w:pPr>
        <w:pStyle w:val="NormalHanging12a"/>
      </w:pPr>
      <w:r w:rsidRPr="00694700">
        <w:t>–</w:t>
      </w:r>
      <w:r w:rsidRPr="00694700">
        <w:tab/>
        <w:t xml:space="preserve">unter Hinweis auf seine früheren Entschließungen zu Tunesien, insbesondere die Entschließung vom </w:t>
      </w:r>
      <w:r w:rsidRPr="00E0686E">
        <w:t>16</w:t>
      </w:r>
      <w:r w:rsidRPr="00694700">
        <w:t xml:space="preserve">. März </w:t>
      </w:r>
      <w:r w:rsidRPr="00E0686E">
        <w:t>2023</w:t>
      </w:r>
      <w:r w:rsidRPr="00694700">
        <w:t xml:space="preserve"> zu den jüngsten Angriffen auf das Recht auf freie Meinungsäußerung, die Vereinigungsfreiheit und Gewerkschaften in Tunesien, insbesondere zu dem Fall des Journalisten Noureddine </w:t>
      </w:r>
      <w:proofErr w:type="spellStart"/>
      <w:r w:rsidRPr="00694700">
        <w:t>Boutar</w:t>
      </w:r>
      <w:proofErr w:type="spellEnd"/>
      <w:r w:rsidRPr="00694700">
        <w:rPr>
          <w:rStyle w:val="FootnoteReference"/>
        </w:rPr>
        <w:footnoteReference w:id="5"/>
      </w:r>
      <w:r w:rsidRPr="00694700">
        <w:t>,</w:t>
      </w:r>
    </w:p>
    <w:p w:rsidR="0068019C" w:rsidRPr="00694700" w:rsidRDefault="0068019C" w:rsidP="0068019C">
      <w:pPr>
        <w:pStyle w:val="NormalHanging12a"/>
      </w:pPr>
      <w:r w:rsidRPr="00694700">
        <w:t>–</w:t>
      </w:r>
      <w:r w:rsidRPr="00694700">
        <w:tab/>
        <w:t xml:space="preserve">unter Hinweis auf die Presseerklärung von Ursula von der Leyen, Präsidentin der Kommission, </w:t>
      </w:r>
      <w:proofErr w:type="spellStart"/>
      <w:r w:rsidRPr="00694700">
        <w:t>Giorgia</w:t>
      </w:r>
      <w:proofErr w:type="spellEnd"/>
      <w:r w:rsidRPr="00694700">
        <w:t xml:space="preserve"> </w:t>
      </w:r>
      <w:proofErr w:type="spellStart"/>
      <w:r w:rsidRPr="00694700">
        <w:t>Meloni</w:t>
      </w:r>
      <w:proofErr w:type="spellEnd"/>
      <w:r w:rsidRPr="00694700">
        <w:t xml:space="preserve">, Ministerpräsidentin Italiens, Mark Rutte, Ministerpräsident der Niederlande, und Kais Saied, Präsident Tunesiens, vom </w:t>
      </w:r>
      <w:r w:rsidRPr="00E0686E">
        <w:t>11</w:t>
      </w:r>
      <w:r w:rsidRPr="00694700">
        <w:t xml:space="preserve">. Juni </w:t>
      </w:r>
      <w:r w:rsidRPr="00E0686E">
        <w:t>2023</w:t>
      </w:r>
      <w:r w:rsidRPr="00694700">
        <w:t>,</w:t>
      </w:r>
    </w:p>
    <w:p w:rsidR="0068019C" w:rsidRPr="00694700" w:rsidRDefault="0068019C" w:rsidP="0068019C">
      <w:pPr>
        <w:pStyle w:val="NormalHanging12a"/>
      </w:pPr>
      <w:r w:rsidRPr="00694700">
        <w:t>–</w:t>
      </w:r>
      <w:r w:rsidRPr="00694700">
        <w:tab/>
        <w:t xml:space="preserve">unter Hinweis auf die Vereinbarung vom </w:t>
      </w:r>
      <w:r w:rsidRPr="00E0686E">
        <w:t>16</w:t>
      </w:r>
      <w:r w:rsidRPr="00694700">
        <w:t xml:space="preserve">. Juli </w:t>
      </w:r>
      <w:r w:rsidRPr="00E0686E">
        <w:t>2023</w:t>
      </w:r>
      <w:r w:rsidRPr="00694700">
        <w:t xml:space="preserve"> über eine strategische und umfassende Partnerschaft zwischen der EU und Tunesien,</w:t>
      </w:r>
    </w:p>
    <w:p w:rsidR="0068019C" w:rsidRPr="00694700" w:rsidRDefault="0068019C" w:rsidP="0068019C">
      <w:pPr>
        <w:pStyle w:val="NormalHanging12a"/>
      </w:pPr>
      <w:r w:rsidRPr="00694700">
        <w:t>–</w:t>
      </w:r>
      <w:r w:rsidRPr="00694700">
        <w:tab/>
        <w:t xml:space="preserve">unter Hinweis auf den Durchführungsbeschluss der Kommission vom </w:t>
      </w:r>
      <w:r w:rsidRPr="00E0686E">
        <w:t>20</w:t>
      </w:r>
      <w:r w:rsidRPr="00694700">
        <w:t xml:space="preserve">. Dezember </w:t>
      </w:r>
      <w:r w:rsidRPr="00E0686E">
        <w:t>2023</w:t>
      </w:r>
      <w:r w:rsidRPr="00694700">
        <w:t xml:space="preserve"> über die Finanzierung der Sondermaßnahme zugunsten Tunesiens für </w:t>
      </w:r>
      <w:r w:rsidRPr="00E0686E">
        <w:t>2023</w:t>
      </w:r>
      <w:r w:rsidRPr="00694700">
        <w:t xml:space="preserve"> (</w:t>
      </w:r>
      <w:proofErr w:type="gramStart"/>
      <w:r w:rsidRPr="00694700">
        <w:t>C(</w:t>
      </w:r>
      <w:proofErr w:type="gramEnd"/>
      <w:r w:rsidRPr="00E0686E">
        <w:t>2023</w:t>
      </w:r>
      <w:r w:rsidRPr="00694700">
        <w:t>)</w:t>
      </w:r>
      <w:r w:rsidRPr="00E0686E">
        <w:t>9184</w:t>
      </w:r>
      <w:r w:rsidRPr="00694700">
        <w:t>) und auf das beigefügte Maßnahmendokument über das Programm zur Unterstützung makroökonomischer Reformen in Tunesien,</w:t>
      </w:r>
    </w:p>
    <w:p w:rsidR="0068019C" w:rsidRPr="00694700" w:rsidRDefault="0068019C" w:rsidP="0068019C">
      <w:pPr>
        <w:pStyle w:val="NormalHanging12a"/>
      </w:pPr>
      <w:r w:rsidRPr="00694700">
        <w:t>–</w:t>
      </w:r>
      <w:r w:rsidRPr="00694700">
        <w:tab/>
        <w:t>gestützt auf Artikel </w:t>
      </w:r>
      <w:r w:rsidRPr="00E0686E">
        <w:t>136</w:t>
      </w:r>
      <w:r w:rsidRPr="00694700">
        <w:t xml:space="preserve"> Absatz </w:t>
      </w:r>
      <w:r w:rsidRPr="00E0686E">
        <w:t>5</w:t>
      </w:r>
      <w:r w:rsidRPr="00694700">
        <w:t xml:space="preserve"> und Artikel </w:t>
      </w:r>
      <w:r w:rsidRPr="00E0686E">
        <w:t>132</w:t>
      </w:r>
      <w:r w:rsidRPr="00694700">
        <w:t xml:space="preserve"> Absatz </w:t>
      </w:r>
      <w:r w:rsidRPr="00E0686E">
        <w:t>2</w:t>
      </w:r>
      <w:r w:rsidRPr="00694700">
        <w:t xml:space="preserve"> seiner Geschäftsordnung,</w:t>
      </w:r>
    </w:p>
    <w:p w:rsidR="0068019C" w:rsidRPr="00694700" w:rsidRDefault="0068019C" w:rsidP="0068019C">
      <w:pPr>
        <w:pStyle w:val="NormalHanging12a"/>
      </w:pPr>
      <w:r w:rsidRPr="00694700">
        <w:t>–</w:t>
      </w:r>
      <w:r w:rsidRPr="00694700">
        <w:tab/>
        <w:t>unter Hinweis auf den Entwurf einer Entschließung des Ausschusses für auswärtige Angelegenheiten und des Entwicklungsausschusses,</w:t>
      </w:r>
    </w:p>
    <w:p w:rsidR="0068019C" w:rsidRPr="00694700" w:rsidRDefault="0068019C" w:rsidP="0068019C">
      <w:pPr>
        <w:pStyle w:val="NormalHanging12a"/>
      </w:pPr>
      <w:r w:rsidRPr="00694700">
        <w:t>A.</w:t>
      </w:r>
      <w:r w:rsidRPr="00694700">
        <w:tab/>
        <w:t>in der Erwägung, dass sich die Union gemäß Artikel </w:t>
      </w:r>
      <w:r w:rsidRPr="00E0686E">
        <w:t>21</w:t>
      </w:r>
      <w:r w:rsidRPr="00694700">
        <w:t xml:space="preserve"> des Vertrags über die Europäische Union bei ihrem Handeln auf internationaler Ebene von den Grundsätzen leiten lassen muss, die für ihre eigene Entstehung, Entwicklung und Erweiterung maßgebend waren und denen sie auch weltweit zu stärkerer Geltung verhelfen will: Demokratie, Rechtsstaatlichkeit, die universelle Gültigkeit und Unteilbarkeit der Menschenrechte und Grundfreiheiten, die Achtung der Menschenwürde, der Grundsatz der Gleichheit und der Grundsatz der Solidarität sowie die Achtung der Grundsätze der Charta der Vereinten Nationen und des Völkerrechts;</w:t>
      </w:r>
    </w:p>
    <w:p w:rsidR="0068019C" w:rsidRPr="00694700" w:rsidRDefault="0068019C" w:rsidP="0068019C">
      <w:pPr>
        <w:pStyle w:val="NormalHanging12a"/>
      </w:pPr>
      <w:r w:rsidRPr="00694700">
        <w:t>B.</w:t>
      </w:r>
      <w:r w:rsidRPr="00694700">
        <w:tab/>
        <w:t>in der Erwägung, dass in Artikel </w:t>
      </w:r>
      <w:r w:rsidRPr="00E0686E">
        <w:t>2</w:t>
      </w:r>
      <w:r w:rsidRPr="00694700">
        <w:t xml:space="preserve"> des Europa-Mittelmeer-Abkommens zwischen der EU und Tunesien festgelegt ist, dass die Beziehungen zwischen den Vertragsparteien ebenso wie alle Bestimmungen des Abkommens auf der Achtung der Grundsätze der Demokratie und der Menschenrechte beruhen, von denen die Vertragsparteien sich bei ihrer Innen- und Außenpolitik leiten lassen und die ein wesentliches Element des Abkommens sind;</w:t>
      </w:r>
    </w:p>
    <w:p w:rsidR="0068019C" w:rsidRPr="00694700" w:rsidRDefault="0068019C" w:rsidP="0068019C">
      <w:pPr>
        <w:pStyle w:val="NormalHanging12a"/>
      </w:pPr>
      <w:r w:rsidRPr="00694700">
        <w:t>C.</w:t>
      </w:r>
      <w:r w:rsidRPr="00694700">
        <w:tab/>
        <w:t>in der Erwägung, dass gemäß Artikel </w:t>
      </w:r>
      <w:r w:rsidRPr="00E0686E">
        <w:t>29</w:t>
      </w:r>
      <w:r w:rsidRPr="00694700">
        <w:t xml:space="preserve"> der Verordnung über das Instrument „NDICI/Europa in der Welt“ Tätigkeiten ausgeschlossen sind, die in den Partnerländern </w:t>
      </w:r>
      <w:r w:rsidRPr="00694700">
        <w:lastRenderedPageBreak/>
        <w:t>zu Menschenrechtsverletzungen führen können; in der Erwägung, dass gemäß Artikel </w:t>
      </w:r>
      <w:r w:rsidRPr="00E0686E">
        <w:t>25</w:t>
      </w:r>
      <w:r w:rsidRPr="00694700">
        <w:t xml:space="preserve"> Absatz </w:t>
      </w:r>
      <w:r w:rsidRPr="00E0686E">
        <w:t>5</w:t>
      </w:r>
      <w:r w:rsidRPr="00694700">
        <w:t xml:space="preserve"> der Verordnung von der Kommission erwartet wird, dass sie Ex-ante-Folgenabschätzungen in Bezug auf die Menschenrechte durchführt, die in einem angemessenen Verhältnis zu den Zielen und dem Umfang der geplanten Tätigkeiten und Maßnahmen stehen; in der Erwägung, dass in Artikel </w:t>
      </w:r>
      <w:r w:rsidRPr="00E0686E">
        <w:t>3</w:t>
      </w:r>
      <w:r w:rsidRPr="00694700">
        <w:t xml:space="preserve"> Absatz </w:t>
      </w:r>
      <w:r w:rsidRPr="00E0686E">
        <w:t>4</w:t>
      </w:r>
      <w:r w:rsidRPr="00694700">
        <w:t xml:space="preserve"> der Verordnung festgelegt ist, dass mindestens </w:t>
      </w:r>
      <w:r w:rsidRPr="00E0686E">
        <w:t>93</w:t>
      </w:r>
      <w:r w:rsidRPr="00694700">
        <w:t> % der Ausgaben im Rahmen des Instruments die Kriterien für die öffentliche Entwicklungshilfe erfüllen, das heißt zu den kollektiven Zusagen im Rahmen der öffentlichen Entwicklungshilfe beitragen müssen;</w:t>
      </w:r>
    </w:p>
    <w:p w:rsidR="0068019C" w:rsidRPr="00694700" w:rsidRDefault="0068019C" w:rsidP="0068019C">
      <w:pPr>
        <w:pStyle w:val="NormalHanging12a"/>
      </w:pPr>
      <w:r w:rsidRPr="00694700">
        <w:t>D.</w:t>
      </w:r>
      <w:r w:rsidRPr="00694700">
        <w:tab/>
        <w:t>in der Erwägung, dass in Erwägungsgrund </w:t>
      </w:r>
      <w:r w:rsidRPr="00E0686E">
        <w:t>40</w:t>
      </w:r>
      <w:r w:rsidRPr="00694700">
        <w:t xml:space="preserve"> der Verordnung über das Instrument „NDICI/Europa in der Welt“ festgestellt wird, dass die Achtung der Demokratie, der Menschenrechte und der Rechtsstaatlichkeit eine Grundvoraussetzung für die Wirtschaftlichkeit der Haushaltsführung und eine wirksame Unionsfinanzierung im Sinne der Haushaltsordnung ist und die Hilfe im Falle einer Verschlechterung der Lage in Drittländern hinsichtlich der Demokratie, der Menschenrechte oder der Rechtsstaatlichkeit ausgesetzt werden könnte;</w:t>
      </w:r>
    </w:p>
    <w:p w:rsidR="0068019C" w:rsidRPr="00694700" w:rsidRDefault="0068019C" w:rsidP="0068019C">
      <w:pPr>
        <w:pStyle w:val="NormalHanging12a"/>
      </w:pPr>
      <w:r w:rsidRPr="00694700">
        <w:t>E.</w:t>
      </w:r>
      <w:r w:rsidRPr="00694700">
        <w:tab/>
        <w:t>in der Erwägung, dass es in Tunesien unter Präsident Kais Saied zu einer autoritären Kehrtwende und alarmierenden Rückschritten in Bezug auf Demokratie, Menschenrechte und Rechtsstaatlichkeit gekommen ist; in der Erwägung, dass Präsident Kais Saied im vergangenen Jahr die willkürliche Festnahme und Inhaftierung von Oppositionspolitikern, Richtern, Medienschaffenden und Aktivisten der Zivilgesellschaft veranlasst hat;</w:t>
      </w:r>
    </w:p>
    <w:p w:rsidR="0068019C" w:rsidRPr="00694700" w:rsidRDefault="0068019C" w:rsidP="0068019C">
      <w:pPr>
        <w:pStyle w:val="NormalHanging12a"/>
      </w:pPr>
      <w:r w:rsidRPr="00694700">
        <w:t>F.</w:t>
      </w:r>
      <w:r w:rsidRPr="00694700">
        <w:tab/>
        <w:t>in der Erwägung, dass die Kommission die Sondermaßnahme im Wege eines schriftlichen Dringlichkeitsverfahrens angenommen hat;</w:t>
      </w:r>
    </w:p>
    <w:p w:rsidR="0068019C" w:rsidRPr="00694700" w:rsidRDefault="0068019C" w:rsidP="0068019C">
      <w:pPr>
        <w:pStyle w:val="NormalHanging12a"/>
      </w:pPr>
      <w:r w:rsidRPr="00694700">
        <w:t>G.</w:t>
      </w:r>
      <w:r w:rsidRPr="00694700">
        <w:tab/>
        <w:t xml:space="preserve">in der Erwägung, dass sechs Monate zuvor in der Presseerklärung der Kommission vom </w:t>
      </w:r>
      <w:r w:rsidRPr="00E0686E">
        <w:t>11</w:t>
      </w:r>
      <w:r w:rsidRPr="00694700">
        <w:t xml:space="preserve">. Juni </w:t>
      </w:r>
      <w:r w:rsidRPr="00E0686E">
        <w:t>2023</w:t>
      </w:r>
      <w:r w:rsidRPr="00694700">
        <w:t xml:space="preserve"> eine Budgethilfe für Tunesien in Höhe von </w:t>
      </w:r>
      <w:r w:rsidRPr="00E0686E">
        <w:t>150</w:t>
      </w:r>
      <w:r w:rsidRPr="00694700">
        <w:t> Mio. EUR angekündigt worden war; in der Erwägung, dass diese Budgethilfe vor der Unterzeichnung der Vereinbarung zwischen der EU und Tunesien angekündigt wurde;</w:t>
      </w:r>
    </w:p>
    <w:p w:rsidR="0068019C" w:rsidRPr="00694700" w:rsidRDefault="0068019C" w:rsidP="0068019C">
      <w:pPr>
        <w:pStyle w:val="NormalHanging12a"/>
      </w:pPr>
      <w:r w:rsidRPr="00694700">
        <w:t>H.</w:t>
      </w:r>
      <w:r w:rsidRPr="00694700">
        <w:tab/>
        <w:t>in der Erwägung, dass vor der Annahme der Sondermaßnahme im Wege eines schriftlichen Dringlichkeitsverfahrens kein informeller Kontakt zwischen der Kommission und dem Parlament stattgefunden hat, wie er in Ziffer </w:t>
      </w:r>
      <w:r w:rsidRPr="00E0686E">
        <w:t>12</w:t>
      </w:r>
      <w:r w:rsidRPr="00694700">
        <w:t xml:space="preserve"> der Vereinbarung zwischen dem Parlament und der Kommission vom </w:t>
      </w:r>
      <w:r w:rsidRPr="00E0686E">
        <w:t>3</w:t>
      </w:r>
      <w:r w:rsidRPr="00694700">
        <w:t xml:space="preserve">. Juni </w:t>
      </w:r>
      <w:r w:rsidRPr="00E0686E">
        <w:t>2008</w:t>
      </w:r>
      <w:r w:rsidRPr="00694700">
        <w:t xml:space="preserve"> vorgesehen ist;</w:t>
      </w:r>
    </w:p>
    <w:p w:rsidR="0068019C" w:rsidRPr="00694700" w:rsidRDefault="0068019C" w:rsidP="0068019C">
      <w:pPr>
        <w:pStyle w:val="NormalHanging12a"/>
      </w:pPr>
      <w:r w:rsidRPr="00694700">
        <w:t>I.</w:t>
      </w:r>
      <w:r w:rsidRPr="00694700">
        <w:tab/>
        <w:t>in der Erwägung, dass in Artikel </w:t>
      </w:r>
      <w:r w:rsidRPr="00E0686E">
        <w:t>27</w:t>
      </w:r>
      <w:r w:rsidRPr="00694700">
        <w:t xml:space="preserve"> Absatz </w:t>
      </w:r>
      <w:r w:rsidRPr="00E0686E">
        <w:t>4</w:t>
      </w:r>
      <w:r w:rsidRPr="00694700">
        <w:t xml:space="preserve"> der Verordnung über das Instrument „NDICI/Europa in der Welt“ festgelegt ist, dass die Kommission bei der Gewährung von Budgethilfe gemäß Artikel </w:t>
      </w:r>
      <w:r w:rsidRPr="00E0686E">
        <w:t>236</w:t>
      </w:r>
      <w:r w:rsidRPr="00694700">
        <w:t xml:space="preserve"> der Haushaltsordnung die Kriterien für die Konditionalität der Budgethilfe, einschließlich Fortschritten bei Reformen und Transparenz, klar festlegt, ihre Einhaltung verfolgt und den Aufbau der parlamentarischen Kontrolle und der nationalen Prüfkapazitäten, die Verbesserung der Transparenz und den Zugang der Öffentlichkeit zu Informationen unterstützt;</w:t>
      </w:r>
    </w:p>
    <w:p w:rsidR="0068019C" w:rsidRPr="00694700" w:rsidRDefault="0068019C" w:rsidP="0068019C">
      <w:pPr>
        <w:pStyle w:val="NormalHanging12a"/>
      </w:pPr>
      <w:r w:rsidRPr="00694700">
        <w:t>J.</w:t>
      </w:r>
      <w:r w:rsidRPr="00694700">
        <w:tab/>
        <w:t>in der Erwägung, dass in Artikel </w:t>
      </w:r>
      <w:r w:rsidRPr="00E0686E">
        <w:t>218</w:t>
      </w:r>
      <w:r w:rsidRPr="00694700">
        <w:t xml:space="preserve"> AEUV das Verfahren für die Aushandlung und den Abschluss von Übereinkünften zwischen der EU und Drittländern festgelegt ist; in der Erwägung, dass in diesem Verfahren angemessene Verfahrensgarantien sowie eine parlamentarische und gerichtliche Kontrolle ermöglicht und dadurch die Rechenschaftspflicht und demokratische Legitimität erhöht werden;</w:t>
      </w:r>
    </w:p>
    <w:p w:rsidR="0068019C" w:rsidRPr="00694700" w:rsidRDefault="0068019C" w:rsidP="0068019C">
      <w:pPr>
        <w:pStyle w:val="NormalHanging12a"/>
      </w:pPr>
      <w:r w:rsidRPr="00694700">
        <w:lastRenderedPageBreak/>
        <w:t>K.</w:t>
      </w:r>
      <w:r w:rsidRPr="00694700">
        <w:tab/>
        <w:t xml:space="preserve">in der Erwägung, dass am </w:t>
      </w:r>
      <w:r w:rsidRPr="00E0686E">
        <w:t>13</w:t>
      </w:r>
      <w:r w:rsidRPr="00694700">
        <w:t xml:space="preserve">. September </w:t>
      </w:r>
      <w:r w:rsidRPr="00E0686E">
        <w:t>2023</w:t>
      </w:r>
      <w:r w:rsidRPr="00694700">
        <w:t xml:space="preserve"> einer Delegation des Ausschusses für auswärtige Angelegenheiten die Einreise nach Tunesien verweigert und damit die Fähigkeit des Parlaments, seine Kontrollbefugnisse auszuüben, eingeschränkt wurde;</w:t>
      </w:r>
    </w:p>
    <w:p w:rsidR="0068019C" w:rsidRPr="00694700" w:rsidRDefault="0068019C" w:rsidP="0068019C">
      <w:pPr>
        <w:pStyle w:val="NormalHanging12a"/>
      </w:pPr>
      <w:r w:rsidRPr="00694700">
        <w:t>L.</w:t>
      </w:r>
      <w:r w:rsidRPr="00694700">
        <w:tab/>
        <w:t xml:space="preserve">in der Erwägung, dass die staatlichen Stellen Tunesiens am </w:t>
      </w:r>
      <w:r w:rsidRPr="00E0686E">
        <w:t>26</w:t>
      </w:r>
      <w:r w:rsidRPr="00694700">
        <w:t xml:space="preserve">. September </w:t>
      </w:r>
      <w:r w:rsidRPr="00E0686E">
        <w:t>2023</w:t>
      </w:r>
      <w:r w:rsidRPr="00694700">
        <w:t xml:space="preserve"> einen Besuch der Kommission ohne Absprache verschoben haben, der wenige Tage später hätte stattfinden sollen;</w:t>
      </w:r>
    </w:p>
    <w:p w:rsidR="0068019C" w:rsidRPr="00694700" w:rsidRDefault="0068019C" w:rsidP="0068019C">
      <w:pPr>
        <w:pStyle w:val="NormalHanging12a"/>
      </w:pPr>
      <w:r w:rsidRPr="00694700">
        <w:t>M.</w:t>
      </w:r>
      <w:r w:rsidRPr="00694700">
        <w:tab/>
        <w:t xml:space="preserve">in der Erwägung, dass der Präsident Tunesiens im Oktober </w:t>
      </w:r>
      <w:r w:rsidRPr="00E0686E">
        <w:t>2023</w:t>
      </w:r>
      <w:r w:rsidRPr="00694700">
        <w:t xml:space="preserve"> eine Budgethilfe der EU in Höhe von </w:t>
      </w:r>
      <w:r w:rsidRPr="00E0686E">
        <w:t>60</w:t>
      </w:r>
      <w:r w:rsidRPr="00694700">
        <w:t> Mio. EUR abgelehnt und zurückerstattet hat;</w:t>
      </w:r>
    </w:p>
    <w:p w:rsidR="0068019C" w:rsidRPr="00694700" w:rsidRDefault="0068019C" w:rsidP="0068019C">
      <w:pPr>
        <w:pStyle w:val="NormalHanging12a"/>
      </w:pPr>
      <w:r w:rsidRPr="00694700">
        <w:t>N.</w:t>
      </w:r>
      <w:r w:rsidRPr="00694700">
        <w:tab/>
        <w:t>in der Erwägung, dass es im wesentlichen Interesse der EU liegt, weiterhin mit Tunesien zusammenzuarbeiten, um in dem Land für makroökonomische Stabilität, Rechtsstaatlichkeit und Menschenrechte zu sorgen;</w:t>
      </w:r>
    </w:p>
    <w:p w:rsidR="0068019C" w:rsidRPr="00694700" w:rsidRDefault="0068019C" w:rsidP="0068019C">
      <w:pPr>
        <w:pStyle w:val="NormalHanging12a"/>
      </w:pPr>
      <w:r w:rsidRPr="00E0686E">
        <w:t>1</w:t>
      </w:r>
      <w:r w:rsidRPr="00694700">
        <w:t>.</w:t>
      </w:r>
      <w:r w:rsidRPr="00694700">
        <w:tab/>
        <w:t xml:space="preserve">stellt die Notwendigkeit eines schriftlichen Dringlichkeitsverfahrens für die Sondermaßnahme zugunsten Tunesiens infrage, da die Kommission die Budgethilfe in Höhe von </w:t>
      </w:r>
      <w:r w:rsidRPr="00E0686E">
        <w:t>150</w:t>
      </w:r>
      <w:r w:rsidRPr="00694700">
        <w:t xml:space="preserve"> Mio. EUR bereits am </w:t>
      </w:r>
      <w:r w:rsidRPr="00E0686E">
        <w:t>11</w:t>
      </w:r>
      <w:r w:rsidRPr="00694700">
        <w:t xml:space="preserve">. Juni </w:t>
      </w:r>
      <w:r w:rsidRPr="00E0686E">
        <w:t>2023</w:t>
      </w:r>
      <w:r w:rsidRPr="00694700">
        <w:t xml:space="preserve"> ankündigte, sodass genügend Zeit für die Anwendung des normalen Verfahrens blieb; ist der Ansicht, dass der Zeitpunkt der Einleitung dieses schriftlichen Dringlichkeitsverfahrens von mangelndem Respekt für die parlamentarische Kontrolle und das Ausschussverfahren zeugt;</w:t>
      </w:r>
    </w:p>
    <w:p w:rsidR="0068019C" w:rsidRPr="00694700" w:rsidRDefault="0068019C" w:rsidP="0068019C">
      <w:pPr>
        <w:pStyle w:val="NormalHanging12a"/>
      </w:pPr>
      <w:r w:rsidRPr="00E0686E">
        <w:t>2</w:t>
      </w:r>
      <w:r w:rsidRPr="00694700">
        <w:t>.</w:t>
      </w:r>
      <w:r w:rsidRPr="00694700">
        <w:tab/>
        <w:t>fordert die Kommission auf, im Rahmen des nächsten geplanten hochrangigen geopolitischen Dialogs detailliert und unter Bezugnahme auf Fakten zu begründen, warum vor der Annahme der Sondermaßnahme im Wege eines schriftlichen Dringlichkeitsverfahrens kein informeller Kontakt zwischen der Kommission und dem Parlament stattgefunden hat, wie in Ziffer </w:t>
      </w:r>
      <w:r w:rsidRPr="00E0686E">
        <w:t>12</w:t>
      </w:r>
      <w:r w:rsidRPr="00694700">
        <w:t xml:space="preserve"> der Vereinbarung zwischen dem Parlament und der Kommission vom </w:t>
      </w:r>
      <w:r w:rsidRPr="00E0686E">
        <w:t>3</w:t>
      </w:r>
      <w:r w:rsidRPr="00694700">
        <w:t xml:space="preserve">. Juni </w:t>
      </w:r>
      <w:r w:rsidRPr="00E0686E">
        <w:t>2008</w:t>
      </w:r>
      <w:r w:rsidRPr="00694700">
        <w:t xml:space="preserve"> vorgesehen; geht daher davon aus, dass Tunesien im Rahmen des nächsten hochrangigen geopolitischen Dialogs als vorrangiges Land ausgewählt wird;</w:t>
      </w:r>
    </w:p>
    <w:p w:rsidR="0068019C" w:rsidRPr="00694700" w:rsidRDefault="0068019C" w:rsidP="0068019C">
      <w:pPr>
        <w:pStyle w:val="NormalHanging12a"/>
      </w:pPr>
      <w:r w:rsidRPr="00E0686E">
        <w:t>3</w:t>
      </w:r>
      <w:r w:rsidRPr="00694700">
        <w:t>.</w:t>
      </w:r>
      <w:r w:rsidRPr="00694700">
        <w:tab/>
        <w:t xml:space="preserve">ist der Ansicht, dass die in der Vereinbarung eingegangene politische Verpflichtung, die Budgethilfe für </w:t>
      </w:r>
      <w:r w:rsidRPr="00E0686E">
        <w:t>2023</w:t>
      </w:r>
      <w:r w:rsidRPr="00694700">
        <w:t xml:space="preserve"> in vollem Umfang auszuzahlen, weder eine Rechtsgrundlage für die Annahme dieser Maßnahme als Sondermaßnahme gemäß Artikel </w:t>
      </w:r>
      <w:r w:rsidRPr="00E0686E">
        <w:t>23</w:t>
      </w:r>
      <w:r w:rsidRPr="00694700">
        <w:t xml:space="preserve"> Absatz </w:t>
      </w:r>
      <w:r w:rsidRPr="00E0686E">
        <w:t>4</w:t>
      </w:r>
      <w:r w:rsidRPr="00694700">
        <w:t xml:space="preserve"> der Verordnung über das Instrument „NDICI/Europa in der Welt“ noch für die Annahme im Wege eines schriftlichen Dringlichkeitsverfahrens bildet;</w:t>
      </w:r>
    </w:p>
    <w:p w:rsidR="0068019C" w:rsidRPr="00694700" w:rsidRDefault="0068019C" w:rsidP="0068019C">
      <w:pPr>
        <w:pStyle w:val="NormalHanging12a"/>
      </w:pPr>
      <w:r w:rsidRPr="00E0686E">
        <w:t>4</w:t>
      </w:r>
      <w:r w:rsidRPr="00694700">
        <w:t>.</w:t>
      </w:r>
      <w:r w:rsidRPr="00694700">
        <w:tab/>
        <w:t>bedauert, dass die Kommission dem Parlament nicht proaktiv die entsprechende Finanzierungsvereinbarung mit Tunesien gemäß Artikel </w:t>
      </w:r>
      <w:r w:rsidRPr="00E0686E">
        <w:t>112</w:t>
      </w:r>
      <w:r w:rsidRPr="00694700">
        <w:t xml:space="preserve"> Absatz </w:t>
      </w:r>
      <w:r w:rsidRPr="00E0686E">
        <w:t>4</w:t>
      </w:r>
      <w:r w:rsidRPr="00694700">
        <w:t xml:space="preserve"> und Artikel </w:t>
      </w:r>
      <w:r w:rsidRPr="00E0686E">
        <w:t>236</w:t>
      </w:r>
      <w:r w:rsidRPr="00694700">
        <w:t xml:space="preserve"> der Haushaltsordnung mit besonderen Bedingungen und Anforderungen zur Verfügung gestellt hat;</w:t>
      </w:r>
    </w:p>
    <w:p w:rsidR="0068019C" w:rsidRPr="00694700" w:rsidRDefault="0068019C" w:rsidP="0068019C">
      <w:pPr>
        <w:pStyle w:val="NormalHanging12a"/>
      </w:pPr>
      <w:r w:rsidRPr="00E0686E">
        <w:t>5</w:t>
      </w:r>
      <w:r w:rsidRPr="00694700">
        <w:t>.</w:t>
      </w:r>
      <w:r w:rsidRPr="00694700">
        <w:tab/>
        <w:t>fordert eine detaillierte Erläuterung, inwiefern Formulierungen wie „zufriedenstellende Fortschritte“ in Abschnitt </w:t>
      </w:r>
      <w:r w:rsidRPr="00E0686E">
        <w:t>4</w:t>
      </w:r>
      <w:r w:rsidRPr="00694700">
        <w:t>.</w:t>
      </w:r>
      <w:r w:rsidRPr="00E0686E">
        <w:t>3</w:t>
      </w:r>
      <w:r w:rsidRPr="00694700">
        <w:t>.</w:t>
      </w:r>
      <w:r w:rsidRPr="00E0686E">
        <w:t>2</w:t>
      </w:r>
      <w:r w:rsidRPr="00694700">
        <w:t xml:space="preserve"> des Maßnahmendokuments der Kommission zur Sondermaßnahme, in dem die Kriterien für die Auszahlung von Budgethilfe aufgeführt sind, klar festgelegte Kriterien für die Konditionalität der Budgethilfe gemäß Artikel </w:t>
      </w:r>
      <w:r w:rsidRPr="00E0686E">
        <w:t>27</w:t>
      </w:r>
      <w:r w:rsidRPr="00694700">
        <w:t xml:space="preserve"> Absatz </w:t>
      </w:r>
      <w:r w:rsidRPr="00E0686E">
        <w:t>4</w:t>
      </w:r>
      <w:r w:rsidRPr="00694700">
        <w:t xml:space="preserve"> der Verordnung über das Instrument „NDICI/Europa in der Welt“ darstellen;</w:t>
      </w:r>
    </w:p>
    <w:p w:rsidR="0068019C" w:rsidRPr="00694700" w:rsidRDefault="0068019C" w:rsidP="0068019C">
      <w:pPr>
        <w:pStyle w:val="NormalHanging12a"/>
      </w:pPr>
      <w:r w:rsidRPr="00E0686E">
        <w:t>6</w:t>
      </w:r>
      <w:r w:rsidRPr="00694700">
        <w:t>.</w:t>
      </w:r>
      <w:r w:rsidRPr="00694700">
        <w:tab/>
        <w:t>bezweifelt, dass die Achtung der Grundsätze des auswärtigen Handelns in Bezug auf Demokratie, Menschenrechte und Rechtsstaatlichkeit, wie sie in Artikel </w:t>
      </w:r>
      <w:r w:rsidRPr="00E0686E">
        <w:t>21</w:t>
      </w:r>
      <w:r w:rsidRPr="00694700">
        <w:t xml:space="preserve"> EUV, verschiedenen Bestimmungen der Verordnung über das Instrument „NDICI/Europa in </w:t>
      </w:r>
      <w:r w:rsidRPr="00694700">
        <w:lastRenderedPageBreak/>
        <w:t>der Welt“ und Artikel </w:t>
      </w:r>
      <w:r w:rsidRPr="00E0686E">
        <w:t>2</w:t>
      </w:r>
      <w:r w:rsidRPr="00694700">
        <w:t xml:space="preserve"> des Europa-Mittelmeer-Abkommens zwischen der EU und Tunesien dargelegt sind, bei dieser Sondermaßnahme eingehalten wird, da sich die Lage der Grundrechte in Tunesien bereits seit Juli </w:t>
      </w:r>
      <w:r w:rsidRPr="00E0686E">
        <w:t>2021</w:t>
      </w:r>
      <w:r w:rsidRPr="00694700">
        <w:t xml:space="preserve"> erheblich verschlechtert und eine erhebliche Verschlechterung im Hinblick auf die Grundwerte die EU unter Umständen dazu veranlassen kann, die Budgethilfe für Partnerländer auszusetzen, zu kürzen oder einzustellen;</w:t>
      </w:r>
    </w:p>
    <w:p w:rsidR="0068019C" w:rsidRPr="00694700" w:rsidRDefault="0068019C" w:rsidP="0068019C">
      <w:pPr>
        <w:pStyle w:val="NormalHanging12a"/>
      </w:pPr>
      <w:r w:rsidRPr="00E0686E">
        <w:t>7</w:t>
      </w:r>
      <w:r w:rsidRPr="00694700">
        <w:t>.</w:t>
      </w:r>
      <w:r w:rsidRPr="00694700">
        <w:tab/>
        <w:t>fordert die Kommission daher auf, umgehend und vor Ende der Wahlperiode weitere schriftliche Angaben dazu vorzulegen, wie und wann sie bewerten wird, ob die in Abschnitt </w:t>
      </w:r>
      <w:r w:rsidRPr="00E0686E">
        <w:t>4</w:t>
      </w:r>
      <w:r w:rsidRPr="00694700">
        <w:t>.</w:t>
      </w:r>
      <w:r w:rsidRPr="00E0686E">
        <w:t>3</w:t>
      </w:r>
      <w:r w:rsidRPr="00694700">
        <w:t>.</w:t>
      </w:r>
      <w:r w:rsidRPr="00E0686E">
        <w:t>2</w:t>
      </w:r>
      <w:r w:rsidRPr="00694700">
        <w:t xml:space="preserve"> genannten Bedingungen für die Auszahlung von Budgethilfe erfüllt sind oder erfüllt werden, und anhand welcher objektiver Kriterien festgestellt wird, ob zufriedenstellende Fortschritte bei der Umsetzung der in Abschnitt </w:t>
      </w:r>
      <w:r w:rsidRPr="00E0686E">
        <w:t>4</w:t>
      </w:r>
      <w:r w:rsidRPr="00694700">
        <w:t>.</w:t>
      </w:r>
      <w:r w:rsidRPr="00E0686E">
        <w:t>3</w:t>
      </w:r>
      <w:r w:rsidRPr="00694700">
        <w:t>.</w:t>
      </w:r>
      <w:r w:rsidRPr="00E0686E">
        <w:t>2</w:t>
      </w:r>
      <w:r w:rsidRPr="00694700">
        <w:t xml:space="preserve"> aufgeführten allgemeinen Bedingungen erzielt wurden;</w:t>
      </w:r>
    </w:p>
    <w:p w:rsidR="0068019C" w:rsidRPr="00694700" w:rsidRDefault="0068019C" w:rsidP="0068019C">
      <w:pPr>
        <w:pStyle w:val="NormalHanging12a"/>
      </w:pPr>
      <w:r w:rsidRPr="00E0686E">
        <w:t>8</w:t>
      </w:r>
      <w:r w:rsidRPr="00694700">
        <w:t>.</w:t>
      </w:r>
      <w:r w:rsidRPr="00694700">
        <w:tab/>
        <w:t>fordert die Kommission auf, schriftlich zu präzisieren, wie sie zu der Einschätzung gelangt, dass Tunesien derzeit die in Abschnitt </w:t>
      </w:r>
      <w:r w:rsidRPr="00E0686E">
        <w:t>4</w:t>
      </w:r>
      <w:r w:rsidRPr="00694700">
        <w:t>.</w:t>
      </w:r>
      <w:r w:rsidRPr="00E0686E">
        <w:t>3</w:t>
      </w:r>
      <w:r w:rsidRPr="00694700">
        <w:t>.</w:t>
      </w:r>
      <w:r w:rsidRPr="00E0686E">
        <w:t>2</w:t>
      </w:r>
      <w:r w:rsidRPr="00694700">
        <w:t xml:space="preserve"> Buchstabe b des Maßnahmendokuments zur Sondermaßnahme in Bezug auf die Grundwerte dargelegte Anforderung erfüllt;</w:t>
      </w:r>
    </w:p>
    <w:p w:rsidR="0068019C" w:rsidRPr="00694700" w:rsidRDefault="0068019C" w:rsidP="0068019C">
      <w:pPr>
        <w:pStyle w:val="NormalHanging12a"/>
      </w:pPr>
      <w:r w:rsidRPr="00E0686E">
        <w:t>9</w:t>
      </w:r>
      <w:r w:rsidRPr="00694700">
        <w:t>.</w:t>
      </w:r>
      <w:r w:rsidRPr="00694700">
        <w:tab/>
        <w:t xml:space="preserve">fordert die Kommission auf, zu erläutern, warum sie sich dafür entschieden hat, die </w:t>
      </w:r>
      <w:r w:rsidRPr="00E0686E">
        <w:t>150</w:t>
      </w:r>
      <w:r w:rsidRPr="00694700">
        <w:t> Mio. EUR in einer einzigen Tranche auszuzahlen, statt eine schrittweise Auszahlung auf der Grundlage konkreter Etappenziele oder erreichter Schritte gemäß Artikel </w:t>
      </w:r>
      <w:r w:rsidRPr="00E0686E">
        <w:t>236</w:t>
      </w:r>
      <w:r w:rsidRPr="00694700">
        <w:t xml:space="preserve"> Absatz </w:t>
      </w:r>
      <w:r w:rsidRPr="00E0686E">
        <w:t>2</w:t>
      </w:r>
      <w:r w:rsidRPr="00694700">
        <w:t xml:space="preserve"> der Haushaltsordnung zu ermöglichen und sich damit die Möglichkeit vorzubehalten, weitere Zahlungen auszusetzen, falls eine eindeutige Aushöhlung der Grundwerte festgestellt wird;</w:t>
      </w:r>
    </w:p>
    <w:p w:rsidR="0068019C" w:rsidRPr="00694700" w:rsidRDefault="0068019C" w:rsidP="0068019C">
      <w:pPr>
        <w:pStyle w:val="NormalHanging12a"/>
      </w:pPr>
      <w:r w:rsidRPr="00E0686E">
        <w:t>10</w:t>
      </w:r>
      <w:r w:rsidRPr="00694700">
        <w:t>.</w:t>
      </w:r>
      <w:r w:rsidRPr="00694700">
        <w:tab/>
        <w:t xml:space="preserve">fordert die Kommission auf, zu erläutern, wie die Sondermaßnahme angesichts der Verschlechterung der Rechtsstaatlichkeit in Tunesien seit Juli </w:t>
      </w:r>
      <w:r w:rsidRPr="00E0686E">
        <w:t>2021</w:t>
      </w:r>
      <w:r w:rsidRPr="00694700">
        <w:t>, die zu einer erheblichen Behinderung der wirtschaftlichen Entwicklung führt, zur Verbesserung des Geschäfts- und Investitionsklimas beitragen wird;</w:t>
      </w:r>
    </w:p>
    <w:p w:rsidR="0068019C" w:rsidRPr="00694700" w:rsidRDefault="0068019C" w:rsidP="0068019C">
      <w:pPr>
        <w:pStyle w:val="NormalHanging12a"/>
      </w:pPr>
      <w:r w:rsidRPr="00E0686E">
        <w:t>11</w:t>
      </w:r>
      <w:r w:rsidRPr="00694700">
        <w:t>.</w:t>
      </w:r>
      <w:r w:rsidRPr="00694700">
        <w:tab/>
        <w:t xml:space="preserve">fordert die Kommission auf, zu erläutern, warum die staatlichen Stellen Tunesiens im Oktober </w:t>
      </w:r>
      <w:r w:rsidRPr="00E0686E">
        <w:t>2023</w:t>
      </w:r>
      <w:r w:rsidRPr="00694700">
        <w:t xml:space="preserve"> eine im Rahmen der COVID-Fazilität ausgezahlte Budgethilfe in Höhe von </w:t>
      </w:r>
      <w:r w:rsidRPr="00E0686E">
        <w:t>60</w:t>
      </w:r>
      <w:r w:rsidRPr="00694700">
        <w:t> Mio. EUR abgelehnt haben, und aus welchen Gründen die Kommission der Ansicht ist, dass die staatlichen Stellen Tunesiens bereit sind, die in dieser Sondermaßnahme vorgesehene Budgethilfe zu akzeptieren;</w:t>
      </w:r>
    </w:p>
    <w:p w:rsidR="0068019C" w:rsidRPr="00694700" w:rsidRDefault="0068019C" w:rsidP="0068019C">
      <w:pPr>
        <w:pStyle w:val="NormalHanging12a"/>
      </w:pPr>
      <w:r w:rsidRPr="00E0686E">
        <w:t>12</w:t>
      </w:r>
      <w:r w:rsidRPr="00694700">
        <w:t>.</w:t>
      </w:r>
      <w:r w:rsidRPr="00694700">
        <w:tab/>
        <w:t xml:space="preserve">fordert die Kommission auf, zu erläutern, welche Garantien sie von den staatlichen Stellen Tunesiens seit September </w:t>
      </w:r>
      <w:r w:rsidRPr="00E0686E">
        <w:t>2023</w:t>
      </w:r>
      <w:r w:rsidRPr="00694700">
        <w:t xml:space="preserve"> </w:t>
      </w:r>
      <w:proofErr w:type="gramStart"/>
      <w:r w:rsidRPr="00694700">
        <w:t>dahin gehend</w:t>
      </w:r>
      <w:proofErr w:type="gramEnd"/>
      <w:r w:rsidRPr="00694700">
        <w:t xml:space="preserve"> erhalten hat, dass das Parlament EU-finanzierte Projektorte in Tunesien inspizieren und somit seine Aufsichts- und Kontrollbefugnisse gemäß Artikel </w:t>
      </w:r>
      <w:r w:rsidRPr="00E0686E">
        <w:t>14</w:t>
      </w:r>
      <w:r w:rsidRPr="00694700">
        <w:t xml:space="preserve"> des Vertrags über die Europäische Union ausüben kann;</w:t>
      </w:r>
    </w:p>
    <w:p w:rsidR="0068019C" w:rsidRPr="00694700" w:rsidRDefault="0068019C" w:rsidP="0068019C">
      <w:pPr>
        <w:pStyle w:val="NormalHanging12a"/>
      </w:pPr>
      <w:r w:rsidRPr="00E0686E">
        <w:t>13</w:t>
      </w:r>
      <w:r w:rsidRPr="00694700">
        <w:t>.</w:t>
      </w:r>
      <w:r w:rsidRPr="00694700">
        <w:tab/>
        <w:t>fordert die Kommission auf, hier mit einer sachdienlichen und umfassenden Antwort auf die Anfrage des Parlaments zur mündlichen Beantwortung und diese begleitende Entschließung für Klarheit zu sorgen;</w:t>
      </w:r>
    </w:p>
    <w:p w:rsidR="00E365E1" w:rsidRPr="00694700" w:rsidRDefault="0068019C" w:rsidP="00CD05F0">
      <w:r w:rsidRPr="00E0686E">
        <w:t>14</w:t>
      </w:r>
      <w:r w:rsidRPr="00694700">
        <w:t>.</w:t>
      </w:r>
      <w:r w:rsidRPr="00694700">
        <w:tab/>
        <w:t xml:space="preserve">beauftragt seine Präsidentin, diese Entschließung der Kommission, dem Vizepräsidenten der Kommission und Hohen Vertreter der Union für Außen- und Sicherheitspolitik sowie dem Rat </w:t>
      </w:r>
      <w:r w:rsidR="00694700" w:rsidRPr="00694700">
        <w:t>zu übermitteln.</w:t>
      </w:r>
      <w:bookmarkStart w:id="8" w:name="TextBodyEnd"/>
      <w:bookmarkEnd w:id="8"/>
    </w:p>
    <w:sectPr w:rsidR="00E365E1" w:rsidRPr="00694700" w:rsidSect="0069470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05F0" w:rsidRPr="00694700" w:rsidRDefault="00CD05F0">
      <w:r w:rsidRPr="00694700">
        <w:separator/>
      </w:r>
    </w:p>
  </w:endnote>
  <w:endnote w:type="continuationSeparator" w:id="0">
    <w:p w:rsidR="00CD05F0" w:rsidRPr="00694700" w:rsidRDefault="00CD05F0">
      <w:r w:rsidRPr="006947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470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470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47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05F0" w:rsidRPr="00694700" w:rsidRDefault="00CD05F0">
      <w:r w:rsidRPr="00694700">
        <w:separator/>
      </w:r>
    </w:p>
  </w:footnote>
  <w:footnote w:type="continuationSeparator" w:id="0">
    <w:p w:rsidR="00CD05F0" w:rsidRPr="00694700" w:rsidRDefault="00CD05F0">
      <w:r w:rsidRPr="00694700">
        <w:continuationSeparator/>
      </w:r>
    </w:p>
  </w:footnote>
  <w:footnote w:id="1">
    <w:p w:rsidR="0068019C" w:rsidRPr="00694700" w:rsidRDefault="0068019C" w:rsidP="00694700">
      <w:pPr>
        <w:pStyle w:val="FootnoteText"/>
        <w:ind w:left="567" w:hanging="567"/>
        <w:rPr>
          <w:b/>
          <w:sz w:val="24"/>
          <w:lang w:val="de-DE"/>
        </w:rPr>
      </w:pPr>
      <w:r w:rsidRPr="00694700">
        <w:rPr>
          <w:rStyle w:val="FootnoteReference"/>
          <w:sz w:val="24"/>
          <w:lang w:val="de-DE"/>
        </w:rPr>
        <w:footnoteRef/>
      </w:r>
      <w:r w:rsidR="00694700" w:rsidRPr="00694700">
        <w:rPr>
          <w:sz w:val="24"/>
          <w:lang w:val="de-DE"/>
        </w:rPr>
        <w:t xml:space="preserve"> </w:t>
      </w:r>
      <w:r w:rsidR="00694700" w:rsidRPr="00694700">
        <w:rPr>
          <w:sz w:val="24"/>
          <w:lang w:val="de-DE"/>
        </w:rPr>
        <w:tab/>
      </w:r>
      <w:r w:rsidRPr="00694700">
        <w:rPr>
          <w:sz w:val="24"/>
          <w:lang w:val="de-DE"/>
        </w:rPr>
        <w:t>ABl. L </w:t>
      </w:r>
      <w:r w:rsidRPr="00E0686E">
        <w:rPr>
          <w:sz w:val="24"/>
          <w:lang w:val="de-DE"/>
        </w:rPr>
        <w:t>209</w:t>
      </w:r>
      <w:r w:rsidRPr="00694700">
        <w:rPr>
          <w:sz w:val="24"/>
          <w:lang w:val="de-DE"/>
        </w:rPr>
        <w:t xml:space="preserve"> vom </w:t>
      </w:r>
      <w:r w:rsidRPr="00E0686E">
        <w:rPr>
          <w:sz w:val="24"/>
          <w:lang w:val="de-DE"/>
        </w:rPr>
        <w:t>14</w:t>
      </w:r>
      <w:r w:rsidRPr="00694700">
        <w:rPr>
          <w:sz w:val="24"/>
          <w:lang w:val="de-DE"/>
        </w:rPr>
        <w:t>.</w:t>
      </w:r>
      <w:r w:rsidRPr="00E0686E">
        <w:rPr>
          <w:sz w:val="24"/>
          <w:lang w:val="de-DE"/>
        </w:rPr>
        <w:t>6</w:t>
      </w:r>
      <w:r w:rsidRPr="00694700">
        <w:rPr>
          <w:sz w:val="24"/>
          <w:lang w:val="de-DE"/>
        </w:rPr>
        <w:t>.</w:t>
      </w:r>
      <w:r w:rsidRPr="00E0686E">
        <w:rPr>
          <w:sz w:val="24"/>
          <w:lang w:val="de-DE"/>
        </w:rPr>
        <w:t>2021</w:t>
      </w:r>
      <w:r w:rsidRPr="00694700">
        <w:rPr>
          <w:sz w:val="24"/>
          <w:lang w:val="de-DE"/>
        </w:rPr>
        <w:t>, S. </w:t>
      </w:r>
      <w:r w:rsidRPr="00E0686E">
        <w:rPr>
          <w:sz w:val="24"/>
          <w:lang w:val="de-DE"/>
        </w:rPr>
        <w:t>1</w:t>
      </w:r>
      <w:r w:rsidRPr="00694700">
        <w:rPr>
          <w:sz w:val="24"/>
          <w:lang w:val="de-DE"/>
        </w:rPr>
        <w:t>.</w:t>
      </w:r>
    </w:p>
  </w:footnote>
  <w:footnote w:id="2">
    <w:p w:rsidR="0068019C" w:rsidRPr="00694700" w:rsidRDefault="0068019C" w:rsidP="00694700">
      <w:pPr>
        <w:pStyle w:val="FootnoteText"/>
        <w:ind w:left="567" w:hanging="567"/>
        <w:rPr>
          <w:sz w:val="24"/>
          <w:lang w:val="de-DE"/>
        </w:rPr>
      </w:pPr>
      <w:r w:rsidRPr="00694700">
        <w:rPr>
          <w:rStyle w:val="FootnoteReference"/>
          <w:sz w:val="24"/>
          <w:lang w:val="de-DE"/>
        </w:rPr>
        <w:footnoteRef/>
      </w:r>
      <w:r w:rsidR="00694700" w:rsidRPr="00694700">
        <w:rPr>
          <w:sz w:val="24"/>
          <w:lang w:val="de-DE"/>
        </w:rPr>
        <w:t xml:space="preserve"> </w:t>
      </w:r>
      <w:r w:rsidR="00694700" w:rsidRPr="00694700">
        <w:rPr>
          <w:sz w:val="24"/>
          <w:lang w:val="de-DE"/>
        </w:rPr>
        <w:tab/>
      </w:r>
      <w:r w:rsidRPr="00694700">
        <w:rPr>
          <w:sz w:val="24"/>
          <w:lang w:val="de-DE"/>
        </w:rPr>
        <w:t>ABl. C </w:t>
      </w:r>
      <w:r w:rsidRPr="00E0686E">
        <w:rPr>
          <w:sz w:val="24"/>
          <w:lang w:val="de-DE"/>
        </w:rPr>
        <w:t>143</w:t>
      </w:r>
      <w:r w:rsidRPr="00694700">
        <w:rPr>
          <w:sz w:val="24"/>
          <w:lang w:val="de-DE"/>
        </w:rPr>
        <w:t xml:space="preserve"> vom </w:t>
      </w:r>
      <w:r w:rsidRPr="00E0686E">
        <w:rPr>
          <w:sz w:val="24"/>
          <w:lang w:val="de-DE"/>
        </w:rPr>
        <w:t>10</w:t>
      </w:r>
      <w:r w:rsidRPr="00694700">
        <w:rPr>
          <w:sz w:val="24"/>
          <w:lang w:val="de-DE"/>
        </w:rPr>
        <w:t>.</w:t>
      </w:r>
      <w:r w:rsidRPr="00E0686E">
        <w:rPr>
          <w:sz w:val="24"/>
          <w:lang w:val="de-DE"/>
        </w:rPr>
        <w:t>6</w:t>
      </w:r>
      <w:r w:rsidRPr="00694700">
        <w:rPr>
          <w:sz w:val="24"/>
          <w:lang w:val="de-DE"/>
        </w:rPr>
        <w:t>.</w:t>
      </w:r>
      <w:r w:rsidRPr="00E0686E">
        <w:rPr>
          <w:sz w:val="24"/>
          <w:lang w:val="de-DE"/>
        </w:rPr>
        <w:t>2008</w:t>
      </w:r>
      <w:r w:rsidRPr="00694700">
        <w:rPr>
          <w:sz w:val="24"/>
          <w:lang w:val="de-DE"/>
        </w:rPr>
        <w:t>, S. </w:t>
      </w:r>
      <w:r w:rsidRPr="00E0686E">
        <w:rPr>
          <w:sz w:val="24"/>
          <w:lang w:val="de-DE"/>
        </w:rPr>
        <w:t>1</w:t>
      </w:r>
      <w:r w:rsidRPr="00694700">
        <w:rPr>
          <w:sz w:val="24"/>
          <w:lang w:val="de-DE"/>
        </w:rPr>
        <w:t>.</w:t>
      </w:r>
    </w:p>
  </w:footnote>
  <w:footnote w:id="3">
    <w:p w:rsidR="0068019C" w:rsidRPr="00694700" w:rsidRDefault="0068019C" w:rsidP="00694700">
      <w:pPr>
        <w:pStyle w:val="FootnoteText"/>
        <w:ind w:left="567" w:hanging="567"/>
        <w:rPr>
          <w:sz w:val="24"/>
          <w:lang w:val="de-DE"/>
        </w:rPr>
      </w:pPr>
      <w:r w:rsidRPr="00694700">
        <w:rPr>
          <w:rStyle w:val="FootnoteReference"/>
          <w:sz w:val="24"/>
          <w:lang w:val="de-DE"/>
        </w:rPr>
        <w:footnoteRef/>
      </w:r>
      <w:r w:rsidR="00694700" w:rsidRPr="00694700">
        <w:rPr>
          <w:sz w:val="24"/>
          <w:lang w:val="de-DE"/>
        </w:rPr>
        <w:t xml:space="preserve"> </w:t>
      </w:r>
      <w:r w:rsidR="00694700" w:rsidRPr="00694700">
        <w:rPr>
          <w:sz w:val="24"/>
          <w:lang w:val="de-DE"/>
        </w:rPr>
        <w:tab/>
      </w:r>
      <w:r w:rsidRPr="00694700">
        <w:rPr>
          <w:sz w:val="24"/>
          <w:lang w:val="de-DE"/>
        </w:rPr>
        <w:t>ABl. L </w:t>
      </w:r>
      <w:r w:rsidRPr="00E0686E">
        <w:rPr>
          <w:sz w:val="24"/>
          <w:lang w:val="de-DE"/>
        </w:rPr>
        <w:t>193</w:t>
      </w:r>
      <w:r w:rsidRPr="00694700">
        <w:rPr>
          <w:sz w:val="24"/>
          <w:lang w:val="de-DE"/>
        </w:rPr>
        <w:t xml:space="preserve"> vom </w:t>
      </w:r>
      <w:r w:rsidRPr="00E0686E">
        <w:rPr>
          <w:sz w:val="24"/>
          <w:lang w:val="de-DE"/>
        </w:rPr>
        <w:t>30</w:t>
      </w:r>
      <w:r w:rsidRPr="00694700">
        <w:rPr>
          <w:sz w:val="24"/>
          <w:lang w:val="de-DE"/>
        </w:rPr>
        <w:t>.</w:t>
      </w:r>
      <w:r w:rsidRPr="00E0686E">
        <w:rPr>
          <w:sz w:val="24"/>
          <w:lang w:val="de-DE"/>
        </w:rPr>
        <w:t>7</w:t>
      </w:r>
      <w:r w:rsidRPr="00694700">
        <w:rPr>
          <w:sz w:val="24"/>
          <w:lang w:val="de-DE"/>
        </w:rPr>
        <w:t>.</w:t>
      </w:r>
      <w:r w:rsidRPr="00E0686E">
        <w:rPr>
          <w:sz w:val="24"/>
          <w:lang w:val="de-DE"/>
        </w:rPr>
        <w:t>2018</w:t>
      </w:r>
      <w:r w:rsidRPr="00694700">
        <w:rPr>
          <w:sz w:val="24"/>
          <w:lang w:val="de-DE"/>
        </w:rPr>
        <w:t>, S. </w:t>
      </w:r>
      <w:r w:rsidRPr="00E0686E">
        <w:rPr>
          <w:sz w:val="24"/>
          <w:lang w:val="de-DE"/>
        </w:rPr>
        <w:t>1</w:t>
      </w:r>
      <w:r w:rsidRPr="00694700">
        <w:rPr>
          <w:sz w:val="24"/>
          <w:lang w:val="de-DE"/>
        </w:rPr>
        <w:t>.</w:t>
      </w:r>
    </w:p>
  </w:footnote>
  <w:footnote w:id="4">
    <w:p w:rsidR="0068019C" w:rsidRPr="00694700" w:rsidRDefault="0068019C" w:rsidP="00694700">
      <w:pPr>
        <w:pStyle w:val="FootnoteText"/>
        <w:ind w:left="567" w:hanging="567"/>
        <w:rPr>
          <w:sz w:val="24"/>
          <w:lang w:val="de-DE"/>
        </w:rPr>
      </w:pPr>
      <w:r w:rsidRPr="00694700">
        <w:rPr>
          <w:rStyle w:val="FootnoteReference"/>
          <w:sz w:val="24"/>
          <w:lang w:val="de-DE"/>
        </w:rPr>
        <w:footnoteRef/>
      </w:r>
      <w:r w:rsidR="00694700" w:rsidRPr="00694700">
        <w:rPr>
          <w:sz w:val="24"/>
          <w:lang w:val="de-DE"/>
        </w:rPr>
        <w:t xml:space="preserve"> </w:t>
      </w:r>
      <w:r w:rsidR="00694700" w:rsidRPr="00694700">
        <w:rPr>
          <w:sz w:val="24"/>
          <w:lang w:val="de-DE"/>
        </w:rPr>
        <w:tab/>
      </w:r>
      <w:r w:rsidRPr="00694700">
        <w:rPr>
          <w:sz w:val="24"/>
          <w:lang w:val="de-DE"/>
        </w:rPr>
        <w:t>ABl. L </w:t>
      </w:r>
      <w:r w:rsidRPr="00E0686E">
        <w:rPr>
          <w:sz w:val="24"/>
          <w:lang w:val="de-DE"/>
        </w:rPr>
        <w:t>97</w:t>
      </w:r>
      <w:r w:rsidRPr="00694700">
        <w:rPr>
          <w:sz w:val="24"/>
          <w:lang w:val="de-DE"/>
        </w:rPr>
        <w:t xml:space="preserve"> vom </w:t>
      </w:r>
      <w:r w:rsidRPr="00E0686E">
        <w:rPr>
          <w:sz w:val="24"/>
          <w:lang w:val="de-DE"/>
        </w:rPr>
        <w:t>30</w:t>
      </w:r>
      <w:r w:rsidRPr="00694700">
        <w:rPr>
          <w:sz w:val="24"/>
          <w:lang w:val="de-DE"/>
        </w:rPr>
        <w:t>.</w:t>
      </w:r>
      <w:r w:rsidRPr="00E0686E">
        <w:rPr>
          <w:sz w:val="24"/>
          <w:lang w:val="de-DE"/>
        </w:rPr>
        <w:t>3</w:t>
      </w:r>
      <w:r w:rsidRPr="00694700">
        <w:rPr>
          <w:sz w:val="24"/>
          <w:lang w:val="de-DE"/>
        </w:rPr>
        <w:t>.</w:t>
      </w:r>
      <w:r w:rsidRPr="00E0686E">
        <w:rPr>
          <w:sz w:val="24"/>
          <w:lang w:val="de-DE"/>
        </w:rPr>
        <w:t>1998</w:t>
      </w:r>
      <w:r w:rsidRPr="00694700">
        <w:rPr>
          <w:sz w:val="24"/>
          <w:lang w:val="de-DE"/>
        </w:rPr>
        <w:t>, S. </w:t>
      </w:r>
      <w:r w:rsidRPr="00E0686E">
        <w:rPr>
          <w:sz w:val="24"/>
          <w:lang w:val="de-DE"/>
        </w:rPr>
        <w:t>2</w:t>
      </w:r>
      <w:r w:rsidRPr="00694700">
        <w:rPr>
          <w:sz w:val="24"/>
          <w:lang w:val="de-DE"/>
        </w:rPr>
        <w:t>.</w:t>
      </w:r>
    </w:p>
  </w:footnote>
  <w:footnote w:id="5">
    <w:p w:rsidR="0068019C" w:rsidRPr="00BD70CB" w:rsidRDefault="0068019C" w:rsidP="00694700">
      <w:pPr>
        <w:pStyle w:val="FootnoteText"/>
        <w:ind w:left="567" w:hanging="567"/>
        <w:rPr>
          <w:sz w:val="24"/>
          <w:lang w:val="fi-FI"/>
        </w:rPr>
      </w:pPr>
      <w:r w:rsidRPr="00694700">
        <w:rPr>
          <w:rStyle w:val="FootnoteReference"/>
          <w:sz w:val="24"/>
          <w:lang w:val="de-DE"/>
        </w:rPr>
        <w:footnoteRef/>
      </w:r>
      <w:r w:rsidR="00694700" w:rsidRPr="00BD70CB">
        <w:rPr>
          <w:sz w:val="24"/>
          <w:lang w:val="fi-FI"/>
        </w:rPr>
        <w:t xml:space="preserve"> </w:t>
      </w:r>
      <w:r w:rsidR="00694700" w:rsidRPr="00BD70CB">
        <w:rPr>
          <w:sz w:val="24"/>
          <w:lang w:val="fi-FI"/>
        </w:rPr>
        <w:tab/>
      </w:r>
      <w:r w:rsidRPr="00BD70CB">
        <w:rPr>
          <w:sz w:val="24"/>
          <w:lang w:val="fi-FI"/>
        </w:rPr>
        <w:t>ABl. C, C/2023/407, 23.11.2023, ELI: http://data.europa.eu/eli/C/2023/407/oj.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470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470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47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3/2024"/>
    <w:docVar w:name="dvlangue" w:val="DE"/>
    <w:docVar w:name="dvnumam" w:val="0"/>
    <w:docVar w:name="dvpe" w:val="759.058"/>
    <w:docVar w:name="dvtitre" w:val="Entschließung des Europäischen Parlaments vom 14. März 2024 zu der Annahme der Sondermaßnahme zugunsten Tunesiens für 2023(2024/2573(RSP))"/>
  </w:docVars>
  <w:rsids>
    <w:rsidRoot w:val="00CD05F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19C"/>
    <w:rsid w:val="00680577"/>
    <w:rsid w:val="0069470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0CB"/>
    <w:rsid w:val="00BD7BD8"/>
    <w:rsid w:val="00BE6ADC"/>
    <w:rsid w:val="00C05BFE"/>
    <w:rsid w:val="00C23CD4"/>
    <w:rsid w:val="00C61C0C"/>
    <w:rsid w:val="00C941CB"/>
    <w:rsid w:val="00CC2357"/>
    <w:rsid w:val="00CD05F0"/>
    <w:rsid w:val="00CF071A"/>
    <w:rsid w:val="00D058B8"/>
    <w:rsid w:val="00D56C11"/>
    <w:rsid w:val="00D834A0"/>
    <w:rsid w:val="00D872DF"/>
    <w:rsid w:val="00D91E21"/>
    <w:rsid w:val="00DA7FCD"/>
    <w:rsid w:val="00E0686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28F3FA"/>
  <w15:chartTrackingRefBased/>
  <w15:docId w15:val="{B256583B-DE4E-4204-BE92-4A0A06EA0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8019C"/>
    <w:pPr>
      <w:spacing w:before="480" w:after="240"/>
    </w:pPr>
  </w:style>
  <w:style w:type="paragraph" w:customStyle="1" w:styleId="NormalHanging12a">
    <w:name w:val="NormalHanging12a"/>
    <w:basedOn w:val="Normal"/>
    <w:rsid w:val="0068019C"/>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96A69-F43E-47A0-94C6-B8147B360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2083</Words>
  <Characters>11877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2024-03-14T12:24:00Z</dcterms:created>
  <dcterms:modified xsi:type="dcterms:W3CDTF">2024-03-14T12:24:00Z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B9-0173/2024</vt:lpwstr>
  </property>
  <property fmtid="{D5CDD505-2E9C-101B-9397-08002B2CF9AE}" pid="4" name="&lt;Type&gt;">
    <vt:lpwstr>RR</vt:lpwstr>
  </property>
</Properties>
</file>