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78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789D" w:rsidRDefault="00A5463F" w:rsidP="0010095E">
            <w:pPr>
              <w:pStyle w:val="EPName"/>
            </w:pPr>
            <w:r w:rsidRPr="001D789D">
              <w:t>Európai Parlament</w:t>
            </w:r>
            <w:bookmarkStart w:id="0" w:name="_GoBack"/>
            <w:bookmarkEnd w:id="0"/>
          </w:p>
          <w:p w:rsidR="00751A4A" w:rsidRPr="001D789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789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D789D" w:rsidRDefault="00187494" w:rsidP="0010095E">
            <w:pPr>
              <w:pStyle w:val="EPLogo"/>
            </w:pPr>
            <w:r w:rsidRPr="001D789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789D" w:rsidRDefault="00D058B8" w:rsidP="004C5D52">
      <w:pPr>
        <w:pStyle w:val="LineTop"/>
      </w:pPr>
    </w:p>
    <w:p w:rsidR="00680577" w:rsidRPr="001D789D" w:rsidRDefault="00A5463F" w:rsidP="00680577">
      <w:pPr>
        <w:pStyle w:val="EPBodyTA1"/>
      </w:pPr>
      <w:r w:rsidRPr="001D789D">
        <w:t>ELFOGADOTT SZÖVEGEK</w:t>
      </w:r>
    </w:p>
    <w:p w:rsidR="00D058B8" w:rsidRPr="001D789D" w:rsidRDefault="00D058B8" w:rsidP="00D058B8">
      <w:pPr>
        <w:pStyle w:val="LineBottom"/>
      </w:pPr>
    </w:p>
    <w:p w:rsidR="00A5463F" w:rsidRPr="00BF25BD" w:rsidRDefault="00A5463F" w:rsidP="00A5463F">
      <w:pPr>
        <w:pStyle w:val="ATHeading1"/>
      </w:pPr>
      <w:bookmarkStart w:id="1" w:name="TANumber"/>
      <w:r w:rsidRPr="00BF25BD">
        <w:t>P9_</w:t>
      </w:r>
      <w:proofErr w:type="gramStart"/>
      <w:r w:rsidRPr="00BF25BD">
        <w:t>TA(</w:t>
      </w:r>
      <w:proofErr w:type="gramEnd"/>
      <w:r w:rsidRPr="00BF25BD">
        <w:t>2024)</w:t>
      </w:r>
      <w:bookmarkEnd w:id="1"/>
      <w:r w:rsidR="00BF25BD" w:rsidRPr="00BF25BD">
        <w:t>0</w:t>
      </w:r>
      <w:r w:rsidR="00BF25BD">
        <w:t>175</w:t>
      </w:r>
    </w:p>
    <w:p w:rsidR="00A5463F" w:rsidRPr="00BF25BD" w:rsidRDefault="0077772D" w:rsidP="00A5463F">
      <w:pPr>
        <w:pStyle w:val="ATHeading2"/>
      </w:pPr>
      <w:bookmarkStart w:id="2" w:name="title"/>
      <w:r w:rsidRPr="00BF25BD">
        <w:rPr>
          <w:bCs/>
        </w:rPr>
        <w:t>A Tunéziára vonatkozó 2023. évi különleges intézkedés elfogadása</w:t>
      </w:r>
      <w:bookmarkEnd w:id="2"/>
    </w:p>
    <w:p w:rsidR="00A5463F" w:rsidRPr="001D789D" w:rsidRDefault="00A5463F" w:rsidP="00A5463F">
      <w:pPr>
        <w:rPr>
          <w:i/>
          <w:vanish/>
        </w:rPr>
      </w:pPr>
      <w:r w:rsidRPr="001D789D">
        <w:rPr>
          <w:i/>
        </w:rPr>
        <w:fldChar w:fldCharType="begin"/>
      </w:r>
      <w:r w:rsidRPr="001D789D">
        <w:rPr>
          <w:i/>
        </w:rPr>
        <w:instrText xml:space="preserve"> TC"(</w:instrText>
      </w:r>
      <w:bookmarkStart w:id="3" w:name="DocNumber"/>
      <w:r w:rsidRPr="001D789D">
        <w:rPr>
          <w:i/>
        </w:rPr>
        <w:instrText>B9-0173/2024</w:instrText>
      </w:r>
      <w:bookmarkEnd w:id="3"/>
      <w:r w:rsidRPr="001D789D">
        <w:rPr>
          <w:i/>
        </w:rPr>
        <w:instrText xml:space="preserve">)"\l3 \n&gt; \* MERGEFORMAT </w:instrText>
      </w:r>
      <w:r w:rsidRPr="001D789D">
        <w:rPr>
          <w:i/>
        </w:rPr>
        <w:fldChar w:fldCharType="end"/>
      </w:r>
    </w:p>
    <w:p w:rsidR="00A5463F" w:rsidRPr="001D789D" w:rsidRDefault="00A5463F" w:rsidP="00A5463F">
      <w:pPr>
        <w:rPr>
          <w:vanish/>
        </w:rPr>
      </w:pPr>
      <w:bookmarkStart w:id="4" w:name="PE"/>
      <w:r w:rsidRPr="001D789D">
        <w:rPr>
          <w:vanish/>
        </w:rPr>
        <w:t>PE759.058</w:t>
      </w:r>
      <w:bookmarkEnd w:id="4"/>
    </w:p>
    <w:p w:rsidR="00A5463F" w:rsidRPr="00BF25BD" w:rsidRDefault="00A5463F" w:rsidP="00A5463F">
      <w:pPr>
        <w:pStyle w:val="ATHeading3"/>
      </w:pPr>
      <w:bookmarkStart w:id="5" w:name="Sujet"/>
      <w:r w:rsidRPr="00BF25BD">
        <w:t xml:space="preserve">Az Európai Parlament 2024. </w:t>
      </w:r>
      <w:r w:rsidR="0077772D" w:rsidRPr="00BF25BD">
        <w:t>március 14</w:t>
      </w:r>
      <w:r w:rsidRPr="00BF25BD">
        <w:t>-i állásfoglalása a Tunéziára vonatkozó 2023. évi különleges intézkedés elfogadásáról</w:t>
      </w:r>
      <w:bookmarkEnd w:id="5"/>
      <w:r w:rsidRPr="00BF25BD">
        <w:t xml:space="preserve"> </w:t>
      </w:r>
      <w:bookmarkStart w:id="6" w:name="References"/>
      <w:r w:rsidRPr="00BF25BD">
        <w:t>(2024/</w:t>
      </w:r>
      <w:proofErr w:type="gramStart"/>
      <w:r w:rsidRPr="00BF25BD">
        <w:t>2573(</w:t>
      </w:r>
      <w:proofErr w:type="gramEnd"/>
      <w:r w:rsidRPr="00BF25BD">
        <w:t>RSP))</w:t>
      </w:r>
      <w:bookmarkEnd w:id="6"/>
    </w:p>
    <w:p w:rsidR="00675C1D" w:rsidRPr="001D789D" w:rsidRDefault="00675C1D" w:rsidP="00675C1D">
      <w:pPr>
        <w:pStyle w:val="EPComma"/>
      </w:pPr>
      <w:bookmarkStart w:id="7" w:name="TextBodyBegin"/>
      <w:bookmarkEnd w:id="7"/>
      <w:r w:rsidRPr="001D789D">
        <w:rPr>
          <w:i/>
        </w:rPr>
        <w:t>Az Európai Parlament</w:t>
      </w:r>
      <w:r w:rsidRPr="001D789D">
        <w:t>,</w:t>
      </w:r>
    </w:p>
    <w:p w:rsidR="00675C1D" w:rsidRPr="001D789D" w:rsidRDefault="00675C1D" w:rsidP="0077772D">
      <w:pPr>
        <w:pStyle w:val="NormalHanging12a"/>
        <w:widowControl/>
      </w:pPr>
      <w:r w:rsidRPr="001D789D">
        <w:t>–</w:t>
      </w:r>
      <w:r w:rsidRPr="001D789D">
        <w:tab/>
        <w:t>tekintettel az Európai Unióról szóló szerződésre (EUSZ), különösen annak 14. cikkére,</w:t>
      </w:r>
    </w:p>
    <w:p w:rsidR="00675C1D" w:rsidRPr="001D789D" w:rsidRDefault="00675C1D" w:rsidP="0077772D">
      <w:pPr>
        <w:pStyle w:val="NormalHanging12a"/>
        <w:widowControl/>
      </w:pPr>
      <w:r w:rsidRPr="001D789D">
        <w:t>–</w:t>
      </w:r>
      <w:r w:rsidRPr="001D789D">
        <w:tab/>
        <w:t>tekintettel az Európai Unió működéséről szóló szerződésre (EUMSZ),</w:t>
      </w:r>
    </w:p>
    <w:p w:rsidR="00675C1D" w:rsidRPr="001D789D" w:rsidRDefault="00675C1D" w:rsidP="0077772D">
      <w:pPr>
        <w:pStyle w:val="NormalHanging12a"/>
        <w:widowControl/>
      </w:pPr>
      <w:r w:rsidRPr="001D789D">
        <w:t>–</w:t>
      </w:r>
      <w:r w:rsidRPr="001D789D">
        <w:tab/>
        <w:t>tekintettel a Szomszédsági, Fejlesztési és Nemzetközi Együttműködési Eszköz (Globális Európa) létrehozásáról, a 466/2014/EU európai parlamenti és tanácsi határozat módosításáról és hatályon kívül helyezéséről, valamint az (EU) 2017/1601 európai parlamenti és tanácsi rendelet és a 480/2009/EK, Euratom tanácsi rendelet hatályon kívül helyezéséről szóló, 2021. június 9-i (EU) 2021/947 európai parlamenti és tanácsi rendeletre</w:t>
      </w:r>
      <w:r w:rsidRPr="001D789D">
        <w:rPr>
          <w:rStyle w:val="FootnoteReference"/>
          <w:szCs w:val="24"/>
        </w:rPr>
        <w:footnoteReference w:id="1"/>
      </w:r>
      <w:r w:rsidRPr="001D789D">
        <w:t xml:space="preserve"> (NDICI - Globális Európa-rendelet),</w:t>
      </w:r>
    </w:p>
    <w:p w:rsidR="00675C1D" w:rsidRPr="001D789D" w:rsidRDefault="00675C1D" w:rsidP="0077772D">
      <w:pPr>
        <w:pStyle w:val="NormalHanging12a"/>
        <w:widowControl/>
      </w:pPr>
      <w:r w:rsidRPr="001D789D">
        <w:t>–</w:t>
      </w:r>
      <w:r w:rsidRPr="001D789D">
        <w:tab/>
        <w:t>tekintettel az Európai Parlament és a Bizottság közötti, a Bizottságra ruházott végrehajtási hatáskörök gyakorlására vonatkozó eljárások megállapításáról szóló, a 2006/512/EK határozattal módosított 1999/468/EK tanácsi határozat végrehajtására vonatkozó eljárásokról szóló 2008. június 3-i megállapodásra</w:t>
      </w:r>
      <w:r w:rsidRPr="001D789D">
        <w:rPr>
          <w:rStyle w:val="FootnoteReference"/>
        </w:rPr>
        <w:footnoteReference w:id="2"/>
      </w:r>
      <w:r w:rsidRPr="001D789D">
        <w:t>,</w:t>
      </w:r>
    </w:p>
    <w:p w:rsidR="00675C1D" w:rsidRPr="001D789D" w:rsidRDefault="00675C1D" w:rsidP="0077772D">
      <w:pPr>
        <w:pStyle w:val="NormalHanging12a"/>
        <w:widowControl/>
      </w:pPr>
      <w:proofErr w:type="gramStart"/>
      <w:r w:rsidRPr="001D789D">
        <w:t>–</w:t>
      </w:r>
      <w:r w:rsidRPr="001D789D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1D789D">
        <w:rPr>
          <w:rStyle w:val="FootnoteReference"/>
          <w:color w:val="000000"/>
          <w:szCs w:val="24"/>
        </w:rPr>
        <w:footnoteReference w:id="3"/>
      </w:r>
      <w:r w:rsidRPr="001D789D">
        <w:t xml:space="preserve"> (a továbbiakban: a költségvetési rendelet),</w:t>
      </w:r>
      <w:proofErr w:type="gramEnd"/>
    </w:p>
    <w:p w:rsidR="00675C1D" w:rsidRPr="001D789D" w:rsidRDefault="00675C1D" w:rsidP="0077772D">
      <w:pPr>
        <w:pStyle w:val="NormalHanging12a"/>
        <w:widowControl/>
      </w:pPr>
      <w:r w:rsidRPr="001D789D">
        <w:t>–</w:t>
      </w:r>
      <w:r w:rsidRPr="001D789D">
        <w:tab/>
        <w:t>tekintettel az egyrészről az Európai Közösségek és azok tagállamai, másrészről a Tunéziai Köztársaság közötti társulást létrehozó euromediterrán megállapodásra</w:t>
      </w:r>
      <w:r w:rsidRPr="001D789D">
        <w:rPr>
          <w:rStyle w:val="FootnoteReference"/>
        </w:rPr>
        <w:footnoteReference w:id="4"/>
      </w:r>
      <w:r w:rsidRPr="001D789D">
        <w:t>,</w:t>
      </w:r>
    </w:p>
    <w:p w:rsidR="00675C1D" w:rsidRPr="001D789D" w:rsidRDefault="00675C1D" w:rsidP="0077772D">
      <w:pPr>
        <w:pStyle w:val="NormalHanging12a"/>
        <w:widowControl/>
      </w:pPr>
      <w:r w:rsidRPr="001D789D">
        <w:lastRenderedPageBreak/>
        <w:t>–</w:t>
      </w:r>
      <w:r w:rsidRPr="001D789D">
        <w:tab/>
        <w:t xml:space="preserve">tekintettel a Tunéziáról szóló korábbi állásfoglalásaira, különösen a véleménynyilvánítás és az egyesülés szabadsága, valamint a szakszervezetek elleni közelmúltbeli tunéziai támadásokról, különösen </w:t>
      </w:r>
      <w:proofErr w:type="spellStart"/>
      <w:r w:rsidRPr="001D789D">
        <w:t>Núreddín</w:t>
      </w:r>
      <w:proofErr w:type="spellEnd"/>
      <w:r w:rsidRPr="001D789D">
        <w:t xml:space="preserve"> </w:t>
      </w:r>
      <w:proofErr w:type="spellStart"/>
      <w:r w:rsidRPr="001D789D">
        <w:t>Bútár</w:t>
      </w:r>
      <w:proofErr w:type="spellEnd"/>
      <w:r w:rsidRPr="001D789D">
        <w:t xml:space="preserve"> újságíró ügyéről szóló, 2023. március 16-i állásfoglalására</w:t>
      </w:r>
      <w:r w:rsidRPr="001D789D">
        <w:rPr>
          <w:rStyle w:val="FootnoteReference"/>
        </w:rPr>
        <w:footnoteReference w:id="5"/>
      </w:r>
      <w:r w:rsidRPr="001D789D">
        <w:t>,</w:t>
      </w:r>
    </w:p>
    <w:p w:rsidR="00675C1D" w:rsidRPr="001D789D" w:rsidRDefault="00675C1D" w:rsidP="0077772D">
      <w:pPr>
        <w:pStyle w:val="NormalHanging12a"/>
        <w:widowControl/>
      </w:pPr>
      <w:r w:rsidRPr="001D789D">
        <w:t>–</w:t>
      </w:r>
      <w:r w:rsidRPr="001D789D">
        <w:tab/>
        <w:t xml:space="preserve">tekintettel </w:t>
      </w:r>
      <w:proofErr w:type="spellStart"/>
      <w:r w:rsidRPr="001D789D">
        <w:t>Ursula</w:t>
      </w:r>
      <w:proofErr w:type="spellEnd"/>
      <w:r w:rsidRPr="001D789D">
        <w:t xml:space="preserve"> von der </w:t>
      </w:r>
      <w:proofErr w:type="spellStart"/>
      <w:r w:rsidRPr="001D789D">
        <w:t>Leyen</w:t>
      </w:r>
      <w:proofErr w:type="spellEnd"/>
      <w:r w:rsidRPr="001D789D">
        <w:t xml:space="preserve">, a Bizottság elnöke, </w:t>
      </w:r>
      <w:proofErr w:type="spellStart"/>
      <w:r w:rsidRPr="001D789D">
        <w:t>Meloni</w:t>
      </w:r>
      <w:proofErr w:type="spellEnd"/>
      <w:r w:rsidRPr="001D789D">
        <w:t xml:space="preserve"> olasz miniszterelnök, </w:t>
      </w:r>
      <w:proofErr w:type="spellStart"/>
      <w:r w:rsidRPr="001D789D">
        <w:t>Rutte</w:t>
      </w:r>
      <w:proofErr w:type="spellEnd"/>
      <w:r w:rsidRPr="001D789D">
        <w:t xml:space="preserve"> holland miniszterelnök és </w:t>
      </w:r>
      <w:proofErr w:type="spellStart"/>
      <w:r w:rsidRPr="001D789D">
        <w:t>Szaid</w:t>
      </w:r>
      <w:proofErr w:type="spellEnd"/>
      <w:r w:rsidRPr="001D789D">
        <w:t xml:space="preserve"> tunéziai elnök 2023. június 11-i sajtónyilatkozatára,</w:t>
      </w:r>
    </w:p>
    <w:p w:rsidR="00675C1D" w:rsidRPr="001D789D" w:rsidRDefault="00675C1D" w:rsidP="0077772D">
      <w:pPr>
        <w:pStyle w:val="NormalHanging12a"/>
        <w:widowControl/>
      </w:pPr>
      <w:r w:rsidRPr="001D789D">
        <w:t>–</w:t>
      </w:r>
      <w:r w:rsidRPr="001D789D">
        <w:tab/>
        <w:t xml:space="preserve">tekintettel az EU és Tunézia közötti stratégiai és </w:t>
      </w:r>
      <w:proofErr w:type="gramStart"/>
      <w:r w:rsidRPr="001D789D">
        <w:t>globális</w:t>
      </w:r>
      <w:proofErr w:type="gramEnd"/>
      <w:r w:rsidRPr="001D789D">
        <w:t xml:space="preserve"> partnerségről szóló, 2023. július 16-i egyetértési megállapodásra,</w:t>
      </w:r>
    </w:p>
    <w:p w:rsidR="00675C1D" w:rsidRPr="001D789D" w:rsidRDefault="00675C1D" w:rsidP="0077772D">
      <w:pPr>
        <w:pStyle w:val="NormalHanging12a"/>
        <w:widowControl/>
      </w:pPr>
      <w:r w:rsidRPr="001D789D">
        <w:t>–</w:t>
      </w:r>
      <w:r w:rsidRPr="001D789D">
        <w:tab/>
        <w:t xml:space="preserve">tekintettel a Tunéziát támogató 2023. évi különleges intézkedés </w:t>
      </w:r>
      <w:proofErr w:type="gramStart"/>
      <w:r w:rsidRPr="001D789D">
        <w:t>finanszírozásáról</w:t>
      </w:r>
      <w:proofErr w:type="gramEnd"/>
      <w:r w:rsidRPr="001D789D">
        <w:t xml:space="preserve"> szóló, 2023. december 20-i bizottsági végrehajtási határozatra (C(2023)9184) és az azt kísérő, a tunéziai makrogazdasági reformokat támogató programról szóló cselekvési dokumentumra,</w:t>
      </w:r>
    </w:p>
    <w:p w:rsidR="00675C1D" w:rsidRPr="001D789D" w:rsidRDefault="00675C1D" w:rsidP="0077772D">
      <w:pPr>
        <w:pStyle w:val="NormalHanging12a"/>
        <w:widowControl/>
      </w:pPr>
      <w:r w:rsidRPr="001D789D">
        <w:t>–</w:t>
      </w:r>
      <w:r w:rsidRPr="001D789D">
        <w:tab/>
        <w:t>tekintettel eljárási szabályzata 136. cikkének (5) bekezdésére és 132. cikkének (2) bekezdésére,</w:t>
      </w:r>
    </w:p>
    <w:p w:rsidR="00675C1D" w:rsidRPr="001D789D" w:rsidRDefault="00675C1D" w:rsidP="0077772D">
      <w:pPr>
        <w:pStyle w:val="NormalHanging12a"/>
        <w:widowControl/>
      </w:pPr>
      <w:r w:rsidRPr="001D789D">
        <w:t>–</w:t>
      </w:r>
      <w:r w:rsidRPr="001D789D">
        <w:tab/>
        <w:t>tekintettel a Külügyi Bizottság és a Fejlesztési Bizottság állásfoglalási indítványára,</w:t>
      </w:r>
    </w:p>
    <w:p w:rsidR="00675C1D" w:rsidRPr="001D789D" w:rsidRDefault="00675C1D" w:rsidP="0077772D">
      <w:pPr>
        <w:pStyle w:val="NormalHanging12a"/>
        <w:widowControl/>
      </w:pPr>
      <w:proofErr w:type="gramStart"/>
      <w:r w:rsidRPr="001D789D">
        <w:t>A.</w:t>
      </w:r>
      <w:proofErr w:type="gramEnd"/>
      <w:r w:rsidRPr="001D789D">
        <w:tab/>
      </w:r>
      <w:proofErr w:type="gramStart"/>
      <w:r w:rsidRPr="001D789D">
        <w:t>mivel az EUSZ 21. cikke kifejezetten úgy rendelkezik, hogy „az Unió nemzetközi szintű fellépése azon elvekre épül, amelyek létrehozását, fejlődését és bővítését vezérelték, és arra irányul, hogy ezek érvényesülését a világ többi részén is előbbre vigye; ezek az alapelvek a demokrácia, a jogállamiság, az emberi jogok és alapvető szabadságok egyetemes és oszthatatlan volta, az emberi méltóság tiszteletben tartása, az egyenlőség és a szolidaritás elvei, valamint az Egyesült Nemzetek Alapokmányában foglalt elvek és a nemzetközi jog tiszteletben tartása”;</w:t>
      </w:r>
      <w:proofErr w:type="gramEnd"/>
    </w:p>
    <w:p w:rsidR="00675C1D" w:rsidRPr="001D789D" w:rsidRDefault="00675C1D" w:rsidP="0077772D">
      <w:pPr>
        <w:pStyle w:val="NormalHanging12a"/>
        <w:widowControl/>
      </w:pPr>
      <w:r w:rsidRPr="001D789D">
        <w:t>B.</w:t>
      </w:r>
      <w:r w:rsidRPr="001D789D">
        <w:tab/>
        <w:t xml:space="preserve">mivel az EU–Tunézia euromediterrán megállapodás 2. cikke megállapítja, hogy „a Felek közötti kapcsolatok, akárcsak e megállapodás rendelkezései, az emberi jogok és a demokratikus alapelvek tiszteletben tartásán alapulnak, </w:t>
      </w:r>
      <w:proofErr w:type="gramStart"/>
      <w:r w:rsidRPr="001D789D">
        <w:t>amelyek</w:t>
      </w:r>
      <w:proofErr w:type="gramEnd"/>
      <w:r w:rsidRPr="001D789D">
        <w:t xml:space="preserve"> irányadóak a Felek hazai és nemzetközi politikáira és e megállapodás lényegi elemét képezik”;</w:t>
      </w:r>
    </w:p>
    <w:p w:rsidR="00675C1D" w:rsidRPr="001D789D" w:rsidRDefault="00675C1D" w:rsidP="0077772D">
      <w:pPr>
        <w:pStyle w:val="NormalHanging12a"/>
        <w:widowControl/>
      </w:pPr>
      <w:proofErr w:type="gramStart"/>
      <w:r w:rsidRPr="001D789D">
        <w:t>C.</w:t>
      </w:r>
      <w:r w:rsidRPr="001D789D">
        <w:tab/>
        <w:t>mivel az NDICI - Globális Európa-rendelet 29. cikke kizárja azokat az intézkedéseket, amelyek az emberi jogok megsértését eredményezhetik a partnerországokban; mivel a rendelet 25. cikkének (5) bekezdése elvárja, hogy a Bizottság a tervezett fellépések és intézkedések célkitűzéseivel és mértékével arányos előzetes emberi jogi hatásvizsgálatokat végezzen; mivel a rendelet 3. cikkének (4) bekezdése kimondja, hogy „[a]z eszköz szerinti kiadások legalább 93 %-</w:t>
      </w:r>
      <w:proofErr w:type="spellStart"/>
      <w:r w:rsidRPr="001D789D">
        <w:t>ának</w:t>
      </w:r>
      <w:proofErr w:type="spellEnd"/>
      <w:r w:rsidRPr="001D789D">
        <w:t xml:space="preserve"> meg kell felelnie [...] a hivatalos fejlesztési támogatásra vonatkozóan létrehozott kritériumoknak, hozzájárulva ezáltal a hivatalos</w:t>
      </w:r>
      <w:proofErr w:type="gramEnd"/>
      <w:r w:rsidRPr="001D789D">
        <w:t xml:space="preserve"> </w:t>
      </w:r>
      <w:proofErr w:type="gramStart"/>
      <w:r w:rsidRPr="001D789D">
        <w:t>fejlesztési</w:t>
      </w:r>
      <w:proofErr w:type="gramEnd"/>
      <w:r w:rsidRPr="001D789D">
        <w:t xml:space="preserve"> támogatásra vonatkozó kötelezettségvállalásokhoz [...]”;</w:t>
      </w:r>
    </w:p>
    <w:p w:rsidR="00675C1D" w:rsidRPr="001D789D" w:rsidRDefault="00675C1D" w:rsidP="0077772D">
      <w:pPr>
        <w:pStyle w:val="NormalHanging12a"/>
        <w:widowControl/>
      </w:pPr>
      <w:r w:rsidRPr="001D789D">
        <w:t>D.</w:t>
      </w:r>
      <w:r w:rsidRPr="001D789D">
        <w:tab/>
        <w:t xml:space="preserve">mivel az NDICI - Globális Európa-rendelet (40) preambulumbekezdése kimondja, hogy „[m]ivel a demokrácia, az emberi jogok és a jogállamiság tiszteletben tartása elengedhetetlen a költségvetési rendeletben említett hatékony és eredményes pénzgazdálkodáshoz, valamint a hatékony uniós </w:t>
      </w:r>
      <w:proofErr w:type="gramStart"/>
      <w:r w:rsidRPr="001D789D">
        <w:t>finanszírozáshoz</w:t>
      </w:r>
      <w:proofErr w:type="gramEnd"/>
      <w:r w:rsidRPr="001D789D">
        <w:t xml:space="preserve">, a harmadik </w:t>
      </w:r>
      <w:r w:rsidRPr="001D789D">
        <w:lastRenderedPageBreak/>
        <w:t>országokban a demokrácia, az emberi jogok vagy a jogállamiság helyzetének romlása esetén fel lehet függeszteni a támogatást”;</w:t>
      </w:r>
    </w:p>
    <w:p w:rsidR="00675C1D" w:rsidRPr="001D789D" w:rsidRDefault="00675C1D" w:rsidP="0077772D">
      <w:pPr>
        <w:pStyle w:val="NormalHanging12a"/>
        <w:widowControl/>
      </w:pPr>
      <w:r w:rsidRPr="001D789D">
        <w:t>E.</w:t>
      </w:r>
      <w:r w:rsidRPr="001D789D">
        <w:tab/>
      </w:r>
      <w:proofErr w:type="gramStart"/>
      <w:r w:rsidRPr="001D789D">
        <w:t>mivel</w:t>
      </w:r>
      <w:proofErr w:type="gramEnd"/>
      <w:r w:rsidRPr="001D789D">
        <w:t xml:space="preserve"> </w:t>
      </w:r>
      <w:proofErr w:type="spellStart"/>
      <w:r w:rsidRPr="001D789D">
        <w:t>Kaisz</w:t>
      </w:r>
      <w:proofErr w:type="spellEnd"/>
      <w:r w:rsidRPr="001D789D">
        <w:t xml:space="preserve"> </w:t>
      </w:r>
      <w:proofErr w:type="spellStart"/>
      <w:r w:rsidRPr="001D789D">
        <w:t>Szaid</w:t>
      </w:r>
      <w:proofErr w:type="spellEnd"/>
      <w:r w:rsidRPr="001D789D">
        <w:t xml:space="preserve"> elnök alatt Tunézia tekintélyelvű fordulatot és riasztó visszaesést tapasztalt a demokrácia, az emberi jogok és a jogállamiság terén; mivel az elmúlt évben </w:t>
      </w:r>
      <w:proofErr w:type="spellStart"/>
      <w:r w:rsidRPr="001D789D">
        <w:t>Kaisz</w:t>
      </w:r>
      <w:proofErr w:type="spellEnd"/>
      <w:r w:rsidRPr="001D789D">
        <w:t xml:space="preserve"> </w:t>
      </w:r>
      <w:proofErr w:type="spellStart"/>
      <w:r w:rsidRPr="001D789D">
        <w:t>Szaid</w:t>
      </w:r>
      <w:proofErr w:type="spellEnd"/>
      <w:r w:rsidRPr="001D789D">
        <w:t xml:space="preserve"> elnök parancsára önkényesen letartóztattak és fogva tartottak ellenzéki politikusokat, bírákat, a médiában dolgozókat és civil társadalmi aktivistákat;</w:t>
      </w:r>
    </w:p>
    <w:p w:rsidR="00675C1D" w:rsidRPr="001D789D" w:rsidRDefault="00675C1D" w:rsidP="0077772D">
      <w:pPr>
        <w:pStyle w:val="NormalHanging12a"/>
        <w:widowControl/>
      </w:pPr>
      <w:r w:rsidRPr="001D789D">
        <w:t>F.</w:t>
      </w:r>
      <w:r w:rsidRPr="001D789D">
        <w:tab/>
      </w:r>
      <w:proofErr w:type="gramStart"/>
      <w:r w:rsidRPr="001D789D">
        <w:t>mivel</w:t>
      </w:r>
      <w:proofErr w:type="gramEnd"/>
      <w:r w:rsidRPr="001D789D">
        <w:t xml:space="preserve"> a Bizottság a különleges intézkedést sürgősségi írásbeli eljárás keretében fogadta el;</w:t>
      </w:r>
    </w:p>
    <w:p w:rsidR="00675C1D" w:rsidRPr="001D789D" w:rsidRDefault="00675C1D" w:rsidP="0077772D">
      <w:pPr>
        <w:pStyle w:val="NormalHanging12a"/>
        <w:widowControl/>
      </w:pPr>
      <w:r w:rsidRPr="001D789D">
        <w:t>G.</w:t>
      </w:r>
      <w:r w:rsidRPr="001D789D">
        <w:tab/>
      </w:r>
      <w:proofErr w:type="gramStart"/>
      <w:r w:rsidRPr="001D789D">
        <w:t>mivel</w:t>
      </w:r>
      <w:proofErr w:type="gramEnd"/>
      <w:r w:rsidRPr="001D789D">
        <w:t xml:space="preserve"> hat hónappal korábban, a Bizottság 2023. június 11-i sajtónyilatkozatában bejelentették a Tunéziának nyújtandó 150 millió EUR összegű költségvetés-támogatást; mivel ezt a költségvetés-támogatást az EU és Tunézia közötti egyetértési megállapodás aláírása előtt jelentették be;</w:t>
      </w:r>
    </w:p>
    <w:p w:rsidR="00675C1D" w:rsidRPr="001D789D" w:rsidRDefault="00675C1D" w:rsidP="0077772D">
      <w:pPr>
        <w:pStyle w:val="NormalHanging12a"/>
        <w:widowControl/>
      </w:pPr>
      <w:r w:rsidRPr="001D789D">
        <w:t>H.</w:t>
      </w:r>
      <w:r w:rsidRPr="001D789D">
        <w:tab/>
      </w:r>
      <w:proofErr w:type="gramStart"/>
      <w:r w:rsidRPr="001D789D">
        <w:t>mivel</w:t>
      </w:r>
      <w:proofErr w:type="gramEnd"/>
      <w:r w:rsidRPr="001D789D">
        <w:t xml:space="preserve"> a különleges intézkedés sürgősségi írásbeli eljárás keretében történő elfogadása előtt nem került sor a Bizottság és a Parlament közötti informális kapcsolatfelvételre, amint azt a Parlament és a Bizottság közötti 2008. június 3-i megállapodás 12. pontja előírja;</w:t>
      </w:r>
    </w:p>
    <w:p w:rsidR="00675C1D" w:rsidRPr="001D789D" w:rsidRDefault="00675C1D" w:rsidP="0077772D">
      <w:pPr>
        <w:pStyle w:val="NormalHanging12a"/>
        <w:widowControl/>
      </w:pPr>
      <w:r w:rsidRPr="001D789D">
        <w:t>I.</w:t>
      </w:r>
      <w:r w:rsidRPr="001D789D">
        <w:tab/>
        <w:t xml:space="preserve">mivel az NDICI - Globális Európa-rendelet 27. cikkének (4) bekezdése kimondja, hogy „[a] költségvetési rendelet 236. cikke szerinti költségvetés-támogatás nyújtása során a Bizottság világosan meghatározza és nyomon követi a költségvetés-támogatás feltételeit, ideértve a reformok és az átláthatóság terén elért haladást, valamint támogatja a parlamenti ellenőrzés, a nemzeti ellenőrzési </w:t>
      </w:r>
      <w:proofErr w:type="gramStart"/>
      <w:r w:rsidRPr="001D789D">
        <w:t>kapacitások</w:t>
      </w:r>
      <w:proofErr w:type="gramEnd"/>
      <w:r w:rsidRPr="001D789D">
        <w:t xml:space="preserve"> fejlesztését, a fokozott átláthatóságot és az információkhoz való nyilvános hozzáférést”;</w:t>
      </w:r>
    </w:p>
    <w:p w:rsidR="00675C1D" w:rsidRPr="001D789D" w:rsidRDefault="00675C1D" w:rsidP="0077772D">
      <w:pPr>
        <w:pStyle w:val="NormalHanging12a"/>
        <w:widowControl/>
      </w:pPr>
      <w:r w:rsidRPr="001D789D">
        <w:t>J.</w:t>
      </w:r>
      <w:r w:rsidRPr="001D789D">
        <w:tab/>
      </w:r>
      <w:proofErr w:type="gramStart"/>
      <w:r w:rsidRPr="001D789D">
        <w:t>mivel</w:t>
      </w:r>
      <w:proofErr w:type="gramEnd"/>
      <w:r w:rsidRPr="001D789D">
        <w:t xml:space="preserve"> az EUMSZ 218. cikke meghatározza az EU és harmadik országok közötti megállapodások tárgyalására és megkötésére alkalmazandó eljárást; mivel ez az eljárás megfelelő eljárási biztosítékokat, valamint parlamenti és bírósági ellenőrzést tesz lehetővé, ezáltal növelve az </w:t>
      </w:r>
      <w:proofErr w:type="spellStart"/>
      <w:r w:rsidRPr="001D789D">
        <w:t>elszámoltathatóságot</w:t>
      </w:r>
      <w:proofErr w:type="spellEnd"/>
      <w:r w:rsidRPr="001D789D">
        <w:t xml:space="preserve"> és a demokratikus legitimitást;</w:t>
      </w:r>
    </w:p>
    <w:p w:rsidR="00675C1D" w:rsidRPr="001D789D" w:rsidRDefault="00675C1D" w:rsidP="0077772D">
      <w:pPr>
        <w:pStyle w:val="NormalHanging12a"/>
        <w:widowControl/>
      </w:pPr>
      <w:r w:rsidRPr="001D789D">
        <w:t>K.</w:t>
      </w:r>
      <w:r w:rsidRPr="001D789D">
        <w:tab/>
      </w:r>
      <w:proofErr w:type="gramStart"/>
      <w:r w:rsidRPr="001D789D">
        <w:t>mivel</w:t>
      </w:r>
      <w:proofErr w:type="gramEnd"/>
      <w:r w:rsidRPr="001D789D">
        <w:t xml:space="preserve"> 2023. szeptember 13-án megtagadták a Külügyi Bizottság küldöttségének Tunéziába való belépését, ami korlátozta a Parlament ellenőrzési jogkörének gyakorlását;</w:t>
      </w:r>
    </w:p>
    <w:p w:rsidR="00675C1D" w:rsidRPr="001D789D" w:rsidRDefault="00675C1D" w:rsidP="0077772D">
      <w:pPr>
        <w:pStyle w:val="NormalHanging12a"/>
        <w:widowControl/>
      </w:pPr>
      <w:r w:rsidRPr="001D789D">
        <w:t>L.</w:t>
      </w:r>
      <w:r w:rsidRPr="001D789D">
        <w:tab/>
        <w:t>mivel 2023. szeptember 26-án, mindössze néhány nappal a tervezett időpont előtt a tunéziai hatóságok egyoldalúan elhalasztották a Bizottság látogatását;</w:t>
      </w:r>
    </w:p>
    <w:p w:rsidR="00675C1D" w:rsidRPr="001D789D" w:rsidRDefault="00675C1D" w:rsidP="0077772D">
      <w:pPr>
        <w:pStyle w:val="NormalHanging12a"/>
        <w:widowControl/>
      </w:pPr>
      <w:r w:rsidRPr="001D789D">
        <w:t>M.</w:t>
      </w:r>
      <w:r w:rsidRPr="001D789D">
        <w:tab/>
        <w:t>mivel 2023 októberében a tunéziai elnök elutasította és visszautalta az EU 60 millió EUR összegű költségvetés-támogatását;</w:t>
      </w:r>
    </w:p>
    <w:p w:rsidR="00675C1D" w:rsidRPr="001D789D" w:rsidRDefault="00675C1D" w:rsidP="0077772D">
      <w:pPr>
        <w:pStyle w:val="NormalHanging12a"/>
        <w:widowControl/>
      </w:pPr>
      <w:r w:rsidRPr="001D789D">
        <w:t>N.</w:t>
      </w:r>
      <w:r w:rsidRPr="001D789D">
        <w:tab/>
        <w:t xml:space="preserve">mivel az EU alapvető érdeke, hogy továbbra is </w:t>
      </w:r>
      <w:proofErr w:type="spellStart"/>
      <w:r w:rsidRPr="001D789D">
        <w:t>együttműködjön</w:t>
      </w:r>
      <w:proofErr w:type="spellEnd"/>
      <w:r w:rsidRPr="001D789D">
        <w:t xml:space="preserve"> Tunéziával az országban a makrogazdasági </w:t>
      </w:r>
      <w:proofErr w:type="gramStart"/>
      <w:r w:rsidRPr="001D789D">
        <w:t>stabilitás</w:t>
      </w:r>
      <w:proofErr w:type="gramEnd"/>
      <w:r w:rsidRPr="001D789D">
        <w:t>, a jogállamiság és az emberi jogok biztosítása érdekében;</w:t>
      </w:r>
    </w:p>
    <w:p w:rsidR="00675C1D" w:rsidRPr="001D789D" w:rsidRDefault="00675C1D" w:rsidP="0077772D">
      <w:pPr>
        <w:pStyle w:val="NormalHanging12a"/>
        <w:widowControl/>
      </w:pPr>
      <w:r w:rsidRPr="001D789D">
        <w:t>1.</w:t>
      </w:r>
      <w:r w:rsidRPr="001D789D">
        <w:tab/>
        <w:t xml:space="preserve">vitatja a Tunéziát támogató különleges intézkedésre vonatkozó sürgősségi írásbeli eljárás szükségességét, mivel a Bizottság már 2023. június 11-én bejelentette a 150 millió EUR összegű költségvetés-támogatást, elegendő időt hagyva a rendes eljárás alkalmazására; úgy véli, hogy e sürgősségi írásbeli eljárás megindításának időzítése azt </w:t>
      </w:r>
      <w:r w:rsidRPr="001D789D">
        <w:lastRenderedPageBreak/>
        <w:t>mutatja, hogy nem tartják tiszteletben a parlamenti ellenőrzést és a bizottsági eljárásrendet;</w:t>
      </w:r>
    </w:p>
    <w:p w:rsidR="00675C1D" w:rsidRPr="001D789D" w:rsidRDefault="00675C1D" w:rsidP="0077772D">
      <w:pPr>
        <w:pStyle w:val="NormalHanging12a"/>
        <w:widowControl/>
      </w:pPr>
      <w:proofErr w:type="gramStart"/>
      <w:r w:rsidRPr="001D789D">
        <w:t>2.</w:t>
      </w:r>
      <w:r w:rsidRPr="001D789D">
        <w:tab/>
        <w:t>felszólítja a Bizottságot, hogy a következő magas szintű geopolitikai párbeszéd keretében adjon részletes, tényeken alapuló magyarázatot arra a kérdésre, hogy a különleges intézkedés sürgősségi írásbeli eljárás keretében történő elfogadása előtt miért nem került sor a Bizottság és a Parlament közötti informális kapcsolatfelvételre, amint azt a Parlament és a Bizottság közötti, 2008. június 3-i megállapodás 12. pontja előírja; elvárja ezért, hogy a következő magas szintű geopolitikai párbeszéd során kezeljék Tunéziát kiemelt országként;</w:t>
      </w:r>
      <w:proofErr w:type="gramEnd"/>
    </w:p>
    <w:p w:rsidR="00675C1D" w:rsidRPr="001D789D" w:rsidRDefault="00675C1D" w:rsidP="0077772D">
      <w:pPr>
        <w:pStyle w:val="NormalHanging12a"/>
        <w:widowControl/>
      </w:pPr>
      <w:r w:rsidRPr="001D789D">
        <w:t>3.</w:t>
      </w:r>
      <w:r w:rsidRPr="001D789D">
        <w:tab/>
        <w:t>úgy véli, hogy az egyetértési megállapodásban tett politikai kötelezettségvállalás, miszerint a 2023. évi költségvetés-támogatást „teljes egészében” kifizetik, nem képez jogalapot ezen intézkedés elfogadására sem az NDICI - Globális Európa-rendelet 23. cikkének (4) bekezdése szerinti különleges intézkedésként, sem pedig sürgősségi írásbeli eljárás keretében;</w:t>
      </w:r>
    </w:p>
    <w:p w:rsidR="00675C1D" w:rsidRPr="001D789D" w:rsidRDefault="00675C1D" w:rsidP="0077772D">
      <w:pPr>
        <w:pStyle w:val="NormalHanging12a"/>
        <w:widowControl/>
      </w:pPr>
      <w:r w:rsidRPr="001D789D">
        <w:t>4.</w:t>
      </w:r>
      <w:r w:rsidRPr="001D789D">
        <w:tab/>
        <w:t xml:space="preserve">sajnálja, hogy a Bizottság nem bocsátotta proaktív módon a Parlament rendelkezésére a Tunéziával kötött vonatkozó </w:t>
      </w:r>
      <w:proofErr w:type="gramStart"/>
      <w:r w:rsidRPr="001D789D">
        <w:t>finanszírozási</w:t>
      </w:r>
      <w:proofErr w:type="gramEnd"/>
      <w:r w:rsidRPr="001D789D">
        <w:t xml:space="preserve"> megállapodást, amely a költségvetési rendelet 112. cikkének (4) bekezdésével és 236. cikkével összhangban különleges feltételeket és követelményeket határozott meg;</w:t>
      </w:r>
    </w:p>
    <w:p w:rsidR="00675C1D" w:rsidRPr="001D789D" w:rsidRDefault="00675C1D" w:rsidP="0077772D">
      <w:pPr>
        <w:pStyle w:val="NormalHanging12a"/>
        <w:widowControl/>
      </w:pPr>
      <w:r w:rsidRPr="001D789D">
        <w:t>5.</w:t>
      </w:r>
      <w:r w:rsidRPr="001D789D">
        <w:tab/>
        <w:t xml:space="preserve">részletes magyarázatot kér arra vonatkozóan, hogy az olyan kifejezések, mint a „kielégítő előrehaladás”, amelyet a Bizottság különleges intézkedésekről szóló cselekvési </w:t>
      </w:r>
      <w:proofErr w:type="gramStart"/>
      <w:r w:rsidRPr="001D789D">
        <w:t>dokumentumának</w:t>
      </w:r>
      <w:proofErr w:type="gramEnd"/>
      <w:r w:rsidRPr="001D789D">
        <w:t xml:space="preserve"> 4.3.2. szakaszában használnak, amely részletezi a költségvetés-támogatás folyósításának kritériumait, hogyan minősülnek „a költségvetés-támogatás feltételeire vonatkozó, világosan meghatározott kritériumoknak”, amint azt az NDICI - Globális Európa-rendelet 27. cikkének (4) bekezdése előírja;</w:t>
      </w:r>
    </w:p>
    <w:p w:rsidR="00675C1D" w:rsidRPr="001D789D" w:rsidRDefault="00675C1D" w:rsidP="0077772D">
      <w:pPr>
        <w:pStyle w:val="NormalHanging12a"/>
        <w:widowControl/>
      </w:pPr>
      <w:proofErr w:type="gramStart"/>
      <w:r w:rsidRPr="001D789D">
        <w:t>6.</w:t>
      </w:r>
      <w:r w:rsidRPr="001D789D">
        <w:tab/>
        <w:t>kétségét fejezi ki azzal kapcsolatban, hogy a külső fellépések tekintetében a demokráciára, az emberi jogokra és a jogállamiságra vonatkozóan megfogalmazott, az EUSZ 21. cikkében, az NDICI - Globális Európa-rendelet különböző rendelkezéseiben és az EU–Tunézia euromediterrán megállapodás 2. cikkében foglalt alapelvek tiszteletben tartása e különleges intézkedés esetében teljesül-e, tekintettel az alapvető jogok Tunéziában már 2021 júliusa óta bekövetkezett jelentős romlására, valamint arra, hogy az alapvető értékek jelentős romlása miatt az EU felfüggesztheti, csökkentheti vagy leállíthatja</w:t>
      </w:r>
      <w:proofErr w:type="gramEnd"/>
      <w:r w:rsidRPr="001D789D">
        <w:t xml:space="preserve"> </w:t>
      </w:r>
      <w:proofErr w:type="gramStart"/>
      <w:r w:rsidRPr="001D789D">
        <w:t>a</w:t>
      </w:r>
      <w:proofErr w:type="gramEnd"/>
      <w:r w:rsidRPr="001D789D">
        <w:t xml:space="preserve"> partnerországoknak nyújtott költségvetés-támogatást;</w:t>
      </w:r>
    </w:p>
    <w:p w:rsidR="00675C1D" w:rsidRPr="001D789D" w:rsidRDefault="00675C1D" w:rsidP="0077772D">
      <w:pPr>
        <w:pStyle w:val="NormalHanging12a"/>
        <w:widowControl/>
      </w:pPr>
      <w:r w:rsidRPr="001D789D">
        <w:t>7.</w:t>
      </w:r>
      <w:r w:rsidRPr="001D789D">
        <w:tab/>
        <w:t xml:space="preserve">felhívja ezért a Bizottságot, hogy sürgősen és a parlamenti ciklus vége előtt nyújtson további írásbeli tájékoztatást arról, hogy hogyan és mikor fogja értékelni, hogy teljesülnek-e vagy teljesülni fognak-e a költségvetés-támogatás folyósítására vonatkozóan a 4.3.2. szakaszban meghatározott feltételek, és milyen </w:t>
      </w:r>
      <w:proofErr w:type="gramStart"/>
      <w:r w:rsidRPr="001D789D">
        <w:t>objektív</w:t>
      </w:r>
      <w:proofErr w:type="gramEnd"/>
      <w:r w:rsidRPr="001D789D">
        <w:t xml:space="preserve"> kritériumok alapján fogják megállapítani, hogy a 4.3.2. szakaszban felsorolt általános feltételek végrehajtása terén történt-e „kielégítő előrehaladás”;</w:t>
      </w:r>
    </w:p>
    <w:p w:rsidR="00675C1D" w:rsidRPr="001D789D" w:rsidRDefault="00675C1D" w:rsidP="0077772D">
      <w:pPr>
        <w:pStyle w:val="NormalHanging12a"/>
        <w:widowControl/>
      </w:pPr>
      <w:r w:rsidRPr="001D789D">
        <w:t>8.</w:t>
      </w:r>
      <w:r w:rsidRPr="001D789D">
        <w:tab/>
        <w:t xml:space="preserve">kéri a Bizottságot, hogy írásban tisztázza, értékelése szerint Tunézia jelenleg megfelel-e a különleges intézkedésekről szóló cselekvési </w:t>
      </w:r>
      <w:proofErr w:type="gramStart"/>
      <w:r w:rsidRPr="001D789D">
        <w:t>dokumentum</w:t>
      </w:r>
      <w:proofErr w:type="gramEnd"/>
      <w:r w:rsidRPr="001D789D">
        <w:t xml:space="preserve"> 4.3.2. szakaszának b) pontjában meghatározott, az alapvető értékekre vonatkozó követelménynek;</w:t>
      </w:r>
    </w:p>
    <w:p w:rsidR="00675C1D" w:rsidRPr="001D789D" w:rsidRDefault="00675C1D" w:rsidP="0077772D">
      <w:pPr>
        <w:pStyle w:val="NormalHanging12a"/>
        <w:widowControl/>
      </w:pPr>
      <w:r w:rsidRPr="001D789D">
        <w:t>9.</w:t>
      </w:r>
      <w:r w:rsidRPr="001D789D">
        <w:tab/>
        <w:t xml:space="preserve">felhívja a Bizottságot, hogy fejtse ki, miért döntött úgy, hogy egyetlen részletben folyósítja a 150 millió EUR összegű költségvetés-támogatást, ahelyett, hogy a </w:t>
      </w:r>
      <w:r w:rsidRPr="001D789D">
        <w:lastRenderedPageBreak/>
        <w:t xml:space="preserve">költségvetési rendelet 236. cikkének (2) bekezdésében előírtak szerint lehetővé tenné a </w:t>
      </w:r>
      <w:proofErr w:type="gramStart"/>
      <w:r w:rsidRPr="001D789D">
        <w:t>konkrét</w:t>
      </w:r>
      <w:proofErr w:type="gramEnd"/>
      <w:r w:rsidRPr="001D789D">
        <w:t xml:space="preserve"> mérföldköveken vagy elért lépéseken alapuló fokozatos folyósítást, megőrizve a további folyósítások felfüggesztésének lehetőségét, amennyiben az alapvető értékek egyértelmű eróziója figyelhető meg;</w:t>
      </w:r>
    </w:p>
    <w:p w:rsidR="00675C1D" w:rsidRPr="001D789D" w:rsidRDefault="00675C1D" w:rsidP="0077772D">
      <w:pPr>
        <w:pStyle w:val="NormalHanging12a"/>
        <w:widowControl/>
      </w:pPr>
      <w:r w:rsidRPr="001D789D">
        <w:t>10.</w:t>
      </w:r>
      <w:r w:rsidRPr="001D789D">
        <w:tab/>
        <w:t>felhívja a Bizottságot, hogy fejtse ki, hogy a különleges intézkedés hogyan járul hozzá az üzleti és beruházási környezet javításához, tekintettel arra, hogy 2021 júliusa óta romlott a jogállamiság helyzete Tunéziában, ami a gazdasági fejlődés útjában áll;</w:t>
      </w:r>
    </w:p>
    <w:p w:rsidR="00675C1D" w:rsidRPr="001D789D" w:rsidRDefault="00675C1D" w:rsidP="0077772D">
      <w:pPr>
        <w:pStyle w:val="NormalHanging12a"/>
        <w:widowControl/>
      </w:pPr>
      <w:r w:rsidRPr="001D789D">
        <w:t>11.</w:t>
      </w:r>
      <w:r w:rsidRPr="001D789D">
        <w:tab/>
        <w:t>felhívja a Bizottságot, hogy tisztázza azokat az okokat, amelyek miatt a tunéziai hatóságok 2023 októberében elutasították a Covid-eszköz keretében folyósított 60 millió EUR összegű költségvetés-támogatást, és hogy a Bizottság miért véli úgy, hogy a tunéziai hatóságok hajlandóak elfogadni az e különleges intézkedés keretében nyújtott költségvetés-támogatást;</w:t>
      </w:r>
    </w:p>
    <w:p w:rsidR="00675C1D" w:rsidRPr="001D789D" w:rsidRDefault="00675C1D" w:rsidP="0077772D">
      <w:pPr>
        <w:pStyle w:val="NormalHanging12a"/>
        <w:widowControl/>
      </w:pPr>
      <w:r w:rsidRPr="001D789D">
        <w:t>12.</w:t>
      </w:r>
      <w:r w:rsidRPr="001D789D">
        <w:tab/>
        <w:t xml:space="preserve">felhívja a Bizottságot, hogy ismertesse, milyen </w:t>
      </w:r>
      <w:proofErr w:type="gramStart"/>
      <w:r w:rsidRPr="001D789D">
        <w:t>garanciákat</w:t>
      </w:r>
      <w:proofErr w:type="gramEnd"/>
      <w:r w:rsidRPr="001D789D">
        <w:t xml:space="preserve"> kapott a tunéziai hatóságoktól 2023 szeptembere óta arra vonatkozóan, hogy a Parlament ellátogathasson az uniós finanszírozású tunéziai projektek helyszínére, és így az EUSZ 14. cikkével összhangban gyakorolhassa felügyeleti és ellenőrzési jogát;</w:t>
      </w:r>
    </w:p>
    <w:p w:rsidR="00675C1D" w:rsidRPr="001D789D" w:rsidRDefault="00675C1D" w:rsidP="0077772D">
      <w:pPr>
        <w:pStyle w:val="NormalHanging12a"/>
        <w:widowControl/>
      </w:pPr>
      <w:r w:rsidRPr="001D789D">
        <w:t>13.</w:t>
      </w:r>
      <w:r w:rsidRPr="001D789D">
        <w:tab/>
        <w:t>kéri a Bizottságot, hogy tisztázza a helyzetet azáltal, hogy megfelelő és átfogó választ ad a Parlament szóbeli választ igénylő kérdésére és az azt kísérő jelen állásfoglalásra;</w:t>
      </w:r>
    </w:p>
    <w:p w:rsidR="00675C1D" w:rsidRPr="001D789D" w:rsidRDefault="00675C1D" w:rsidP="0077772D">
      <w:pPr>
        <w:pStyle w:val="NormalHanging12a"/>
        <w:widowControl/>
      </w:pPr>
      <w:r w:rsidRPr="001D789D">
        <w:t>14.</w:t>
      </w:r>
      <w:r w:rsidRPr="001D789D">
        <w:tab/>
        <w:t xml:space="preserve">utasítja elnökét, hogy továbbítsa ezt az állásfoglalást a Bizottságnak, a Bizottság alelnökének/az Unió külügyi és biztonságpolitikai </w:t>
      </w:r>
      <w:proofErr w:type="spellStart"/>
      <w:r w:rsidRPr="001D789D">
        <w:t>főképviselőjének</w:t>
      </w:r>
      <w:proofErr w:type="spellEnd"/>
      <w:r w:rsidRPr="001D789D">
        <w:t xml:space="preserve"> és a Tanácsnak.</w:t>
      </w:r>
    </w:p>
    <w:p w:rsidR="00E365E1" w:rsidRPr="001D789D" w:rsidRDefault="00E365E1" w:rsidP="0077772D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1D789D" w:rsidSect="00460E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63F" w:rsidRPr="00460E8A" w:rsidRDefault="00A5463F">
      <w:r w:rsidRPr="00460E8A">
        <w:separator/>
      </w:r>
    </w:p>
  </w:endnote>
  <w:endnote w:type="continuationSeparator" w:id="0">
    <w:p w:rsidR="00A5463F" w:rsidRPr="00460E8A" w:rsidRDefault="00A5463F">
      <w:r w:rsidRPr="00460E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E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E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E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63F" w:rsidRPr="00460E8A" w:rsidRDefault="00A5463F">
      <w:r w:rsidRPr="00460E8A">
        <w:separator/>
      </w:r>
    </w:p>
  </w:footnote>
  <w:footnote w:type="continuationSeparator" w:id="0">
    <w:p w:rsidR="00A5463F" w:rsidRPr="00460E8A" w:rsidRDefault="00A5463F">
      <w:r w:rsidRPr="00460E8A">
        <w:continuationSeparator/>
      </w:r>
    </w:p>
  </w:footnote>
  <w:footnote w:id="1">
    <w:p w:rsidR="00675C1D" w:rsidRPr="00460E8A" w:rsidRDefault="00675C1D" w:rsidP="00460E8A">
      <w:pPr>
        <w:pStyle w:val="FootnoteText"/>
        <w:ind w:left="567" w:hanging="567"/>
        <w:rPr>
          <w:b/>
          <w:sz w:val="24"/>
          <w:lang w:val="hu-HU"/>
        </w:rPr>
      </w:pPr>
      <w:r w:rsidRPr="00460E8A">
        <w:rPr>
          <w:rStyle w:val="FootnoteReference"/>
          <w:sz w:val="24"/>
          <w:lang w:val="hu-HU"/>
        </w:rPr>
        <w:footnoteRef/>
      </w:r>
      <w:r w:rsidR="00460E8A" w:rsidRPr="00460E8A">
        <w:rPr>
          <w:sz w:val="24"/>
          <w:lang w:val="hu-HU"/>
        </w:rPr>
        <w:t xml:space="preserve"> </w:t>
      </w:r>
      <w:r w:rsidR="00460E8A" w:rsidRPr="00460E8A">
        <w:rPr>
          <w:sz w:val="24"/>
          <w:lang w:val="hu-HU"/>
        </w:rPr>
        <w:tab/>
      </w:r>
      <w:r w:rsidRPr="00460E8A">
        <w:rPr>
          <w:sz w:val="24"/>
          <w:lang w:val="hu-HU"/>
        </w:rPr>
        <w:t>HL L 209., 2021.6.14</w:t>
      </w:r>
      <w:proofErr w:type="gramStart"/>
      <w:r w:rsidRPr="00460E8A">
        <w:rPr>
          <w:sz w:val="24"/>
          <w:lang w:val="hu-HU"/>
        </w:rPr>
        <w:t>.,</w:t>
      </w:r>
      <w:proofErr w:type="gramEnd"/>
      <w:r w:rsidRPr="00460E8A">
        <w:rPr>
          <w:sz w:val="24"/>
          <w:lang w:val="hu-HU"/>
        </w:rPr>
        <w:t xml:space="preserve"> 1. o.</w:t>
      </w:r>
    </w:p>
  </w:footnote>
  <w:footnote w:id="2">
    <w:p w:rsidR="00675C1D" w:rsidRPr="00460E8A" w:rsidRDefault="00675C1D" w:rsidP="00460E8A">
      <w:pPr>
        <w:pStyle w:val="FootnoteText"/>
        <w:ind w:left="567" w:hanging="567"/>
        <w:rPr>
          <w:sz w:val="24"/>
          <w:lang w:val="hu-HU"/>
        </w:rPr>
      </w:pPr>
      <w:r w:rsidRPr="00460E8A">
        <w:rPr>
          <w:rStyle w:val="FootnoteReference"/>
          <w:sz w:val="24"/>
          <w:lang w:val="hu-HU"/>
        </w:rPr>
        <w:footnoteRef/>
      </w:r>
      <w:r w:rsidR="00460E8A" w:rsidRPr="00460E8A">
        <w:rPr>
          <w:sz w:val="24"/>
          <w:lang w:val="hu-HU"/>
        </w:rPr>
        <w:t xml:space="preserve"> </w:t>
      </w:r>
      <w:r w:rsidR="00460E8A" w:rsidRPr="00460E8A">
        <w:rPr>
          <w:sz w:val="24"/>
          <w:lang w:val="hu-HU"/>
        </w:rPr>
        <w:tab/>
      </w:r>
      <w:r w:rsidRPr="00460E8A">
        <w:rPr>
          <w:sz w:val="24"/>
          <w:lang w:val="hu-HU"/>
        </w:rPr>
        <w:t>HL C 143., 2008.6.10</w:t>
      </w:r>
      <w:proofErr w:type="gramStart"/>
      <w:r w:rsidRPr="00460E8A">
        <w:rPr>
          <w:sz w:val="24"/>
          <w:lang w:val="hu-HU"/>
        </w:rPr>
        <w:t>.,</w:t>
      </w:r>
      <w:proofErr w:type="gramEnd"/>
      <w:r w:rsidRPr="00460E8A">
        <w:rPr>
          <w:sz w:val="24"/>
          <w:lang w:val="hu-HU"/>
        </w:rPr>
        <w:t xml:space="preserve"> 1. o.</w:t>
      </w:r>
    </w:p>
  </w:footnote>
  <w:footnote w:id="3">
    <w:p w:rsidR="00675C1D" w:rsidRPr="00460E8A" w:rsidRDefault="00675C1D" w:rsidP="00460E8A">
      <w:pPr>
        <w:pStyle w:val="FootnoteText"/>
        <w:ind w:left="567" w:hanging="567"/>
        <w:rPr>
          <w:sz w:val="24"/>
          <w:lang w:val="hu-HU"/>
        </w:rPr>
      </w:pPr>
      <w:r w:rsidRPr="00460E8A">
        <w:rPr>
          <w:rStyle w:val="FootnoteReference"/>
          <w:sz w:val="24"/>
          <w:lang w:val="hu-HU"/>
        </w:rPr>
        <w:footnoteRef/>
      </w:r>
      <w:r w:rsidR="00460E8A" w:rsidRPr="00460E8A">
        <w:rPr>
          <w:sz w:val="24"/>
          <w:lang w:val="hu-HU"/>
        </w:rPr>
        <w:t xml:space="preserve"> </w:t>
      </w:r>
      <w:r w:rsidR="00460E8A" w:rsidRPr="00460E8A">
        <w:rPr>
          <w:sz w:val="24"/>
          <w:lang w:val="hu-HU"/>
        </w:rPr>
        <w:tab/>
      </w:r>
      <w:r w:rsidRPr="00460E8A">
        <w:rPr>
          <w:sz w:val="24"/>
          <w:lang w:val="hu-HU"/>
        </w:rPr>
        <w:t>HL L 193., 2018.7.30</w:t>
      </w:r>
      <w:proofErr w:type="gramStart"/>
      <w:r w:rsidRPr="00460E8A">
        <w:rPr>
          <w:sz w:val="24"/>
          <w:lang w:val="hu-HU"/>
        </w:rPr>
        <w:t>.,</w:t>
      </w:r>
      <w:proofErr w:type="gramEnd"/>
      <w:r w:rsidRPr="00460E8A">
        <w:rPr>
          <w:sz w:val="24"/>
          <w:lang w:val="hu-HU"/>
        </w:rPr>
        <w:t xml:space="preserve"> 1. o.</w:t>
      </w:r>
    </w:p>
  </w:footnote>
  <w:footnote w:id="4">
    <w:p w:rsidR="00675C1D" w:rsidRPr="00460E8A" w:rsidRDefault="00675C1D" w:rsidP="00460E8A">
      <w:pPr>
        <w:pStyle w:val="FootnoteText"/>
        <w:ind w:left="567" w:hanging="567"/>
        <w:rPr>
          <w:sz w:val="24"/>
          <w:lang w:val="hu-HU"/>
        </w:rPr>
      </w:pPr>
      <w:r w:rsidRPr="00460E8A">
        <w:rPr>
          <w:rStyle w:val="FootnoteReference"/>
          <w:sz w:val="24"/>
          <w:lang w:val="hu-HU"/>
        </w:rPr>
        <w:footnoteRef/>
      </w:r>
      <w:r w:rsidR="00460E8A" w:rsidRPr="00460E8A">
        <w:rPr>
          <w:sz w:val="24"/>
          <w:lang w:val="hu-HU"/>
        </w:rPr>
        <w:t xml:space="preserve"> </w:t>
      </w:r>
      <w:r w:rsidR="00460E8A" w:rsidRPr="00460E8A">
        <w:rPr>
          <w:sz w:val="24"/>
          <w:lang w:val="hu-HU"/>
        </w:rPr>
        <w:tab/>
      </w:r>
      <w:r w:rsidRPr="00460E8A">
        <w:rPr>
          <w:sz w:val="24"/>
          <w:lang w:val="hu-HU"/>
        </w:rPr>
        <w:t>HL L 97., 1998.3.30</w:t>
      </w:r>
      <w:proofErr w:type="gramStart"/>
      <w:r w:rsidRPr="00460E8A">
        <w:rPr>
          <w:sz w:val="24"/>
          <w:lang w:val="hu-HU"/>
        </w:rPr>
        <w:t>.,</w:t>
      </w:r>
      <w:proofErr w:type="gramEnd"/>
      <w:r w:rsidRPr="00460E8A">
        <w:rPr>
          <w:sz w:val="24"/>
          <w:lang w:val="hu-HU"/>
        </w:rPr>
        <w:t xml:space="preserve"> 2. o.</w:t>
      </w:r>
    </w:p>
  </w:footnote>
  <w:footnote w:id="5">
    <w:p w:rsidR="00675C1D" w:rsidRPr="00460E8A" w:rsidRDefault="00675C1D" w:rsidP="00460E8A">
      <w:pPr>
        <w:pStyle w:val="FootnoteText"/>
        <w:ind w:left="567" w:hanging="567"/>
        <w:rPr>
          <w:sz w:val="24"/>
          <w:lang w:val="hu-HU"/>
        </w:rPr>
      </w:pPr>
      <w:r w:rsidRPr="00460E8A">
        <w:rPr>
          <w:rStyle w:val="FootnoteReference"/>
          <w:sz w:val="24"/>
          <w:lang w:val="hu-HU"/>
        </w:rPr>
        <w:footnoteRef/>
      </w:r>
      <w:r w:rsidR="00460E8A" w:rsidRPr="00460E8A">
        <w:rPr>
          <w:sz w:val="24"/>
          <w:lang w:val="hu-HU"/>
        </w:rPr>
        <w:t xml:space="preserve"> </w:t>
      </w:r>
      <w:r w:rsidR="00460E8A" w:rsidRPr="00460E8A">
        <w:rPr>
          <w:sz w:val="24"/>
          <w:lang w:val="hu-HU"/>
        </w:rPr>
        <w:tab/>
      </w:r>
      <w:r w:rsidRPr="00460E8A">
        <w:rPr>
          <w:sz w:val="24"/>
          <w:lang w:val="hu-HU"/>
        </w:rPr>
        <w:t>HL C, C/2023/407., 2023.11.23</w:t>
      </w:r>
      <w:proofErr w:type="gramStart"/>
      <w:r w:rsidRPr="00460E8A">
        <w:rPr>
          <w:sz w:val="24"/>
          <w:lang w:val="hu-HU"/>
        </w:rPr>
        <w:t>.,</w:t>
      </w:r>
      <w:proofErr w:type="gramEnd"/>
      <w:r w:rsidRPr="00460E8A">
        <w:rPr>
          <w:sz w:val="24"/>
          <w:lang w:val="hu-HU"/>
        </w:rPr>
        <w:t xml:space="preserve"> ELI: </w:t>
      </w:r>
      <w:hyperlink r:id="rId1" w:history="1">
        <w:r w:rsidRPr="001D789D">
          <w:rPr>
            <w:rStyle w:val="Hyperlink"/>
            <w:sz w:val="24"/>
            <w:lang w:val="hu-HU"/>
          </w:rPr>
          <w:t>https://eur-lex.europa.eu/eli/C/2023/407/oj?locale=hu</w:t>
        </w:r>
      </w:hyperlink>
      <w:r w:rsidRPr="00460E8A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E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E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E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3/2024"/>
    <w:docVar w:name="dvlangue" w:val="HU"/>
    <w:docVar w:name="dvnumam" w:val="0"/>
    <w:docVar w:name="dvpe" w:val="759.058"/>
    <w:docVar w:name="dvtitre" w:val="Az Európai Parlament 2024.  ...-i állásfoglalása a Tunéziára vonatkozó 2023. évi különleges intézkedés elfogadásáról(2024/2573(RSP))"/>
  </w:docVars>
  <w:rsids>
    <w:rsidRoot w:val="00A5463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789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0E8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5C1D"/>
    <w:rsid w:val="00680577"/>
    <w:rsid w:val="006F74FA"/>
    <w:rsid w:val="00731ADD"/>
    <w:rsid w:val="00734777"/>
    <w:rsid w:val="00747932"/>
    <w:rsid w:val="00751A4A"/>
    <w:rsid w:val="00756632"/>
    <w:rsid w:val="00762C74"/>
    <w:rsid w:val="0077772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63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5B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BFDB2"/>
  <w15:chartTrackingRefBased/>
  <w15:docId w15:val="{1B997F1E-FE9A-4F72-9D24-987B0F3E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5C1D"/>
    <w:pPr>
      <w:spacing w:before="480" w:after="240"/>
    </w:pPr>
  </w:style>
  <w:style w:type="paragraph" w:customStyle="1" w:styleId="NormalHanging12a">
    <w:name w:val="NormalHanging12a"/>
    <w:basedOn w:val="Normal"/>
    <w:rsid w:val="00675C1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D78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789D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1D78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3/407/oj?locale=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CC5B6-7C4A-497A-B40F-2AF427856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1558</Words>
  <Characters>11089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2024-03-14T12:22:00Z</dcterms:created>
  <dcterms:modified xsi:type="dcterms:W3CDTF">2024-03-14T12:22:00Z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B9-0173/2024</vt:lpwstr>
  </property>
  <property fmtid="{D5CDD505-2E9C-101B-9397-08002B2CF9AE}" pid="4" name="&lt;Type&gt;">
    <vt:lpwstr>RR</vt:lpwstr>
  </property>
</Properties>
</file>