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39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3939" w:rsidRDefault="005D2A3C" w:rsidP="0010095E">
            <w:pPr>
              <w:pStyle w:val="EPName"/>
            </w:pPr>
            <w:r w:rsidRPr="00423939">
              <w:t>Parlament Europejski</w:t>
            </w:r>
          </w:p>
          <w:p w:rsidR="00751A4A" w:rsidRPr="0042393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393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23939" w:rsidRDefault="00187494" w:rsidP="0010095E">
            <w:pPr>
              <w:pStyle w:val="EPLogo"/>
            </w:pPr>
            <w:r w:rsidRPr="00423939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3939" w:rsidRDefault="00D058B8" w:rsidP="004C5D52">
      <w:pPr>
        <w:pStyle w:val="LineTop"/>
      </w:pPr>
    </w:p>
    <w:p w:rsidR="00680577" w:rsidRPr="00423939" w:rsidRDefault="005D2A3C" w:rsidP="00680577">
      <w:pPr>
        <w:pStyle w:val="EPBodyTA1"/>
      </w:pPr>
      <w:r w:rsidRPr="00423939">
        <w:t>TEKSTY PRZYJĘTE</w:t>
      </w:r>
    </w:p>
    <w:p w:rsidR="00D058B8" w:rsidRPr="00423939" w:rsidRDefault="00D058B8" w:rsidP="00D058B8">
      <w:pPr>
        <w:pStyle w:val="LineBottom"/>
      </w:pPr>
    </w:p>
    <w:p w:rsidR="005D2A3C" w:rsidRPr="00423939" w:rsidRDefault="005D2A3C" w:rsidP="005D2A3C">
      <w:pPr>
        <w:pStyle w:val="ATHeading1"/>
      </w:pPr>
      <w:bookmarkStart w:id="0" w:name="TANumber"/>
      <w:r w:rsidRPr="00423939">
        <w:t>P9_TA(2024)0</w:t>
      </w:r>
      <w:bookmarkEnd w:id="0"/>
      <w:r w:rsidR="00DB7705">
        <w:t>175</w:t>
      </w:r>
    </w:p>
    <w:p w:rsidR="005D2A3C" w:rsidRPr="006550C7" w:rsidRDefault="006550C7" w:rsidP="005D2A3C">
      <w:pPr>
        <w:pStyle w:val="ATHeading2"/>
      </w:pPr>
      <w:r w:rsidRPr="006550C7">
        <w:rPr>
          <w:bCs/>
        </w:rPr>
        <w:t>Przyjęcie środka szczególnego na rzecz Tunezji na 2023 r.</w:t>
      </w:r>
    </w:p>
    <w:p w:rsidR="005D2A3C" w:rsidRPr="00423939" w:rsidRDefault="005D2A3C" w:rsidP="005D2A3C">
      <w:pPr>
        <w:rPr>
          <w:i/>
          <w:vanish/>
        </w:rPr>
      </w:pPr>
      <w:r w:rsidRPr="00423939">
        <w:rPr>
          <w:i/>
        </w:rPr>
        <w:fldChar w:fldCharType="begin"/>
      </w:r>
      <w:r w:rsidRPr="00423939">
        <w:rPr>
          <w:i/>
        </w:rPr>
        <w:instrText xml:space="preserve"> TC"(</w:instrText>
      </w:r>
      <w:bookmarkStart w:id="1" w:name="DocNumber"/>
      <w:r w:rsidRPr="00423939">
        <w:rPr>
          <w:i/>
        </w:rPr>
        <w:instrText>B9-0173/2024</w:instrText>
      </w:r>
      <w:bookmarkEnd w:id="1"/>
      <w:r w:rsidRPr="00423939">
        <w:rPr>
          <w:i/>
        </w:rPr>
        <w:instrText xml:space="preserve">)"\l3 \n&gt; \* MERGEFORMAT </w:instrText>
      </w:r>
      <w:r w:rsidRPr="00423939">
        <w:rPr>
          <w:i/>
        </w:rPr>
        <w:fldChar w:fldCharType="end"/>
      </w:r>
    </w:p>
    <w:p w:rsidR="005D2A3C" w:rsidRPr="00423939" w:rsidRDefault="005D2A3C" w:rsidP="005D2A3C">
      <w:pPr>
        <w:rPr>
          <w:vanish/>
        </w:rPr>
      </w:pPr>
      <w:bookmarkStart w:id="2" w:name="PE"/>
      <w:r w:rsidRPr="00423939">
        <w:rPr>
          <w:vanish/>
        </w:rPr>
        <w:t>PE759.058</w:t>
      </w:r>
      <w:bookmarkEnd w:id="2"/>
    </w:p>
    <w:p w:rsidR="005D2A3C" w:rsidRPr="00423939" w:rsidRDefault="005D2A3C" w:rsidP="005D2A3C">
      <w:pPr>
        <w:pStyle w:val="ATHeading3"/>
      </w:pPr>
      <w:bookmarkStart w:id="3" w:name="Sujet"/>
      <w:r w:rsidRPr="00423939">
        <w:t xml:space="preserve">Rezolucja Parlamentu Europejskiego z dnia </w:t>
      </w:r>
      <w:r w:rsidR="006550C7">
        <w:t>14 marca</w:t>
      </w:r>
      <w:r w:rsidRPr="00423939">
        <w:t xml:space="preserve"> 2024 r. w sprawie przyjęcia środka szczególnego na rzecz Tunezji na 2023 r.</w:t>
      </w:r>
      <w:bookmarkEnd w:id="3"/>
      <w:r w:rsidRPr="00423939">
        <w:t xml:space="preserve"> </w:t>
      </w:r>
      <w:bookmarkStart w:id="4" w:name="References"/>
      <w:r w:rsidRPr="00423939">
        <w:t>(2024/2573(RSP))</w:t>
      </w:r>
      <w:bookmarkEnd w:id="4"/>
    </w:p>
    <w:p w:rsidR="005D2A3C" w:rsidRPr="00423939" w:rsidRDefault="005D2A3C" w:rsidP="005D2A3C"/>
    <w:p w:rsidR="00C43C2B" w:rsidRPr="00423939" w:rsidRDefault="00C43C2B" w:rsidP="00C43C2B">
      <w:pPr>
        <w:pStyle w:val="EPComma"/>
      </w:pPr>
      <w:bookmarkStart w:id="5" w:name="TextBodyBegin"/>
      <w:bookmarkEnd w:id="5"/>
      <w:r w:rsidRPr="00423939">
        <w:rPr>
          <w:i/>
          <w:iCs/>
        </w:rPr>
        <w:t>Parlament Europejski</w:t>
      </w:r>
      <w:r w:rsidRPr="00423939">
        <w:t>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Traktat o Unii Europejskiej (TUE), w szczególności jego art. 14,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Traktat o funkcjonowaniu Unii Europejskiej (TFUE),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rozporządzenie Parlamentu Europejskiego i Rady (UE) 2021/947 z dnia 9 czerwca 2021 r. ustanawiające Instrument Sąsiedztwa oraz Współpracy Międzynarodowej i Rozwojowej – Globalny Wymiar Europy, zmieniające i uchylające decyzję Parlamentu Europejskiego i Rady nr 466/2014/UE oraz uchylające rozporządzenie Parlamentu Europejskiego i Rady (UE) 2017/1601 i rozporządzenie Rady (WE, Euratom) nr 480/2009</w:t>
      </w:r>
      <w:r w:rsidRPr="00423939">
        <w:rPr>
          <w:rStyle w:val="FootnoteReference"/>
          <w:szCs w:val="24"/>
        </w:rPr>
        <w:footnoteReference w:id="1"/>
      </w:r>
      <w:r w:rsidRPr="00423939">
        <w:t xml:space="preserve"> (rozporządzenie ustanawiające ISWMR – „Globalny wymiar Europy”),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porozumienie Parlamentu Europejskiego i Komisji z dnia 3 czerwca 2008 r. w sprawie procedur wprowadzania w życie decyzji Rady 1999/468/WE ustanawiającej warunki wykonywania uprawnień wykonawczych przyznanych Komisji, zmienionej decyzją 2006/512/WE</w:t>
      </w:r>
      <w:r w:rsidRPr="00423939">
        <w:rPr>
          <w:rStyle w:val="FootnoteReference"/>
        </w:rPr>
        <w:footnoteReference w:id="2"/>
      </w:r>
      <w:r w:rsidRPr="00423939">
        <w:t>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rozporządzenie Parlamentu Europejskiego i Rady (UE, Euratom)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Euratom) nr 966/2012</w:t>
      </w:r>
      <w:r w:rsidRPr="00423939">
        <w:rPr>
          <w:rStyle w:val="FootnoteReference"/>
          <w:color w:val="000000"/>
          <w:szCs w:val="24"/>
        </w:rPr>
        <w:footnoteReference w:id="3"/>
      </w:r>
      <w:r w:rsidRPr="00423939">
        <w:t xml:space="preserve"> (rozporządzenie finansowe),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 xml:space="preserve">uwzględniając Układ Eurośródziemnomorski ustanawiający stowarzyszenie między Wspólnotami Europejskimi i ich państwami członkowskimi z jednej strony, a Republiką </w:t>
      </w:r>
      <w:r w:rsidRPr="00423939">
        <w:lastRenderedPageBreak/>
        <w:t>Tunezyjską z drugiej strony</w:t>
      </w:r>
      <w:r w:rsidRPr="00423939">
        <w:rPr>
          <w:rStyle w:val="FootnoteReference"/>
        </w:rPr>
        <w:footnoteReference w:id="4"/>
      </w:r>
      <w:r w:rsidRPr="00423939">
        <w:t>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swoje poprzednie rezolucje w sprawie Tunezji, w szczególności rezolucję z dnia 16 marca 2023 r. w sprawie niedawnych ataków na wolność wypowiedzi i zrzeszania się oraz na związki zawodowe w Tunezji, a w szczególności przypadku dziennikarza Noureddine’a Boutara</w:t>
      </w:r>
      <w:r w:rsidRPr="00423939">
        <w:rPr>
          <w:rStyle w:val="FootnoteReference"/>
        </w:rPr>
        <w:footnoteReference w:id="5"/>
      </w:r>
      <w:r w:rsidRPr="00423939">
        <w:t>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 xml:space="preserve">uwzględniając oświadczenie prasowe przewodniczącej Komisji Ursuli. </w:t>
      </w:r>
      <w:proofErr w:type="gramStart"/>
      <w:r w:rsidRPr="00423939">
        <w:t>von</w:t>
      </w:r>
      <w:proofErr w:type="gramEnd"/>
      <w:r w:rsidRPr="00423939">
        <w:t xml:space="preserve"> der Leyen, premier Włoch Giorgii Meloni, premiera Holandii Marka Ruttego i prezydenta Tunezji Kaisa Saieda z 11 czerwca 2023 r</w:t>
      </w:r>
      <w:r w:rsidR="00512832">
        <w:t>.</w:t>
      </w:r>
      <w:bookmarkStart w:id="6" w:name="_GoBack"/>
      <w:bookmarkEnd w:id="6"/>
      <w:r w:rsidRPr="00423939">
        <w:t>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protokół ustaleń z 16 lipca 2023 r. w sprawie strategicznego i globalnego partnerstwa między UE a Tunezją,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decyzję wykonawczą Komisji z dnia 20 grudnia 2023 r. w sprawie finansowania szczególnego środka na rzecz Tunezji w 2023 r. (C</w:t>
      </w:r>
      <w:proofErr w:type="gramStart"/>
      <w:r w:rsidRPr="00423939">
        <w:t>(2023)9184) oraz</w:t>
      </w:r>
      <w:proofErr w:type="gramEnd"/>
      <w:r w:rsidRPr="00423939">
        <w:t xml:space="preserve"> towarzyszący jej dokument roboczy dotyczący programu wsparcia reform makroekonomicznych w Tunezji,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art. 136 ust. 5 i art. 132 ust. 2 Regulaminu,</w:t>
      </w:r>
    </w:p>
    <w:p w:rsidR="00C43C2B" w:rsidRPr="00423939" w:rsidRDefault="00C43C2B" w:rsidP="00C43C2B">
      <w:pPr>
        <w:pStyle w:val="NormalHanging12a"/>
      </w:pPr>
      <w:r w:rsidRPr="00423939">
        <w:t>–</w:t>
      </w:r>
      <w:r w:rsidRPr="00423939">
        <w:tab/>
        <w:t>uwzględniając projekt rezolucji Komisji Spraw Zagranicznych oraz Komisji Rozwoju,</w:t>
      </w:r>
    </w:p>
    <w:p w:rsidR="00C43C2B" w:rsidRPr="00423939" w:rsidRDefault="00C43C2B" w:rsidP="00C43C2B">
      <w:pPr>
        <w:pStyle w:val="NormalHanging12a"/>
      </w:pPr>
      <w:r w:rsidRPr="00423939">
        <w:t>A.</w:t>
      </w:r>
      <w:r w:rsidRPr="00423939">
        <w:tab/>
      </w:r>
      <w:proofErr w:type="gramStart"/>
      <w:r w:rsidRPr="00423939">
        <w:t>mając</w:t>
      </w:r>
      <w:proofErr w:type="gramEnd"/>
      <w:r w:rsidRPr="00423939">
        <w:t xml:space="preserve"> na uwadze, że art. 21 ust. 1 TUE stanowi, iż „działania Unii na arenie międzynarodowej oparte są na zasadach, które leżą u podstaw jej utworzenia, rozwoju i rozszerzenia oraz które zamierza wspierać na świecie: demokracji, państwa prawnego, powszechności i niepodzielności praw człowieka i podstawowych wolności, poszanowania godności ludzkiej, zasad równości i solidarności oraz poszanowania zasad Karty Narodów Zjednoczonych oraz prawa międzynarodowego”;</w:t>
      </w:r>
    </w:p>
    <w:p w:rsidR="00C43C2B" w:rsidRPr="00423939" w:rsidRDefault="00C43C2B" w:rsidP="00C43C2B">
      <w:pPr>
        <w:pStyle w:val="NormalHanging12a"/>
      </w:pPr>
      <w:r w:rsidRPr="00423939">
        <w:t>B.</w:t>
      </w:r>
      <w:r w:rsidRPr="00423939">
        <w:tab/>
        <w:t>mając na uwadze, że art. 2 układu eurośródziemnomorskiego między UE a Tunezją stanowi, iż „stosunki między Stronami, jak również wszystkie postanowienia samego Układu opierają się na poszanowaniu praw człowieka i na zasadach demokracji, którymi Strony kierują się w swojej polityce wewnętrznej i zagranicznej i które stanowią istotny element niniejszego Układu”;</w:t>
      </w:r>
    </w:p>
    <w:p w:rsidR="00C43C2B" w:rsidRPr="00423939" w:rsidRDefault="00C43C2B" w:rsidP="00C43C2B">
      <w:pPr>
        <w:pStyle w:val="NormalHanging12a"/>
      </w:pPr>
      <w:r w:rsidRPr="00423939">
        <w:t>C.</w:t>
      </w:r>
      <w:r w:rsidRPr="00423939">
        <w:tab/>
      </w:r>
      <w:proofErr w:type="gramStart"/>
      <w:r w:rsidRPr="00423939">
        <w:t>mając</w:t>
      </w:r>
      <w:proofErr w:type="gramEnd"/>
      <w:r w:rsidRPr="00423939">
        <w:t xml:space="preserve"> na uwadze, że art. 29 rozporządzenia ustanawiającego ISWMR – „Globalny wymiar Europy” wyklucza działania, które mogą prowadzić do łamania praw człowieka w krajach partnerskich; mając na uwadze, że zgodnie z art. 25 ust. 5 rozporządzenia Komisja ma przeprowadzać oceny ex ante wpływu na prawa człowieka proporcjonalne do celów i zakresu planowanych działań i środków; mając na uwadze, że art. 3 ust. 4 rozporządzenia stanowi, iż „co najmniej 93 % wydatków w ramach Instrumentu spełnia kryteria ODA [oficjalnej pomocy rozwojowej], [...] </w:t>
      </w:r>
      <w:proofErr w:type="gramStart"/>
      <w:r w:rsidRPr="00423939">
        <w:t>a</w:t>
      </w:r>
      <w:proofErr w:type="gramEnd"/>
      <w:r w:rsidRPr="00423939">
        <w:t xml:space="preserve"> tym samym stanowi część łącznego zobowiązania w ramach ODA”;</w:t>
      </w:r>
    </w:p>
    <w:p w:rsidR="00C43C2B" w:rsidRPr="00423939" w:rsidRDefault="00C43C2B" w:rsidP="00C43C2B">
      <w:pPr>
        <w:pStyle w:val="NormalHanging12a"/>
      </w:pPr>
      <w:r w:rsidRPr="00423939">
        <w:t>D.</w:t>
      </w:r>
      <w:r w:rsidRPr="00423939">
        <w:tab/>
      </w:r>
      <w:proofErr w:type="gramStart"/>
      <w:r w:rsidRPr="00423939">
        <w:t>mając</w:t>
      </w:r>
      <w:proofErr w:type="gramEnd"/>
      <w:r w:rsidRPr="00423939">
        <w:t xml:space="preserve"> na uwadze, że motyw 40 rozporządzenia ustanawiającego ISWMR – „Globalny wymiar Europy” stanowi, że „z uwagi na to, że poszanowanie demokracji, praw człowieka i praworządności ma zasadnicze znaczenie dla należytego zarządzania finansami i skutecznego unijnego finansowania, zgodnie z rozporządzeniem </w:t>
      </w:r>
      <w:r w:rsidRPr="00423939">
        <w:lastRenderedPageBreak/>
        <w:t>finansowym, pomoc mogłaby zostać zawieszona w razie pogorszenia się sytuacji w zakresie demokracji, praw człowieka lub praworządności w państwach trzecich”;</w:t>
      </w:r>
    </w:p>
    <w:p w:rsidR="00C43C2B" w:rsidRPr="00423939" w:rsidRDefault="00C43C2B" w:rsidP="00C43C2B">
      <w:pPr>
        <w:pStyle w:val="NormalHanging12a"/>
      </w:pPr>
      <w:r w:rsidRPr="00423939">
        <w:t>E.</w:t>
      </w:r>
      <w:r w:rsidRPr="00423939">
        <w:tab/>
      </w:r>
      <w:proofErr w:type="gramStart"/>
      <w:r w:rsidRPr="00423939">
        <w:t>mając</w:t>
      </w:r>
      <w:proofErr w:type="gramEnd"/>
      <w:r w:rsidRPr="00423939">
        <w:t xml:space="preserve"> na uwadze, że pod rządami prezydenta Kaisa Saieda w Tunezji nastąpił autorytarny zwrot i alarmujący regres w dziedzinie demokracji, praw człowieka i praworządności; mając na uwadze, że w ciągu ostatniego roku prezydent Kais Saied doprowadził do arbitralnego aresztowania i zatrzymania polityków opozycji, sędziów, pracowników mediów i działaczy społeczeństwa obywatelskiego;</w:t>
      </w:r>
    </w:p>
    <w:p w:rsidR="00C43C2B" w:rsidRPr="00423939" w:rsidRDefault="00C43C2B" w:rsidP="00C43C2B">
      <w:pPr>
        <w:pStyle w:val="NormalHanging12a"/>
      </w:pPr>
      <w:r w:rsidRPr="00423939">
        <w:t>F.</w:t>
      </w:r>
      <w:r w:rsidRPr="00423939">
        <w:tab/>
      </w:r>
      <w:proofErr w:type="gramStart"/>
      <w:r w:rsidRPr="00423939">
        <w:t>mając</w:t>
      </w:r>
      <w:proofErr w:type="gramEnd"/>
      <w:r w:rsidRPr="00423939">
        <w:t xml:space="preserve"> na uwadze, że Komisja przyjęła szczególny środek w pilnej procedurze pisemnej;</w:t>
      </w:r>
    </w:p>
    <w:p w:rsidR="00C43C2B" w:rsidRPr="00423939" w:rsidRDefault="00C43C2B" w:rsidP="00C43C2B">
      <w:pPr>
        <w:pStyle w:val="NormalHanging12a"/>
      </w:pPr>
      <w:r w:rsidRPr="00423939">
        <w:t>G.</w:t>
      </w:r>
      <w:r w:rsidRPr="00423939">
        <w:tab/>
        <w:t>mając na uwadze, że sześć miesięcy wcześniej, w oświadczeniu prasowym Komisji z 11 czerwca 2023 r., zapowiedziano wsparcie budżetowe dla Tunezji w wysokości 150 mln EUR; mając na uwadze, że to wsparcie budżetowe ogłoszono przed podpisaniem protokołu ustaleń między UE a Tunezją;</w:t>
      </w:r>
    </w:p>
    <w:p w:rsidR="00C43C2B" w:rsidRPr="00423939" w:rsidRDefault="00C43C2B" w:rsidP="00C43C2B">
      <w:pPr>
        <w:pStyle w:val="NormalHanging12a"/>
      </w:pPr>
      <w:r w:rsidRPr="00423939">
        <w:t>H.</w:t>
      </w:r>
      <w:r w:rsidRPr="00423939">
        <w:tab/>
      </w:r>
      <w:proofErr w:type="gramStart"/>
      <w:r w:rsidRPr="00423939">
        <w:t>mając</w:t>
      </w:r>
      <w:proofErr w:type="gramEnd"/>
      <w:r w:rsidRPr="00423939">
        <w:t xml:space="preserve"> na uwadze, że Komisja i Parlament nie kontaktowały się ze sobą w sposób nieformalny przed przyjęciem szczególnego środka w ramach pilnej procedury pisemnej, jak przewidziano w ust. 12 porozumienia między Parlamentem a Komisją z dnia 3 czerwca 2008 roku;</w:t>
      </w:r>
    </w:p>
    <w:p w:rsidR="00C43C2B" w:rsidRPr="00423939" w:rsidRDefault="00C43C2B" w:rsidP="00C43C2B">
      <w:pPr>
        <w:pStyle w:val="NormalHanging12a"/>
      </w:pPr>
      <w:r w:rsidRPr="00423939">
        <w:t>I.</w:t>
      </w:r>
      <w:r w:rsidRPr="00423939">
        <w:tab/>
      </w:r>
      <w:proofErr w:type="gramStart"/>
      <w:r w:rsidRPr="00423939">
        <w:t>mając</w:t>
      </w:r>
      <w:proofErr w:type="gramEnd"/>
      <w:r w:rsidRPr="00423939">
        <w:t xml:space="preserve"> na uwadze, że art. 27 ust. 4 rozporządzenia ustanawiającego ISWMR – „Globalny wymiar Europy” stanowi, że „udzielając wsparcia budżetowego zgodnie z art. 236 rozporządzenia finansowego, Komisja jasno określa i monitoruje kryteria warunkowości w zakresie wsparcia budżetowego, w tym postępy w reformach i przejrzystość, a także wspiera rozwój parlamentarnej zdolności w dziedzinie kontroli i audytu krajowego oraz zwiększoną przejrzystość i publiczny dostęp do informacji”;</w:t>
      </w:r>
    </w:p>
    <w:p w:rsidR="00C43C2B" w:rsidRPr="00423939" w:rsidRDefault="00C43C2B" w:rsidP="00C43C2B">
      <w:pPr>
        <w:pStyle w:val="NormalHanging12a"/>
      </w:pPr>
      <w:r w:rsidRPr="00423939">
        <w:t>J.</w:t>
      </w:r>
      <w:r w:rsidRPr="00423939">
        <w:tab/>
        <w:t>mając na uwadze, że art. 218 TFUE ustanawia procedurę negocjowania i zawierania umów między UE a państwami trzecimi; mając na uwadze, że procedura ta umożliwia odpowiednie gwarancje proceduralne, a także kontrolę parlamentarną i sądową, zwiększając tym samym rozliczalność i legitymację demokratyczną;</w:t>
      </w:r>
    </w:p>
    <w:p w:rsidR="00C43C2B" w:rsidRPr="00423939" w:rsidRDefault="00C43C2B" w:rsidP="00C43C2B">
      <w:pPr>
        <w:pStyle w:val="NormalHanging12a"/>
      </w:pPr>
      <w:r w:rsidRPr="00423939">
        <w:t>K.</w:t>
      </w:r>
      <w:r w:rsidRPr="00423939">
        <w:tab/>
        <w:t>mając na uwadze, że 13 września 2023 r. delegacji Komisji Spraw Zagranicznych odmówiono wjazdu do Tunezji, co ograniczyło możliwość wykonywania przez Parlament uprawnień kontrolnych;</w:t>
      </w:r>
    </w:p>
    <w:p w:rsidR="00C43C2B" w:rsidRPr="00423939" w:rsidRDefault="00C43C2B" w:rsidP="00C43C2B">
      <w:pPr>
        <w:pStyle w:val="NormalHanging12a"/>
      </w:pPr>
      <w:r w:rsidRPr="00423939">
        <w:t>L.</w:t>
      </w:r>
      <w:r w:rsidRPr="00423939">
        <w:tab/>
      </w:r>
      <w:proofErr w:type="gramStart"/>
      <w:r w:rsidRPr="00423939">
        <w:t>mając</w:t>
      </w:r>
      <w:proofErr w:type="gramEnd"/>
      <w:r w:rsidRPr="00423939">
        <w:t xml:space="preserve"> na uwadze, że 26 września 2023 r., na kilka dni przed jej planowanym terminem, władze tunezyjskie jednostronnie odroczyły wizytę Komisji;</w:t>
      </w:r>
    </w:p>
    <w:p w:rsidR="00C43C2B" w:rsidRPr="00423939" w:rsidRDefault="00C43C2B" w:rsidP="00C43C2B">
      <w:pPr>
        <w:pStyle w:val="NormalHanging12a"/>
      </w:pPr>
      <w:r w:rsidRPr="00423939">
        <w:t>M.</w:t>
      </w:r>
      <w:r w:rsidRPr="00423939">
        <w:tab/>
        <w:t>mając na uwadze, że w październiku 2023 r. prezydent Tunezji odrzucił i zwrócił 60 mln EUR wsparcia budżetowego z UE;</w:t>
      </w:r>
    </w:p>
    <w:p w:rsidR="00C43C2B" w:rsidRPr="00423939" w:rsidRDefault="00C43C2B" w:rsidP="00C43C2B">
      <w:pPr>
        <w:pStyle w:val="NormalHanging12a"/>
      </w:pPr>
      <w:r w:rsidRPr="00423939">
        <w:t>N.</w:t>
      </w:r>
      <w:r w:rsidRPr="00423939">
        <w:tab/>
        <w:t>mając na uwadze, że w żywotnym interesie UE leży dalsza współpraca z Tunezją w celu zapewnienia stabilności makroekonomicznej, praworządności i praw człowieka w tym kraju;</w:t>
      </w:r>
    </w:p>
    <w:p w:rsidR="00C43C2B" w:rsidRPr="00423939" w:rsidRDefault="00C43C2B" w:rsidP="00C43C2B">
      <w:pPr>
        <w:pStyle w:val="NormalHanging12a"/>
      </w:pPr>
      <w:r w:rsidRPr="00423939">
        <w:t>1.</w:t>
      </w:r>
      <w:r w:rsidRPr="00423939">
        <w:tab/>
      </w:r>
      <w:proofErr w:type="gramStart"/>
      <w:r w:rsidRPr="00423939">
        <w:t>kwestionuje</w:t>
      </w:r>
      <w:proofErr w:type="gramEnd"/>
      <w:r w:rsidRPr="00423939">
        <w:t xml:space="preserve"> potrzebę zastosowania pilnej procedury pisemnej w odniesieniu do szczególnego środka na rzecz Tunezji, ponieważ wstępną zapowiedź Komisji dotyczącą wsparcia budżetowego w wysokości 150 mln EUR ogłoszono już 11 czerwca 2023 r., pozostawiając wystarczająco dużo czasu na zastosowanie zwykłej procedury; uważa, że termin uruchomienia tej pilnej procedury pisemnej wskazuje na brak poszanowania </w:t>
      </w:r>
      <w:r w:rsidRPr="00423939">
        <w:lastRenderedPageBreak/>
        <w:t>kontroli parlamentarnej i procedury komitologii;</w:t>
      </w:r>
    </w:p>
    <w:p w:rsidR="00C43C2B" w:rsidRPr="00423939" w:rsidRDefault="00C43C2B" w:rsidP="00C43C2B">
      <w:pPr>
        <w:pStyle w:val="NormalHanging12a"/>
      </w:pPr>
      <w:r w:rsidRPr="00423939">
        <w:t>2.</w:t>
      </w:r>
      <w:r w:rsidRPr="00423939">
        <w:tab/>
      </w:r>
      <w:proofErr w:type="gramStart"/>
      <w:r w:rsidRPr="00423939">
        <w:t>wzywa</w:t>
      </w:r>
      <w:proofErr w:type="gramEnd"/>
      <w:r w:rsidRPr="00423939">
        <w:t xml:space="preserve"> Komisję, aby w kontekście kolejnego zbliżającego się dialogu geopolitycznego wysokiego szczebla przedstawiła szczegółowe, oparte na faktach wyjaśnienie, dlaczego nie doszło do nieformalnego kontaktu między Komisją a Parlamentem przed przyjęciem szczególnego środka w ramach pilnej procedury pisemnej, zgodnie z ust. 12 porozumienia między Parlamentem a Komisją z dnia 3 czerwca 2008 roku; oczekuje zatem, że Tunezja zostanie wybrana jako kraj priorytetowy podczas kolejnego dialogu geopolitycznego wysokiego szczebla;</w:t>
      </w:r>
    </w:p>
    <w:p w:rsidR="00C43C2B" w:rsidRPr="00423939" w:rsidRDefault="00C43C2B" w:rsidP="00C43C2B">
      <w:pPr>
        <w:pStyle w:val="NormalHanging12a"/>
      </w:pPr>
      <w:r w:rsidRPr="00423939">
        <w:t>3.</w:t>
      </w:r>
      <w:r w:rsidRPr="00423939">
        <w:tab/>
      </w:r>
      <w:proofErr w:type="gramStart"/>
      <w:r w:rsidRPr="00423939">
        <w:t>uważa</w:t>
      </w:r>
      <w:proofErr w:type="gramEnd"/>
      <w:r w:rsidRPr="00423939">
        <w:t>, że podjęte w protokole ustaleń zobowiązanie polityczne do „pełnej” wypłaty wsparcia budżetowego na 2023 r. nie stanowi podstawy prawnej do przyjęcia tego środka ani jako szczególnego środka na podstawie art. 23 ust. 4 rozporządzenia ustanawiającego ISWMR – „Globalny wymiar Europy”, ani w ramach pilnej procedury pisemnej;</w:t>
      </w:r>
    </w:p>
    <w:p w:rsidR="00C43C2B" w:rsidRPr="00423939" w:rsidRDefault="00C43C2B" w:rsidP="00C43C2B">
      <w:pPr>
        <w:pStyle w:val="NormalHanging12a"/>
      </w:pPr>
      <w:r w:rsidRPr="00423939">
        <w:t>4.</w:t>
      </w:r>
      <w:r w:rsidRPr="00423939">
        <w:tab/>
      </w:r>
      <w:proofErr w:type="gramStart"/>
      <w:r w:rsidRPr="00423939">
        <w:t>ubolewa</w:t>
      </w:r>
      <w:proofErr w:type="gramEnd"/>
      <w:r w:rsidRPr="00423939">
        <w:t>, że Komisja nie udostępniła proaktywnie Parlamentowi odnośnej umowy finansowej z Tunezją, określającej szczególne warunki i wymogi, zgodnie z art. 112 ust. 4 i art. 236 rozporządzenia finansowego;</w:t>
      </w:r>
    </w:p>
    <w:p w:rsidR="00C43C2B" w:rsidRPr="00423939" w:rsidRDefault="00C43C2B" w:rsidP="00C43C2B">
      <w:pPr>
        <w:pStyle w:val="NormalHanging12a"/>
      </w:pPr>
      <w:r w:rsidRPr="00423939">
        <w:t>5.</w:t>
      </w:r>
      <w:r w:rsidRPr="00423939">
        <w:tab/>
      </w:r>
      <w:proofErr w:type="gramStart"/>
      <w:r w:rsidRPr="00423939">
        <w:t>zwraca</w:t>
      </w:r>
      <w:proofErr w:type="gramEnd"/>
      <w:r w:rsidRPr="00423939">
        <w:t xml:space="preserve"> się o szczegółowe wyjaśnienie, w jaki sposób terminy takie jak „zadowalający postęp” – użyte w sekcji 4.3.2 </w:t>
      </w:r>
      <w:proofErr w:type="gramStart"/>
      <w:r w:rsidRPr="00423939">
        <w:t>dokumentu</w:t>
      </w:r>
      <w:proofErr w:type="gramEnd"/>
      <w:r w:rsidRPr="00423939">
        <w:t xml:space="preserve"> Komisji dotyczącego działań w ramach szczególnego środka, w którym wyszczególniono kryteria wypłaty wsparcia budżetowego – stanowią „jasno określone kryteria warunkowości w zakresie wsparcia budżetowego”, zgodnie z art. 27 ust. 4 rozporządzenia ustanawiającego ISWMR – „Globalny wymiar Europy”;</w:t>
      </w:r>
    </w:p>
    <w:p w:rsidR="00C43C2B" w:rsidRPr="00423939" w:rsidRDefault="00C43C2B" w:rsidP="00C43C2B">
      <w:pPr>
        <w:pStyle w:val="NormalHanging12a"/>
      </w:pPr>
      <w:r w:rsidRPr="00423939">
        <w:t>6.</w:t>
      </w:r>
      <w:r w:rsidRPr="00423939">
        <w:tab/>
      </w:r>
      <w:proofErr w:type="gramStart"/>
      <w:r w:rsidRPr="00423939">
        <w:t>wyraża</w:t>
      </w:r>
      <w:proofErr w:type="gramEnd"/>
      <w:r w:rsidRPr="00423939">
        <w:t xml:space="preserve"> wątpliwość, czy ten szczególny środek jest zgodny z podstawowymi zasadami w działaniach zewnętrznych dotyczących demokracji, praw człowieka i praworządności, jak określono w art. 21 TUE, różnych przepisach rozporządzenia ustanawiającego ISWMR – „Globalny wymiar Europy” i art. 2 układu eurośródziemnomorskiego między UE a Tunezją, biorąc pod uwagę znaczne pogorszenie sytuacji w zakresie praw podstawowych, które ma już miejsce w Tunezji od lipca 2021 r., oraz z uwagi na fakt, że znaczne pogorszenie sytuacji w zakresie podstawowych wartości może doprowadzić UE do zawieszenia, ograniczenia lub anulowania wsparcia budżetowego dla krajów partnerskich;</w:t>
      </w:r>
    </w:p>
    <w:p w:rsidR="00C43C2B" w:rsidRPr="00423939" w:rsidRDefault="00C43C2B" w:rsidP="00C43C2B">
      <w:pPr>
        <w:pStyle w:val="NormalHanging12a"/>
      </w:pPr>
      <w:r w:rsidRPr="00423939">
        <w:t>7.</w:t>
      </w:r>
      <w:r w:rsidRPr="00423939">
        <w:tab/>
      </w:r>
      <w:proofErr w:type="gramStart"/>
      <w:r w:rsidRPr="00423939">
        <w:t>w</w:t>
      </w:r>
      <w:proofErr w:type="gramEnd"/>
      <w:r w:rsidRPr="00423939">
        <w:t xml:space="preserve"> związku z tym wzywa Komisję do przedstawienia w trybie pilnym i przed końcem kadencji Parlamentu dalszych pisemnych szczegółów dotyczących tego, w jaki sposób i kiedy oceni ona, czy warunki określone w sekcji 4.3.2 </w:t>
      </w:r>
      <w:proofErr w:type="gramStart"/>
      <w:r w:rsidRPr="00423939">
        <w:t>dotyczące</w:t>
      </w:r>
      <w:proofErr w:type="gramEnd"/>
      <w:r w:rsidRPr="00423939">
        <w:t xml:space="preserve"> wypłaty wsparcia budżetowego zostały lub zostaną spełnione, oraz jakie obiektywne kryteria zostaną wykorzystane do ustalenia, czy poczyniono „zadowalający postęp” we wdrażaniu ogólnych warunków wymienionych w sekcji 4.3.2;</w:t>
      </w:r>
    </w:p>
    <w:p w:rsidR="00C43C2B" w:rsidRPr="00423939" w:rsidRDefault="00C43C2B" w:rsidP="00C43C2B">
      <w:pPr>
        <w:pStyle w:val="NormalHanging12a"/>
      </w:pPr>
      <w:r w:rsidRPr="00423939">
        <w:t>8.</w:t>
      </w:r>
      <w:r w:rsidRPr="00423939">
        <w:tab/>
      </w:r>
      <w:proofErr w:type="gramStart"/>
      <w:r w:rsidRPr="00423939">
        <w:t>zwraca</w:t>
      </w:r>
      <w:proofErr w:type="gramEnd"/>
      <w:r w:rsidRPr="00423939">
        <w:t xml:space="preserve"> się do Komisji o wyjaśnienie na piśmie, w jaki sposób w jej ocenie Tunezja spełnia obecnie wymóg określony w sekcji 4.3.2 </w:t>
      </w:r>
      <w:proofErr w:type="gramStart"/>
      <w:r w:rsidRPr="00423939">
        <w:t>lit</w:t>
      </w:r>
      <w:proofErr w:type="gramEnd"/>
      <w:r w:rsidRPr="00423939">
        <w:t>. b) dokumentu dotyczącego działań w ramach szczególnego środka w odniesieniu do podstawowych wartości;</w:t>
      </w:r>
    </w:p>
    <w:p w:rsidR="00C43C2B" w:rsidRPr="00423939" w:rsidRDefault="00C43C2B" w:rsidP="00C43C2B">
      <w:pPr>
        <w:pStyle w:val="NormalHanging12a"/>
      </w:pPr>
      <w:r w:rsidRPr="00423939">
        <w:t>9.</w:t>
      </w:r>
      <w:r w:rsidRPr="00423939">
        <w:tab/>
      </w:r>
      <w:proofErr w:type="gramStart"/>
      <w:r w:rsidRPr="00423939">
        <w:t>wzywa</w:t>
      </w:r>
      <w:proofErr w:type="gramEnd"/>
      <w:r w:rsidRPr="00423939">
        <w:t xml:space="preserve"> Komisję do wyjaśnienia, dlaczego zdecydowała się wypłacić 150 mln EUR w jednej transzy, zamiast zezwolić na stopniową wypłatę w oparciu o konkretne osiągnięte cele pośrednie lub kroki, jak przewidziano w art. 236 ust. 2 rozporządzenia </w:t>
      </w:r>
      <w:r w:rsidRPr="00423939">
        <w:lastRenderedPageBreak/>
        <w:t>finansowego, wykluczając możliwość zawieszenia dalszych wypłat, gdyby doszło do wyraźnego osłabienia podstawowych wartości;</w:t>
      </w:r>
    </w:p>
    <w:p w:rsidR="00C43C2B" w:rsidRPr="00423939" w:rsidRDefault="00C43C2B" w:rsidP="00C43C2B">
      <w:pPr>
        <w:pStyle w:val="NormalHanging12a"/>
      </w:pPr>
      <w:r w:rsidRPr="00423939">
        <w:t>10.</w:t>
      </w:r>
      <w:r w:rsidRPr="00423939">
        <w:tab/>
      </w:r>
      <w:proofErr w:type="gramStart"/>
      <w:r w:rsidRPr="00423939">
        <w:t>wzywa</w:t>
      </w:r>
      <w:proofErr w:type="gramEnd"/>
      <w:r w:rsidRPr="00423939">
        <w:t xml:space="preserve"> Komisję do wyjaśnienia, w jaki sposób szczególny środek przyczyni się do poprawy klimatu biznesowego i inwestycyjnego w świetle pogorszenia się praworządności w Tunezji od lipca 2021 r., które stanowi przeszkodę dla rozwoju gospodarczego;</w:t>
      </w:r>
    </w:p>
    <w:p w:rsidR="00C43C2B" w:rsidRPr="00423939" w:rsidRDefault="00C43C2B" w:rsidP="00C43C2B">
      <w:pPr>
        <w:pStyle w:val="NormalHanging12a"/>
      </w:pPr>
      <w:r w:rsidRPr="00423939">
        <w:t>11.</w:t>
      </w:r>
      <w:r w:rsidRPr="00423939">
        <w:tab/>
      </w:r>
      <w:proofErr w:type="gramStart"/>
      <w:r w:rsidRPr="00423939">
        <w:t>wzywa</w:t>
      </w:r>
      <w:proofErr w:type="gramEnd"/>
      <w:r w:rsidRPr="00423939">
        <w:t xml:space="preserve"> Komisję do wyjaśnienia powodów, dla których władze Tunezji odrzuciły 60 mln EUR wsparcia budżetowego wypłaconego w ramach instrumentu COVID-19 w październiku 2023 r., oraz na jakiej podstawie Komisja uważa, że władze Tunezji są skłonne zaakceptować wsparcie budżetowe przewidziane w ramach tego szczególnego środka;</w:t>
      </w:r>
    </w:p>
    <w:p w:rsidR="00C43C2B" w:rsidRPr="00423939" w:rsidRDefault="00C43C2B" w:rsidP="00C43C2B">
      <w:pPr>
        <w:pStyle w:val="NormalHanging12a"/>
      </w:pPr>
      <w:r w:rsidRPr="00423939">
        <w:t>12.</w:t>
      </w:r>
      <w:r w:rsidRPr="00423939">
        <w:tab/>
      </w:r>
      <w:proofErr w:type="gramStart"/>
      <w:r w:rsidRPr="00423939">
        <w:t>wzywa</w:t>
      </w:r>
      <w:proofErr w:type="gramEnd"/>
      <w:r w:rsidRPr="00423939">
        <w:t xml:space="preserve"> Komisję do wyjaśnienia, jakie gwarancje otrzymała od władz tunezyjskich od września 2023 r. co do tego, że Parlament będzie mógł dokonać wizytacji miejsc realizacji projektów finansowanych przez UE w Tunezji, a tym samym skorzystać ze swoich praw do nadzoru i kontroli zgodnie z art. 14 TUE;</w:t>
      </w:r>
    </w:p>
    <w:p w:rsidR="00C43C2B" w:rsidRPr="00423939" w:rsidRDefault="00C43C2B" w:rsidP="00C43C2B">
      <w:pPr>
        <w:pStyle w:val="NormalHanging12a"/>
      </w:pPr>
      <w:r w:rsidRPr="00423939">
        <w:t>13.</w:t>
      </w:r>
      <w:r w:rsidRPr="00423939">
        <w:tab/>
      </w:r>
      <w:proofErr w:type="gramStart"/>
      <w:r w:rsidRPr="00423939">
        <w:t>zwraca</w:t>
      </w:r>
      <w:proofErr w:type="gramEnd"/>
      <w:r w:rsidRPr="00423939">
        <w:t xml:space="preserve"> się do Komisji o wyjaśnienie sytuacji poprzez udzielenie stosownej i wyczerpującej odpowiedzi na pytanie ze strony Parlamentu wymagające odpowiedzi ustnej oraz na niniejszą rezolucję towarzyszącą;</w:t>
      </w:r>
    </w:p>
    <w:p w:rsidR="00C43C2B" w:rsidRPr="00423939" w:rsidRDefault="00C43C2B" w:rsidP="00C43C2B">
      <w:pPr>
        <w:pStyle w:val="NormalHanging12a"/>
      </w:pPr>
      <w:r w:rsidRPr="00423939">
        <w:t>14.</w:t>
      </w:r>
      <w:r w:rsidRPr="00423939">
        <w:tab/>
      </w:r>
      <w:proofErr w:type="gramStart"/>
      <w:r w:rsidRPr="00423939">
        <w:t>zobowiązuje</w:t>
      </w:r>
      <w:proofErr w:type="gramEnd"/>
      <w:r w:rsidRPr="00423939">
        <w:t xml:space="preserve"> swoją przewodniczącą do przekazania niniejszej rezolucji Komisji, wiceprzewodniczącemu Komisji / wysokiemu przedstawicielowi Unii do spraw zagranicznych i polityki bezpieczeństwa oraz Radzie. </w:t>
      </w:r>
    </w:p>
    <w:p w:rsidR="00E365E1" w:rsidRPr="00423939" w:rsidRDefault="00E365E1" w:rsidP="005D2A3C">
      <w:bookmarkStart w:id="7" w:name="TextBodyEnd"/>
      <w:bookmarkEnd w:id="7"/>
    </w:p>
    <w:sectPr w:rsidR="00E365E1" w:rsidRPr="00423939" w:rsidSect="004239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A3C" w:rsidRPr="00423939" w:rsidRDefault="005D2A3C">
      <w:r w:rsidRPr="00423939">
        <w:separator/>
      </w:r>
    </w:p>
  </w:endnote>
  <w:endnote w:type="continuationSeparator" w:id="0">
    <w:p w:rsidR="005D2A3C" w:rsidRPr="00423939" w:rsidRDefault="005D2A3C">
      <w:r w:rsidRPr="004239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9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9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9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A3C" w:rsidRPr="00423939" w:rsidRDefault="005D2A3C">
      <w:r w:rsidRPr="00423939">
        <w:separator/>
      </w:r>
    </w:p>
  </w:footnote>
  <w:footnote w:type="continuationSeparator" w:id="0">
    <w:p w:rsidR="005D2A3C" w:rsidRPr="00423939" w:rsidRDefault="005D2A3C">
      <w:r w:rsidRPr="00423939">
        <w:continuationSeparator/>
      </w:r>
    </w:p>
  </w:footnote>
  <w:footnote w:id="1">
    <w:p w:rsidR="00C43C2B" w:rsidRPr="00423939" w:rsidRDefault="00C43C2B" w:rsidP="00423939">
      <w:pPr>
        <w:pStyle w:val="FootnoteText"/>
        <w:ind w:left="567" w:hanging="567"/>
        <w:rPr>
          <w:b/>
          <w:sz w:val="24"/>
          <w:lang w:val="pl-PL"/>
        </w:rPr>
      </w:pPr>
      <w:r w:rsidRPr="00423939">
        <w:rPr>
          <w:rStyle w:val="FootnoteReference"/>
          <w:sz w:val="24"/>
          <w:lang w:val="pl-PL"/>
        </w:rPr>
        <w:footnoteRef/>
      </w:r>
      <w:r w:rsidR="00423939" w:rsidRPr="00423939">
        <w:rPr>
          <w:sz w:val="24"/>
          <w:lang w:val="pl-PL"/>
        </w:rPr>
        <w:t xml:space="preserve"> </w:t>
      </w:r>
      <w:r w:rsidR="00423939" w:rsidRPr="00423939">
        <w:rPr>
          <w:sz w:val="24"/>
          <w:lang w:val="pl-PL"/>
        </w:rPr>
        <w:tab/>
      </w:r>
      <w:r w:rsidRPr="00423939">
        <w:rPr>
          <w:sz w:val="24"/>
          <w:lang w:val="pl-PL"/>
        </w:rPr>
        <w:t xml:space="preserve">Dz.U. L 209 z 14.6.2021, </w:t>
      </w:r>
      <w:proofErr w:type="gramStart"/>
      <w:r w:rsidRPr="00423939">
        <w:rPr>
          <w:sz w:val="24"/>
          <w:lang w:val="pl-PL"/>
        </w:rPr>
        <w:t>s</w:t>
      </w:r>
      <w:proofErr w:type="gramEnd"/>
      <w:r w:rsidRPr="00423939">
        <w:rPr>
          <w:sz w:val="24"/>
          <w:lang w:val="pl-PL"/>
        </w:rPr>
        <w:t>. 1.</w:t>
      </w:r>
    </w:p>
  </w:footnote>
  <w:footnote w:id="2">
    <w:p w:rsidR="00C43C2B" w:rsidRPr="00423939" w:rsidRDefault="00C43C2B" w:rsidP="00423939">
      <w:pPr>
        <w:pStyle w:val="FootnoteText"/>
        <w:ind w:left="567" w:hanging="567"/>
        <w:rPr>
          <w:sz w:val="24"/>
          <w:lang w:val="pl-PL"/>
        </w:rPr>
      </w:pPr>
      <w:r w:rsidRPr="00423939">
        <w:rPr>
          <w:rStyle w:val="FootnoteReference"/>
          <w:sz w:val="24"/>
          <w:lang w:val="pl-PL"/>
        </w:rPr>
        <w:footnoteRef/>
      </w:r>
      <w:r w:rsidR="00423939" w:rsidRPr="00423939">
        <w:rPr>
          <w:sz w:val="24"/>
          <w:lang w:val="pl-PL"/>
        </w:rPr>
        <w:t xml:space="preserve"> </w:t>
      </w:r>
      <w:r w:rsidR="00423939" w:rsidRPr="00423939">
        <w:rPr>
          <w:sz w:val="24"/>
          <w:lang w:val="pl-PL"/>
        </w:rPr>
        <w:tab/>
      </w:r>
      <w:r w:rsidRPr="00423939">
        <w:rPr>
          <w:sz w:val="24"/>
          <w:lang w:val="pl-PL"/>
        </w:rPr>
        <w:t xml:space="preserve">Dz.U. C 143 z 10.6.2008, </w:t>
      </w:r>
      <w:proofErr w:type="gramStart"/>
      <w:r w:rsidRPr="00423939">
        <w:rPr>
          <w:sz w:val="24"/>
          <w:lang w:val="pl-PL"/>
        </w:rPr>
        <w:t>s</w:t>
      </w:r>
      <w:proofErr w:type="gramEnd"/>
      <w:r w:rsidRPr="00423939">
        <w:rPr>
          <w:sz w:val="24"/>
          <w:lang w:val="pl-PL"/>
        </w:rPr>
        <w:t>. 1.</w:t>
      </w:r>
    </w:p>
  </w:footnote>
  <w:footnote w:id="3">
    <w:p w:rsidR="00C43C2B" w:rsidRPr="00423939" w:rsidRDefault="00C43C2B" w:rsidP="00423939">
      <w:pPr>
        <w:pStyle w:val="FootnoteText"/>
        <w:ind w:left="567" w:hanging="567"/>
        <w:rPr>
          <w:sz w:val="24"/>
          <w:lang w:val="pl-PL"/>
        </w:rPr>
      </w:pPr>
      <w:r w:rsidRPr="00423939">
        <w:rPr>
          <w:rStyle w:val="FootnoteReference"/>
          <w:sz w:val="24"/>
          <w:lang w:val="pl-PL"/>
        </w:rPr>
        <w:footnoteRef/>
      </w:r>
      <w:r w:rsidR="00423939" w:rsidRPr="00423939">
        <w:rPr>
          <w:sz w:val="24"/>
          <w:lang w:val="pl-PL"/>
        </w:rPr>
        <w:t xml:space="preserve"> </w:t>
      </w:r>
      <w:r w:rsidR="00423939" w:rsidRPr="00423939">
        <w:rPr>
          <w:sz w:val="24"/>
          <w:lang w:val="pl-PL"/>
        </w:rPr>
        <w:tab/>
      </w:r>
      <w:r w:rsidRPr="00423939">
        <w:rPr>
          <w:sz w:val="24"/>
          <w:lang w:val="pl-PL"/>
        </w:rPr>
        <w:t xml:space="preserve">Dz.U. L 193 z 30.7.2018, </w:t>
      </w:r>
      <w:proofErr w:type="gramStart"/>
      <w:r w:rsidRPr="00423939">
        <w:rPr>
          <w:sz w:val="24"/>
          <w:lang w:val="pl-PL"/>
        </w:rPr>
        <w:t>s</w:t>
      </w:r>
      <w:proofErr w:type="gramEnd"/>
      <w:r w:rsidRPr="00423939">
        <w:rPr>
          <w:sz w:val="24"/>
          <w:lang w:val="pl-PL"/>
        </w:rPr>
        <w:t>. 1.</w:t>
      </w:r>
    </w:p>
  </w:footnote>
  <w:footnote w:id="4">
    <w:p w:rsidR="00C43C2B" w:rsidRPr="00423939" w:rsidRDefault="00C43C2B" w:rsidP="00423939">
      <w:pPr>
        <w:pStyle w:val="FootnoteText"/>
        <w:ind w:left="567" w:hanging="567"/>
        <w:rPr>
          <w:sz w:val="24"/>
          <w:lang w:val="pl-PL"/>
        </w:rPr>
      </w:pPr>
      <w:r w:rsidRPr="00423939">
        <w:rPr>
          <w:rStyle w:val="FootnoteReference"/>
          <w:sz w:val="24"/>
          <w:lang w:val="pl-PL"/>
        </w:rPr>
        <w:footnoteRef/>
      </w:r>
      <w:r w:rsidR="00423939" w:rsidRPr="00423939">
        <w:rPr>
          <w:sz w:val="24"/>
          <w:lang w:val="pl-PL"/>
        </w:rPr>
        <w:t xml:space="preserve"> </w:t>
      </w:r>
      <w:r w:rsidR="00423939" w:rsidRPr="00423939">
        <w:rPr>
          <w:sz w:val="24"/>
          <w:lang w:val="pl-PL"/>
        </w:rPr>
        <w:tab/>
      </w:r>
      <w:r w:rsidRPr="00423939">
        <w:rPr>
          <w:sz w:val="24"/>
          <w:lang w:val="pl-PL"/>
        </w:rPr>
        <w:t xml:space="preserve">Dz.U. L 97 z 30.3.1998, </w:t>
      </w:r>
      <w:proofErr w:type="gramStart"/>
      <w:r w:rsidRPr="00423939">
        <w:rPr>
          <w:sz w:val="24"/>
          <w:lang w:val="pl-PL"/>
        </w:rPr>
        <w:t>s</w:t>
      </w:r>
      <w:proofErr w:type="gramEnd"/>
      <w:r w:rsidRPr="00423939">
        <w:rPr>
          <w:sz w:val="24"/>
          <w:lang w:val="pl-PL"/>
        </w:rPr>
        <w:t>. 2.</w:t>
      </w:r>
    </w:p>
  </w:footnote>
  <w:footnote w:id="5">
    <w:p w:rsidR="00C43C2B" w:rsidRPr="00423939" w:rsidRDefault="00C43C2B" w:rsidP="00423939">
      <w:pPr>
        <w:pStyle w:val="FootnoteText"/>
        <w:ind w:left="567" w:hanging="567"/>
        <w:rPr>
          <w:sz w:val="24"/>
          <w:lang w:val="pl-PL"/>
        </w:rPr>
      </w:pPr>
      <w:r w:rsidRPr="00423939">
        <w:rPr>
          <w:rStyle w:val="FootnoteReference"/>
          <w:sz w:val="24"/>
          <w:lang w:val="pl-PL"/>
        </w:rPr>
        <w:footnoteRef/>
      </w:r>
      <w:r w:rsidR="00423939" w:rsidRPr="00423939">
        <w:rPr>
          <w:sz w:val="24"/>
          <w:lang w:val="pl-PL"/>
        </w:rPr>
        <w:t xml:space="preserve"> </w:t>
      </w:r>
      <w:r w:rsidR="00423939" w:rsidRPr="00423939">
        <w:rPr>
          <w:sz w:val="24"/>
          <w:lang w:val="pl-PL"/>
        </w:rPr>
        <w:tab/>
      </w:r>
      <w:r w:rsidRPr="00423939">
        <w:rPr>
          <w:sz w:val="24"/>
          <w:lang w:val="pl-PL"/>
        </w:rPr>
        <w:t>Dz.U. C, C/2023/407 z 23.11.2023, ELI: http</w:t>
      </w:r>
      <w:proofErr w:type="gramStart"/>
      <w:r w:rsidRPr="00423939">
        <w:rPr>
          <w:sz w:val="24"/>
          <w:lang w:val="pl-PL"/>
        </w:rPr>
        <w:t>://data</w:t>
      </w:r>
      <w:proofErr w:type="gramEnd"/>
      <w:r w:rsidRPr="00423939">
        <w:rPr>
          <w:sz w:val="24"/>
          <w:lang w:val="pl-PL"/>
        </w:rPr>
        <w:t>.</w:t>
      </w:r>
      <w:proofErr w:type="gramStart"/>
      <w:r w:rsidRPr="00423939">
        <w:rPr>
          <w:sz w:val="24"/>
          <w:lang w:val="pl-PL"/>
        </w:rPr>
        <w:t>europa</w:t>
      </w:r>
      <w:proofErr w:type="gramEnd"/>
      <w:r w:rsidRPr="00423939">
        <w:rPr>
          <w:sz w:val="24"/>
          <w:lang w:val="pl-PL"/>
        </w:rPr>
        <w:t>.</w:t>
      </w:r>
      <w:proofErr w:type="gramStart"/>
      <w:r w:rsidRPr="00423939">
        <w:rPr>
          <w:sz w:val="24"/>
          <w:lang w:val="pl-PL"/>
        </w:rPr>
        <w:t>eu</w:t>
      </w:r>
      <w:proofErr w:type="gramEnd"/>
      <w:r w:rsidRPr="00423939">
        <w:rPr>
          <w:sz w:val="24"/>
          <w:lang w:val="pl-PL"/>
        </w:rPr>
        <w:t>/eli/C/2023/407/oj.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9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9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9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3/2024"/>
    <w:docVar w:name="dvlangue" w:val="PL"/>
    <w:docVar w:name="dvnumam" w:val="0"/>
    <w:docVar w:name="dvpe" w:val="759.058"/>
    <w:docVar w:name="dvtitre" w:val="Rezolucja Parlamentu Europejskiego z dnia  2024 r. w sprawie przyjęcia środka szczególnego na rzecz Tunezji na 2023 r.(2024/2573(RSP))"/>
  </w:docVars>
  <w:rsids>
    <w:rsidRoot w:val="005D2A3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939"/>
    <w:rsid w:val="00471C19"/>
    <w:rsid w:val="004867E3"/>
    <w:rsid w:val="00494A28"/>
    <w:rsid w:val="004C0004"/>
    <w:rsid w:val="004C5D52"/>
    <w:rsid w:val="0050519A"/>
    <w:rsid w:val="005072A1"/>
    <w:rsid w:val="00512832"/>
    <w:rsid w:val="00514517"/>
    <w:rsid w:val="00545827"/>
    <w:rsid w:val="00560270"/>
    <w:rsid w:val="005C2568"/>
    <w:rsid w:val="005D2A3C"/>
    <w:rsid w:val="006037C0"/>
    <w:rsid w:val="006550C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C2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70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2F9C2"/>
  <w15:chartTrackingRefBased/>
  <w15:docId w15:val="{B084028A-6213-4D69-ABFE-6476CB9B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3C2B"/>
    <w:pPr>
      <w:spacing w:before="480" w:after="240"/>
    </w:pPr>
  </w:style>
  <w:style w:type="paragraph" w:customStyle="1" w:styleId="NormalHanging12a">
    <w:name w:val="NormalHanging12a"/>
    <w:basedOn w:val="Normal"/>
    <w:rsid w:val="00C43C2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B07B6-763E-4CA3-8512-6993E8960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1659</Words>
  <Characters>10566</Characters>
  <Application>Microsoft Office Word</Application>
  <DocSecurity>0</DocSecurity>
  <Lines>1174</Lines>
  <Paragraphs>1222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2024-04-22T08:46:00Z</dcterms:created>
  <dcterms:modified xsi:type="dcterms:W3CDTF">2024-04-22T08:46:00Z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B9-0173/2024</vt:lpwstr>
  </property>
  <property fmtid="{D5CDD505-2E9C-101B-9397-08002B2CF9AE}" pid="4" name="&lt;Type&gt;">
    <vt:lpwstr>RR</vt:lpwstr>
  </property>
</Properties>
</file>