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849A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849A8" w:rsidRDefault="00951F16">
            <w:pPr>
              <w:pStyle w:val="EPName"/>
            </w:pPr>
            <w:r>
              <w:t>Európsky parlament</w:t>
            </w:r>
          </w:p>
          <w:p w:rsidR="00F849A8" w:rsidRDefault="00951F1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F849A8" w:rsidRDefault="00951F16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49A8" w:rsidRDefault="00F849A8">
      <w:pPr>
        <w:pStyle w:val="LineTop"/>
      </w:pPr>
    </w:p>
    <w:p w:rsidR="00F849A8" w:rsidRDefault="00951F16">
      <w:pPr>
        <w:pStyle w:val="EPBodyTA1"/>
      </w:pPr>
      <w:r>
        <w:t>PRIJATÉ TEXTY</w:t>
      </w:r>
    </w:p>
    <w:p w:rsidR="00F849A8" w:rsidRDefault="00F849A8">
      <w:pPr>
        <w:pStyle w:val="LineBottom"/>
      </w:pPr>
    </w:p>
    <w:p w:rsidR="00F849A8" w:rsidRDefault="00951F16">
      <w:pPr>
        <w:pStyle w:val="ATHeading1"/>
      </w:pPr>
      <w:bookmarkStart w:id="0" w:name="TANumber"/>
      <w:r>
        <w:t>P9_TA(2024)0175</w:t>
      </w:r>
      <w:bookmarkEnd w:id="0"/>
    </w:p>
    <w:p w:rsidR="00F849A8" w:rsidRDefault="00951F16">
      <w:pPr>
        <w:pStyle w:val="ATHeading2"/>
      </w:pPr>
      <w:bookmarkStart w:id="1" w:name="title"/>
      <w:r>
        <w:t>Prijatie osobitného opatrenia v prospech Tuniska na rok 2023</w:t>
      </w:r>
      <w:bookmarkEnd w:id="1"/>
    </w:p>
    <w:p w:rsidR="00F849A8" w:rsidRDefault="00951F16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B9-0173/2024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849A8" w:rsidRDefault="00951F16">
      <w:pPr>
        <w:rPr>
          <w:vanish/>
        </w:rPr>
      </w:pPr>
      <w:bookmarkStart w:id="3" w:name="PE"/>
      <w:r>
        <w:rPr>
          <w:vanish/>
        </w:rPr>
        <w:t>PE759.058</w:t>
      </w:r>
      <w:bookmarkEnd w:id="3"/>
    </w:p>
    <w:p w:rsidR="00F849A8" w:rsidRDefault="00951F16">
      <w:pPr>
        <w:pStyle w:val="ATHeading3"/>
      </w:pPr>
      <w:bookmarkStart w:id="4" w:name="Sujet"/>
      <w:r>
        <w:t>Uznesenie Európskeho parlamentu zo 14. marca 2024 o prijatí osobitného opatrenia v prospech Tuniska na rok 2023</w:t>
      </w:r>
      <w:bookmarkEnd w:id="4"/>
      <w:r>
        <w:t xml:space="preserve"> </w:t>
      </w:r>
      <w:bookmarkStart w:id="5" w:name="References"/>
      <w:r>
        <w:t>(2024/2573(RSP))</w:t>
      </w:r>
      <w:bookmarkEnd w:id="5"/>
    </w:p>
    <w:p w:rsidR="00F849A8" w:rsidRDefault="00951F16">
      <w:pPr>
        <w:pStyle w:val="EPComma"/>
      </w:pPr>
      <w:bookmarkStart w:id="6" w:name="TextBodyBegin"/>
      <w:bookmarkEnd w:id="6"/>
      <w:r>
        <w:rPr>
          <w:i/>
          <w:iCs/>
        </w:rPr>
        <w:t>Európsky parlament</w:t>
      </w:r>
      <w:r>
        <w:t>,</w:t>
      </w:r>
    </w:p>
    <w:p w:rsidR="00F849A8" w:rsidRDefault="00951F16">
      <w:pPr>
        <w:pStyle w:val="NormalHanging12a"/>
      </w:pPr>
      <w:r>
        <w:t>–</w:t>
      </w:r>
      <w:r>
        <w:tab/>
        <w:t>so zreteľom na Zmluvu o Európskej únii (ďalej len „Zmluva o EÚ“), najmä na jej článok 14,</w:t>
      </w:r>
    </w:p>
    <w:p w:rsidR="00F849A8" w:rsidRDefault="00951F16">
      <w:pPr>
        <w:pStyle w:val="NormalHanging12a"/>
      </w:pPr>
      <w:r>
        <w:t>–</w:t>
      </w:r>
      <w:r>
        <w:tab/>
        <w:t>so zreteľom na Zmluvu o fungovaní Európskej únie (ďalej len „ZFEÚ“),</w:t>
      </w:r>
    </w:p>
    <w:p w:rsidR="00F849A8" w:rsidRDefault="00951F16">
      <w:pPr>
        <w:pStyle w:val="NormalHanging12a"/>
      </w:pPr>
      <w:r>
        <w:t>–</w:t>
      </w:r>
      <w:r>
        <w:tab/>
        <w:t xml:space="preserve">so zreteľom na nariadenie Európskeho parlamentu a Rady (EÚ) 2021/947 z 9. júna 2021, ktorým sa zriaďuje Nástroj susedstva a rozvojovej a medzinárodnej spolupráce – Globálna Európa, mení a zrušuje rozhodnutie Európskeho parlamentu a Rady č. 466/2014/EÚ a zrušuje nariadenie Európskeho parlamentu a Rady (EÚ) 2017/1601 a nariadenie Rady (ES, </w:t>
      </w:r>
      <w:proofErr w:type="spellStart"/>
      <w:r>
        <w:t>Euratom</w:t>
      </w:r>
      <w:proofErr w:type="spellEnd"/>
      <w:r>
        <w:t>) č. 480/2009</w:t>
      </w:r>
      <w:r>
        <w:rPr>
          <w:rStyle w:val="FootnoteReference"/>
          <w:szCs w:val="24"/>
        </w:rPr>
        <w:footnoteReference w:id="1"/>
      </w:r>
      <w:r>
        <w:t xml:space="preserve"> (nariadenie NDICI),</w:t>
      </w:r>
    </w:p>
    <w:p w:rsidR="00F849A8" w:rsidRDefault="00951F16">
      <w:pPr>
        <w:pStyle w:val="NormalHanging12a"/>
      </w:pPr>
      <w:r>
        <w:t>–</w:t>
      </w:r>
      <w:r>
        <w:tab/>
        <w:t xml:space="preserve">so zreteľom na </w:t>
      </w:r>
      <w:proofErr w:type="spellStart"/>
      <w:r>
        <w:t>Medziinštitucionálnu</w:t>
      </w:r>
      <w:proofErr w:type="spellEnd"/>
      <w:r>
        <w:t xml:space="preserve"> dohodu medzi Európskym parlamentom a Komisiou z 3. júna 2008 o postupoch pre vykonávanie rozhodnutia Rady 1999/468/ES, ktorým sa ustanovujú postupy pre výkon vykonávacích právomocí prenesených na Komisiu, v znení zmien a doplnení rozhodnutím 2006/512/ES</w:t>
      </w:r>
      <w:r>
        <w:rPr>
          <w:rStyle w:val="FootnoteReference"/>
        </w:rPr>
        <w:footnoteReference w:id="2"/>
      </w:r>
      <w:r>
        <w:t>,</w:t>
      </w:r>
    </w:p>
    <w:p w:rsidR="00F849A8" w:rsidRDefault="00951F16">
      <w:pPr>
        <w:pStyle w:val="NormalHanging12a"/>
      </w:pPr>
      <w:r>
        <w:t>–</w:t>
      </w:r>
      <w:r>
        <w:tab/>
        <w:t xml:space="preserve">so zreteľom na nariadenie Európskeho parlamentu a Rady (EÚ, </w:t>
      </w:r>
      <w:proofErr w:type="spellStart"/>
      <w:r>
        <w:t>Euratom</w:t>
      </w:r>
      <w:proofErr w:type="spellEnd"/>
      <w:r>
        <w:t xml:space="preserve">) 2018/1046 z 18. júla 2018 o rozpočtových pravidlách, ktoré sa vzťahujú na všeobecný rozpočet Únie, o zmene nariadení (EÚ) č. 1296/2013, (EÚ) č. 1301/2013, (EÚ) č. 1303/2013, (EÚ) č. 1304/2013, (EÚ) č. 1309/2013, (EÚ) č. 1316/2013, (EÚ) č. 223/2014, (EÚ) č. 283/2014 a rozhodnutia č. 541/2014/EÚ a o zrušení nariadenia (EÚ, </w:t>
      </w:r>
      <w:proofErr w:type="spellStart"/>
      <w:r>
        <w:t>Euratom</w:t>
      </w:r>
      <w:proofErr w:type="spellEnd"/>
      <w:r>
        <w:t>) č. 966/2012</w:t>
      </w:r>
      <w:r>
        <w:rPr>
          <w:rStyle w:val="FootnoteReference"/>
          <w:color w:val="000000"/>
          <w:szCs w:val="24"/>
        </w:rPr>
        <w:footnoteReference w:id="3"/>
      </w:r>
      <w:r>
        <w:t xml:space="preserve"> (ďalej len „nariadenie o rozpočtových pravidlách“),</w:t>
      </w:r>
    </w:p>
    <w:p w:rsidR="00F849A8" w:rsidRDefault="00951F16">
      <w:pPr>
        <w:pStyle w:val="NormalHanging12a"/>
      </w:pPr>
      <w:r>
        <w:t>–</w:t>
      </w:r>
      <w:r>
        <w:tab/>
        <w:t xml:space="preserve">so zreteľom na Euro-stredomorskú dohodu, ktorou sa zakladá pridruženie medzi Európskymi spoločenstvami a ich členskými štátmi na jednej strane a Tuniskom na </w:t>
      </w:r>
      <w:r>
        <w:lastRenderedPageBreak/>
        <w:t>strane druhej</w:t>
      </w:r>
      <w:r>
        <w:rPr>
          <w:rStyle w:val="FootnoteReference"/>
        </w:rPr>
        <w:footnoteReference w:id="4"/>
      </w:r>
      <w:r>
        <w:t>,</w:t>
      </w:r>
    </w:p>
    <w:p w:rsidR="00F849A8" w:rsidRDefault="00951F16">
      <w:pPr>
        <w:pStyle w:val="NormalHanging12a"/>
      </w:pPr>
      <w:r>
        <w:t>–</w:t>
      </w:r>
      <w:r>
        <w:tab/>
        <w:t xml:space="preserve">so zreteľom na svoje predchádzajúce uznesenia o Tunisku, najmä na uznesenie zo 16. marca 2023 o nedávnych útokoch proti slobode prejavu a združovania a proti odborovým zväzom v Tunisku, najmä o prípade novinárky </w:t>
      </w:r>
      <w:proofErr w:type="spellStart"/>
      <w:r>
        <w:t>Noureddine</w:t>
      </w:r>
      <w:proofErr w:type="spellEnd"/>
      <w:r>
        <w:t xml:space="preserve"> </w:t>
      </w:r>
      <w:proofErr w:type="spellStart"/>
      <w:r>
        <w:t>Boutarovej</w:t>
      </w:r>
      <w:proofErr w:type="spellEnd"/>
      <w:r>
        <w:rPr>
          <w:rStyle w:val="FootnoteReference"/>
        </w:rPr>
        <w:footnoteReference w:id="5"/>
      </w:r>
      <w:r>
        <w:t>,</w:t>
      </w:r>
    </w:p>
    <w:p w:rsidR="00F849A8" w:rsidRDefault="00951F16">
      <w:pPr>
        <w:pStyle w:val="NormalHanging12a"/>
      </w:pPr>
      <w:r>
        <w:t>–</w:t>
      </w:r>
      <w:r>
        <w:tab/>
        <w:t xml:space="preserve">so zreteľom na tlačové vyhlásenie predsedníčky Komisie von der </w:t>
      </w:r>
      <w:proofErr w:type="spellStart"/>
      <w:r>
        <w:t>Leyenovej</w:t>
      </w:r>
      <w:proofErr w:type="spellEnd"/>
      <w:r>
        <w:t xml:space="preserve"> s talianskou predsedníčkou vlády </w:t>
      </w:r>
      <w:proofErr w:type="spellStart"/>
      <w:r>
        <w:t>Meloniovou</w:t>
      </w:r>
      <w:proofErr w:type="spellEnd"/>
      <w:r>
        <w:t xml:space="preserve">, holandským predsedom vlády </w:t>
      </w:r>
      <w:proofErr w:type="spellStart"/>
      <w:r>
        <w:t>Ruttem</w:t>
      </w:r>
      <w:proofErr w:type="spellEnd"/>
      <w:r>
        <w:t xml:space="preserve"> a tuniským prezidentom </w:t>
      </w:r>
      <w:proofErr w:type="spellStart"/>
      <w:r>
        <w:t>Saídom</w:t>
      </w:r>
      <w:proofErr w:type="spellEnd"/>
      <w:r>
        <w:t xml:space="preserve"> z 11. júna 2023,</w:t>
      </w:r>
    </w:p>
    <w:p w:rsidR="00F849A8" w:rsidRDefault="00951F16">
      <w:pPr>
        <w:pStyle w:val="NormalHanging12a"/>
      </w:pPr>
      <w:r>
        <w:t>–</w:t>
      </w:r>
      <w:r>
        <w:tab/>
        <w:t>so zreteľom na memorandum o porozumení zo 16. júla 2023 o strategickom a globálnom partnerstve medzi EÚ a Tuniskom,</w:t>
      </w:r>
    </w:p>
    <w:p w:rsidR="00F849A8" w:rsidRDefault="00951F16">
      <w:pPr>
        <w:pStyle w:val="NormalHanging12a"/>
      </w:pPr>
      <w:r>
        <w:t>–</w:t>
      </w:r>
      <w:r>
        <w:tab/>
        <w:t>so zreteľom na vykonávacie rozhodnutie Komisie z 20. decembra 2023 o financovaní osobitného opatrenia v prospech Tuniska na rok 2023 (C(2023)9184) a na sprievodný akčný dokument o programe na podporu makroekonomických reforiem v Tunisku,</w:t>
      </w:r>
    </w:p>
    <w:p w:rsidR="00F849A8" w:rsidRDefault="00951F16">
      <w:pPr>
        <w:pStyle w:val="NormalHanging12a"/>
      </w:pPr>
      <w:r>
        <w:t>–</w:t>
      </w:r>
      <w:r>
        <w:tab/>
        <w:t>so zreteľom na článok 136 ods. 5 a článok 132 ods. 2 rokovacieho poriadku,</w:t>
      </w:r>
    </w:p>
    <w:p w:rsidR="00F849A8" w:rsidRDefault="00951F16">
      <w:pPr>
        <w:pStyle w:val="NormalHanging12a"/>
      </w:pPr>
      <w:r>
        <w:t>–</w:t>
      </w:r>
      <w:r>
        <w:tab/>
        <w:t>so zreteľom na návrh uznesenia Výboru pre zahraničné veci a Výboru pre rozvoj,</w:t>
      </w:r>
    </w:p>
    <w:p w:rsidR="00F849A8" w:rsidRDefault="00951F16">
      <w:pPr>
        <w:pStyle w:val="NormalHanging12a"/>
      </w:pPr>
      <w:r>
        <w:t>A.</w:t>
      </w:r>
      <w:r>
        <w:tab/>
        <w:t>keďže v článku 21 Zmluvy o EÚ sa uvádza, že „činnosť Únie na medzinárodnej scéne sa spravuje zásadami, ktoré sa uplatnili pri jej založení, rozvoji a rozšírení a ktoré hodlá podporovať vo zvyšku sveta: demokracia, právny štát, univerzálnosť a nedeliteľnosť ľudských práv a základných slobôd, zachovávanie ľudskej dôstojnosti, rovnosť a solidarita a dodržiavanie zásad Charty Organizácie Spojených národov a medzinárodného práva“;</w:t>
      </w:r>
    </w:p>
    <w:p w:rsidR="00F849A8" w:rsidRDefault="00951F16">
      <w:pPr>
        <w:pStyle w:val="NormalHanging12a"/>
      </w:pPr>
      <w:r>
        <w:t>B.</w:t>
      </w:r>
      <w:r>
        <w:tab/>
        <w:t>keďže v článku 2 Euro-stredomorskej dohody medzi EÚ a Tuniskom sa uvádza, že „vzťahy medzi oboma stranami, ako aj všetky ustanovenia samotnej dohody, sa zakladajú na dodržiavaní ľudských práv a demokratických zásad, ktorými sa riadi ich vnútorná a medzinárodná politika a sú základným prvkom dohody“;</w:t>
      </w:r>
    </w:p>
    <w:p w:rsidR="00F849A8" w:rsidRDefault="00951F16">
      <w:pPr>
        <w:pStyle w:val="NormalHanging12a"/>
      </w:pPr>
      <w:r>
        <w:t>C.</w:t>
      </w:r>
      <w:r>
        <w:tab/>
        <w:t xml:space="preserve">keďže v článku 29 nariadenia o NDICI – Globálna Európa sa vylučujú opatrenia, ktoré môžu viesť k porušovaniu ľudských práv v partnerských krajinách; keďže v článku 25 ods. 5 nariadenia sa predpokladá, že Komisia vykoná </w:t>
      </w:r>
      <w:r>
        <w:rPr>
          <w:i/>
          <w:iCs/>
        </w:rPr>
        <w:t xml:space="preserve">ex </w:t>
      </w:r>
      <w:proofErr w:type="spellStart"/>
      <w:r>
        <w:rPr>
          <w:i/>
          <w:iCs/>
        </w:rPr>
        <w:t>ante</w:t>
      </w:r>
      <w:proofErr w:type="spellEnd"/>
      <w:r>
        <w:t xml:space="preserve"> posúdenia vplyvu na ľudské práva primerané cieľom a rozsahu plánovaných činností a opatrení; keďže v článku 3 ods. 4 nariadenia sa uvádza, že „minimálne 93 % výdavkov v rámci nástroja spĺňa kritériá ODA [oficiálnej rozvojovej pomoci], [...] čím prispieva ku kolektívnym záväzkom ODA“;</w:t>
      </w:r>
    </w:p>
    <w:p w:rsidR="00F849A8" w:rsidRDefault="00951F16">
      <w:pPr>
        <w:pStyle w:val="NormalHanging12a"/>
      </w:pPr>
      <w:r>
        <w:t>D.</w:t>
      </w:r>
      <w:r>
        <w:tab/>
        <w:t>keďže v odôvodnení 40 nariadenia o NDICI – Globálna Európa sa uvádza, že „dodržiavanie demokracie, ľudských práv a zásad právneho štátu je nevyhnutné pre správne finančné riadenie a účinné financovanie z prostriedkov Únie, ako sa uvádza v nariadení o rozpočtových pravidlách, pomoc by sa mohla pozastaviť v prípade zhoršenia situácie v oblasti demokracie, ľudských práv alebo právneho štátu v tretích krajinách“;</w:t>
      </w:r>
    </w:p>
    <w:p w:rsidR="00F849A8" w:rsidRDefault="00951F16">
      <w:pPr>
        <w:pStyle w:val="NormalHanging12a"/>
      </w:pPr>
      <w:r>
        <w:t>E.</w:t>
      </w:r>
      <w:r>
        <w:tab/>
        <w:t xml:space="preserve">keďže pod vedením prezidenta </w:t>
      </w:r>
      <w:proofErr w:type="spellStart"/>
      <w:r>
        <w:t>Kaisa</w:t>
      </w:r>
      <w:proofErr w:type="spellEnd"/>
      <w:r>
        <w:t xml:space="preserve"> </w:t>
      </w:r>
      <w:proofErr w:type="spellStart"/>
      <w:r>
        <w:t>Saída</w:t>
      </w:r>
      <w:proofErr w:type="spellEnd"/>
      <w:r>
        <w:t xml:space="preserve"> zažilo Tunisko autoritársky zvrat a </w:t>
      </w:r>
      <w:r>
        <w:lastRenderedPageBreak/>
        <w:t xml:space="preserve">alarmujúci úpadok v oblasti demokracie, ľudských práv a právneho štátu; keďže prezident </w:t>
      </w:r>
      <w:proofErr w:type="spellStart"/>
      <w:r>
        <w:t>Kais</w:t>
      </w:r>
      <w:proofErr w:type="spellEnd"/>
      <w:r>
        <w:t xml:space="preserve"> </w:t>
      </w:r>
      <w:proofErr w:type="spellStart"/>
      <w:r>
        <w:t>Saied</w:t>
      </w:r>
      <w:proofErr w:type="spellEnd"/>
      <w:r>
        <w:t xml:space="preserve"> v minulom roku nechal svojvoľne zatýkať a zadržiavať opozičných politikov, sudcov, pracovníkov médií a aktivistov občianskej spoločnosti;</w:t>
      </w:r>
    </w:p>
    <w:p w:rsidR="00F849A8" w:rsidRDefault="00951F16">
      <w:pPr>
        <w:pStyle w:val="NormalHanging12a"/>
      </w:pPr>
      <w:r>
        <w:t>F.</w:t>
      </w:r>
      <w:r>
        <w:tab/>
        <w:t>keďže Komisia prijala osobitné opatrenie na základe naliehavého písomného postupu;</w:t>
      </w:r>
    </w:p>
    <w:p w:rsidR="00F849A8" w:rsidRDefault="00951F16">
      <w:pPr>
        <w:pStyle w:val="NormalHanging12a"/>
      </w:pPr>
      <w:r>
        <w:t>G.</w:t>
      </w:r>
      <w:r>
        <w:tab/>
        <w:t>keďže pred šiestimi mesiacmi bola v tlačovom vyhlásení Komisie z 11. júna 2023 oznámená rozpočtová podpora Tunisku vo výške 150 miliónov EUR; keďže táto rozpočtová podpora bola oznámená pred podpísaním memoranda o porozumení medzi EÚ a Tuniskom;</w:t>
      </w:r>
    </w:p>
    <w:p w:rsidR="00F849A8" w:rsidRDefault="00951F16">
      <w:pPr>
        <w:pStyle w:val="NormalHanging12a"/>
      </w:pPr>
      <w:r>
        <w:t>H.</w:t>
      </w:r>
      <w:r>
        <w:tab/>
        <w:t>keďže pred prijatím osobitného opatrenia v rámci naliehavého písomného postupu sa neuskutočnil žiadny neformálny kontakt medzi Komisiou a Parlamentom, ako sa uvádza v odseku 12 dohody medzi Európskym parlamentom a Komisiou z 3. júna 2008;</w:t>
      </w:r>
    </w:p>
    <w:p w:rsidR="00F849A8" w:rsidRDefault="00951F16">
      <w:pPr>
        <w:pStyle w:val="NormalHanging12a"/>
      </w:pPr>
      <w:r>
        <w:t>I.</w:t>
      </w:r>
      <w:r>
        <w:tab/>
        <w:t>keďže v článku 27 ods. 4 nariadenia o NDICI – Globálna Európa sa uvádza, že „pri poskytovaní rozpočtovej podpory v súlade s článkom 236 nariadenia o rozpočtových pravidlách Komisia jasne vymedzí a monitoruje kritériá podmienenosti rozpočtovej podpory vrátane pokroku v reformách a transparentnosti a podporuje rozvoj kapacít parlamentnej kontroly, vnútroštátneho auditu a zvýšenej transparentnosti a prístupu verejnosti k informáciám“;</w:t>
      </w:r>
    </w:p>
    <w:p w:rsidR="00F849A8" w:rsidRDefault="00951F16">
      <w:pPr>
        <w:pStyle w:val="NormalHanging12a"/>
      </w:pPr>
      <w:r>
        <w:t>J.</w:t>
      </w:r>
      <w:r>
        <w:tab/>
        <w:t>keďže v článku 218 ZFEÚ sa stanovuje postup, ktorý sa má používať pri rokovaniach a uzatváraní dohôd medzi EÚ a tretími krajinami; keďže tento postup poskytuje primerané procesné záruky, ako aj parlamentnú a súdnu kontrolu, čím sa zvyšuje zodpovednosť a demokratická legitimita;</w:t>
      </w:r>
    </w:p>
    <w:p w:rsidR="00F849A8" w:rsidRDefault="00951F16">
      <w:pPr>
        <w:pStyle w:val="NormalHanging12a"/>
      </w:pPr>
      <w:r>
        <w:t>K.</w:t>
      </w:r>
      <w:r>
        <w:tab/>
        <w:t>keďže 13. septembra 2023 bol delegácii Výboru pre zahraničné veci odopretý vstup do Tuniska, čo obmedzilo schopnosť Európskeho parlamentu vykonávať kontrolné právomoci;</w:t>
      </w:r>
    </w:p>
    <w:p w:rsidR="00F849A8" w:rsidRDefault="00951F16">
      <w:pPr>
        <w:pStyle w:val="NormalHanging12a"/>
      </w:pPr>
      <w:r>
        <w:t>L.</w:t>
      </w:r>
      <w:r>
        <w:tab/>
        <w:t>keďže 26. septembra 2023 tuniské orgány jednostranne odložili návštevu Komisie len niekoľko dní pred tým, ako sa mala uskutočniť;</w:t>
      </w:r>
    </w:p>
    <w:p w:rsidR="00F849A8" w:rsidRDefault="00951F16">
      <w:pPr>
        <w:pStyle w:val="NormalHanging12a"/>
      </w:pPr>
      <w:r>
        <w:t>M.</w:t>
      </w:r>
      <w:r>
        <w:tab/>
        <w:t>keďže v októbri 2023 tuniský prezident odmietol a vrátil 60 miliónov EUR z rozpočtovej podpory EÚ;</w:t>
      </w:r>
    </w:p>
    <w:p w:rsidR="00F849A8" w:rsidRDefault="00951F16">
      <w:pPr>
        <w:pStyle w:val="NormalHanging12a"/>
      </w:pPr>
      <w:r>
        <w:t>N.</w:t>
      </w:r>
      <w:r>
        <w:tab/>
        <w:t>keďže na zabezpečenie makroekonomickej stability, právneho štátu a ľudských práv v krajine je v zásadnom záujme EÚ pokračovať v spolupráci s Tuniskom;</w:t>
      </w:r>
    </w:p>
    <w:p w:rsidR="00F849A8" w:rsidRDefault="00951F16">
      <w:pPr>
        <w:pStyle w:val="NormalHanging12a"/>
      </w:pPr>
      <w:r>
        <w:t>1.</w:t>
      </w:r>
      <w:r>
        <w:tab/>
        <w:t xml:space="preserve">spochybňuje potrebu naliehavého písomného postupu pre osobitné opatrenie v prospech Tuniska, keďže Komisia pôvodne oznámila rozpočtovú podporu vo výške 150 miliónov EUR už 11. júna 2023, pričom ostal dostatok času na bežný postup; domnieva sa, že čas začatia tohto naliehavého písomného postupu poukazuje na nedostatočný rešpekt voči parlamentnej kontrole a </w:t>
      </w:r>
      <w:proofErr w:type="spellStart"/>
      <w:r>
        <w:t>komitologickému</w:t>
      </w:r>
      <w:proofErr w:type="spellEnd"/>
      <w:r>
        <w:t xml:space="preserve"> postupu;</w:t>
      </w:r>
    </w:p>
    <w:p w:rsidR="00F849A8" w:rsidRDefault="00951F16">
      <w:pPr>
        <w:pStyle w:val="NormalHanging12a"/>
      </w:pPr>
      <w:r>
        <w:t>2.</w:t>
      </w:r>
      <w:r>
        <w:tab/>
        <w:t>vyzýva Komisiu, aby v kontexte ďalšieho blížiaceho sa geopolitického dialógu na vysokej úrovni poskytla podrobné vysvetlenie na základe faktov, prečo sa pred prijatím osobitného opatrenia naliehavým písomným postupom neuskutočnil žiadny neformálny kontakt medzi Komisiou a Parlamentom, ako sa uvádza v odseku 12 dohody medzi Parlamentom a Komisiou z 3. júna 2008; očakáva preto, že počas budúceho geopolitického dialógu na vysokej úrovni bude Tunisko vybrané ako prioritná krajina;</w:t>
      </w:r>
    </w:p>
    <w:p w:rsidR="00F849A8" w:rsidRDefault="00951F16">
      <w:pPr>
        <w:pStyle w:val="NormalHanging12a"/>
      </w:pPr>
      <w:r>
        <w:lastRenderedPageBreak/>
        <w:t>3.</w:t>
      </w:r>
      <w:r>
        <w:tab/>
        <w:t>domnieva sa, že politický záväzok v memorande o porozumení vyplatiť „v plnej výške“ rozpočtovú podporu na rok 2023 netvorí právny základ pre prijatie tohto opatrenia ani ako osobitného opatrenia podľa článku 23 ods. 4 nariadenia o NDICI – Globálna Európa, ani naliehavým písomným postupom;</w:t>
      </w:r>
    </w:p>
    <w:p w:rsidR="00F849A8" w:rsidRDefault="00951F16">
      <w:pPr>
        <w:pStyle w:val="NormalHanging12a"/>
      </w:pPr>
      <w:r>
        <w:t>4.</w:t>
      </w:r>
      <w:r>
        <w:tab/>
        <w:t>vyjadruje poľutovanie nad tým, že Komisia aktívne nesprístupnila Parlamentu príslušnú dohodu s Tuniskom o financovaní, v ktorej sa stanovujú osobitné podmienky a požiadavky v súlade s článkom 112 ods. 4 a článkom 236 nariadenia o rozpočtových pravidlách;</w:t>
      </w:r>
    </w:p>
    <w:p w:rsidR="00F849A8" w:rsidRDefault="00951F16">
      <w:pPr>
        <w:pStyle w:val="NormalHanging12a"/>
      </w:pPr>
      <w:r>
        <w:t>5.</w:t>
      </w:r>
      <w:r>
        <w:tab/>
        <w:t>požaduje podrobné vysvetlenie toho, ako pojmy, ako je „uspokojivý pokrok“, použité v oddiele 4.3.2 akčného dokumentu Komisie k osobitnému opatreniu, v ktorom sa podrobne opisujú kritériá vyplácania rozpočtovej podpory, predstavujú „jasne vymedzené kritériá podmienenosti rozpočtovej podpory“, ako sa stanovuje v článku 27 ods. 4 nariadenia o NDICI – Globálna Európa;</w:t>
      </w:r>
    </w:p>
    <w:p w:rsidR="00F849A8" w:rsidRDefault="00951F16">
      <w:pPr>
        <w:pStyle w:val="NormalHanging12a"/>
      </w:pPr>
      <w:r>
        <w:t>6.</w:t>
      </w:r>
      <w:r>
        <w:tab/>
        <w:t>vyjadruje pochybnosti o dodržiavaní základných zásad vonkajšej činnosti týkajúcich sa demokracie, ľudských práv a právneho štátu, ako sa uvádza v článku 21 Zmluvy o EÚ, rôznych ustanoveniach nariadenia o NDICI – Globálna Európa a článku 2 Euro-stredomorskej dohody medzi EÚ a Tuniskom, pokiaľ ide o toto osobitné opatrenie, vzhľadom na výrazné zhoršenie základných práv, ku ktorému už došlo v Tunisku od júla 2021, ako aj vzhľadom na skutočnosť, že výrazné zhoršenie základných hodnôt by mohlo viesť EÚ k pozastaveniu, zníženiu alebo zrušeniu rozpočtovej podpory pre partnerské krajiny;</w:t>
      </w:r>
    </w:p>
    <w:p w:rsidR="00F849A8" w:rsidRDefault="00951F16">
      <w:pPr>
        <w:pStyle w:val="NormalHanging12a"/>
      </w:pPr>
      <w:r>
        <w:t>7.</w:t>
      </w:r>
      <w:r>
        <w:tab/>
        <w:t>vyzýva preto Komisiu, aby urýchlene a do konca volebného obdobia poskytla ďalšie písomné podrobnosti o tom, ako a kedy posúdi, či boli alebo budú splnené podmienky vyplácania rozpočtovej podpory uvedené v oddiele 4.3.2 a podľa akých objektívnych kritérií sa pri plnení všeobecných podmienok uvedených v oddiele 4.3.2 určí, že sa dosiahol „uspokojivý pokrok“;</w:t>
      </w:r>
    </w:p>
    <w:p w:rsidR="00F849A8" w:rsidRDefault="00951F16">
      <w:pPr>
        <w:pStyle w:val="NormalHanging12a"/>
      </w:pPr>
      <w:r>
        <w:t>8.</w:t>
      </w:r>
      <w:r>
        <w:tab/>
        <w:t>žiada Komisiu, aby písomne objasnila, ako podľa jej názoru Tunisko v súčasnosti spĺňa požiadavku uvedenú v oddiele 4.3.2 písm. b) akčného dokumentu o osobitnom opatrení týkajúcom sa základných hodnôt;</w:t>
      </w:r>
    </w:p>
    <w:p w:rsidR="00F849A8" w:rsidRDefault="00951F16">
      <w:pPr>
        <w:pStyle w:val="NormalHanging12a"/>
      </w:pPr>
      <w:r>
        <w:t>9.</w:t>
      </w:r>
      <w:r>
        <w:tab/>
        <w:t xml:space="preserve">vyzýva Komisiu, aby objasnila, prečo sa rozhodla vyplatiť 150 miliónov EUR v jednej </w:t>
      </w:r>
      <w:proofErr w:type="spellStart"/>
      <w:r>
        <w:t>tranži</w:t>
      </w:r>
      <w:proofErr w:type="spellEnd"/>
      <w:r>
        <w:t xml:space="preserve"> namiesto postupného vyplácania na základe dosiahnutých konkrétnych čiastkových cieľov alebo krokov, ako sa stanovuje v článku 236 ods. 2 nariadenia o rozpočtových pravidlách, alebo pozastavenia ďalších platieb, ak by sa zistilo zjavné narušenie základných hodnôt;</w:t>
      </w:r>
    </w:p>
    <w:p w:rsidR="00F849A8" w:rsidRDefault="00951F16">
      <w:pPr>
        <w:pStyle w:val="NormalHanging12a"/>
      </w:pPr>
      <w:r>
        <w:t>10.</w:t>
      </w:r>
      <w:r>
        <w:tab/>
        <w:t>vyzýva Komisiu, aby vysvetlila, ako osobitné opatrenie prispeje k zlepšeniu podnikateľského a investičného prostredia vzhľadom na zhoršenie právneho štátu v Tunisku od júla 2021, ktoré je prekážkou hospodárskeho rozvoja;</w:t>
      </w:r>
    </w:p>
    <w:p w:rsidR="00F849A8" w:rsidRDefault="00951F16">
      <w:pPr>
        <w:pStyle w:val="NormalHanging12a"/>
      </w:pPr>
      <w:r>
        <w:t>11.</w:t>
      </w:r>
      <w:r>
        <w:tab/>
        <w:t>vyzýva Komisiu, aby objasnila dôvody, prečo tuniské orgány v októbri 2023 odmietli rozpočtovú podporu vo výške 60 miliónov EUR vyplatenú v rámci nástroja COVID-19, a z akých dôvodov sa Komisia domnieva, že tuniské orgány sú ochotné akceptovať rozpočtovú podporu stanovenú v tomto osobitnom opatrení;</w:t>
      </w:r>
    </w:p>
    <w:p w:rsidR="00F849A8" w:rsidRDefault="00951F16">
      <w:pPr>
        <w:pStyle w:val="NormalHanging12a"/>
      </w:pPr>
      <w:r>
        <w:t>12.</w:t>
      </w:r>
      <w:r>
        <w:tab/>
        <w:t xml:space="preserve">vyzýva Komisiu, aby vysvetlila, aké záruky dostala od tuniských orgánov od septembra </w:t>
      </w:r>
      <w:r>
        <w:lastRenderedPageBreak/>
        <w:t>2023, že Európsky parlament bude môcť navštíviť miesta projektov financovaných EÚ v Tunisku, a teda vykonávať svoje právo dohľadu a kontroly v súlade s článkom 14 Zmluvy o Európskej únii;</w:t>
      </w:r>
    </w:p>
    <w:p w:rsidR="00F849A8" w:rsidRDefault="00951F16">
      <w:pPr>
        <w:pStyle w:val="NormalHanging12a"/>
      </w:pPr>
      <w:r>
        <w:t>13.</w:t>
      </w:r>
      <w:r>
        <w:tab/>
        <w:t>žiada Komisiu, aby objasnila situáciu poskytnutím relevantnej a vyčerpávajúcej odpovede na otázku Európskeho parlamentu na ústne zodpovedanie a na toto sprievodné uznesenie;</w:t>
      </w:r>
    </w:p>
    <w:p w:rsidR="00F849A8" w:rsidRDefault="00951F16">
      <w:pPr>
        <w:pStyle w:val="NormalHanging12a"/>
      </w:pPr>
      <w:r>
        <w:t>14.</w:t>
      </w:r>
      <w:r>
        <w:tab/>
        <w:t>poveruje svoju predsedníčku, aby postúpila toto uznesenie Komisii, podpredsedovi Komisie/vysokému predstaviteľovi Únie pre zahraničné veci a bezpečnostnú politiku a Rade.</w:t>
      </w:r>
    </w:p>
    <w:p w:rsidR="00F849A8" w:rsidRDefault="00F849A8"/>
    <w:p w:rsidR="00F849A8" w:rsidRDefault="00F849A8">
      <w:bookmarkStart w:id="8" w:name="TextBodyEnd"/>
      <w:bookmarkEnd w:id="8"/>
    </w:p>
    <w:sectPr w:rsidR="00F849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9A8" w:rsidRDefault="00951F16">
      <w:r>
        <w:separator/>
      </w:r>
    </w:p>
  </w:endnote>
  <w:endnote w:type="continuationSeparator" w:id="0">
    <w:p w:rsidR="00F849A8" w:rsidRDefault="0095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A8" w:rsidRDefault="00F849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A8" w:rsidRDefault="00F849A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A8" w:rsidRDefault="00F849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9A8" w:rsidRDefault="00951F16">
      <w:r>
        <w:separator/>
      </w:r>
    </w:p>
  </w:footnote>
  <w:footnote w:type="continuationSeparator" w:id="0">
    <w:p w:rsidR="00F849A8" w:rsidRDefault="00951F16">
      <w:r>
        <w:continuationSeparator/>
      </w:r>
    </w:p>
  </w:footnote>
  <w:footnote w:id="1">
    <w:p w:rsidR="00F849A8" w:rsidRDefault="00951F16">
      <w:pPr>
        <w:pStyle w:val="FootnoteText"/>
        <w:ind w:left="567" w:hanging="567"/>
        <w:rPr>
          <w:b/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209, 14.6.2021, s. 1.</w:t>
      </w:r>
    </w:p>
  </w:footnote>
  <w:footnote w:id="2">
    <w:p w:rsidR="00F849A8" w:rsidRDefault="00951F1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143, 10.6.2008, s. 1.</w:t>
      </w:r>
    </w:p>
  </w:footnote>
  <w:footnote w:id="3">
    <w:p w:rsidR="00F849A8" w:rsidRDefault="00951F1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L 193, 30.7.2018, s. 1.</w:t>
      </w:r>
    </w:p>
  </w:footnote>
  <w:footnote w:id="4">
    <w:p w:rsidR="00F849A8" w:rsidRDefault="00951F1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97, 30.3.1998, s. 2.</w:t>
      </w:r>
    </w:p>
  </w:footnote>
  <w:footnote w:id="5">
    <w:p w:rsidR="00F849A8" w:rsidRDefault="00951F16" w:rsidP="00B209D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B209D4">
        <w:rPr>
          <w:sz w:val="24"/>
          <w:lang w:val="sk-SK"/>
        </w:rPr>
        <w:t xml:space="preserve">Ú. v. EÚ C, </w:t>
      </w:r>
      <w:r w:rsidR="00B209D4">
        <w:rPr>
          <w:sz w:val="24"/>
          <w:lang w:val="sk-SK"/>
        </w:rPr>
        <w:t>C/2023/407</w:t>
      </w:r>
      <w:bookmarkStart w:id="7" w:name="_GoBack"/>
      <w:bookmarkEnd w:id="7"/>
      <w:r>
        <w:rPr>
          <w:sz w:val="24"/>
          <w:lang w:val="sk-SK"/>
        </w:rPr>
        <w:t>, 23.11.2023, ELI: http://data.europa.eu/eli/C/2023/407/oj.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A8" w:rsidRDefault="00F849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A8" w:rsidRDefault="00F849A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9A8" w:rsidRDefault="00F849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3/2024"/>
    <w:docVar w:name="dvlangue" w:val="SK"/>
    <w:docVar w:name="dvnumam" w:val="0"/>
    <w:docVar w:name="dvpe" w:val="759.058"/>
    <w:docVar w:name="dvtitre" w:val="Uznesenie Európskeho parlamentu zo 14. marca 2024 o prijatí osobitného opatrenia v prospech Tuniska na rok 2023(2024/2573(RSP))"/>
  </w:docVars>
  <w:rsids>
    <w:rsidRoot w:val="00F849A8"/>
    <w:rsid w:val="00951F16"/>
    <w:rsid w:val="00B209D4"/>
    <w:rsid w:val="00F8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7892B"/>
  <w15:chartTrackingRefBased/>
  <w15:docId w15:val="{C7721D46-9CBB-4C19-9630-1156B0A0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B8E79-9BBD-4420-B71F-ACFAB88BF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1600</Words>
  <Characters>9479</Characters>
  <Application>Microsoft Office Word</Application>
  <DocSecurity>4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GOROPECNIK Tina</cp:lastModifiedBy>
  <cp:revision>2</cp:revision>
  <cp:lastPrinted>2004-11-19T15:42:00Z</cp:lastPrinted>
  <dcterms:created xsi:type="dcterms:W3CDTF">2024-09-09T13:32:00Z</dcterms:created>
  <dcterms:modified xsi:type="dcterms:W3CDTF">2024-09-09T13:32:00Z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B9-0173/2024</vt:lpwstr>
  </property>
  <property fmtid="{D5CDD505-2E9C-101B-9397-08002B2CF9AE}" pid="4" name="&lt;Type&gt;">
    <vt:lpwstr>RR</vt:lpwstr>
  </property>
</Properties>
</file>