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D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4D98" w:rsidRDefault="00876906" w:rsidP="0010095E">
            <w:pPr>
              <w:pStyle w:val="EPName"/>
            </w:pPr>
            <w:r w:rsidRPr="00BA4D98">
              <w:t>Parlement européen</w:t>
            </w:r>
          </w:p>
          <w:p w:rsidR="00751A4A" w:rsidRPr="00BA4D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79E0">
              <w:t>2019</w:t>
            </w:r>
            <w:r w:rsidRPr="00BA4D98">
              <w:t>-</w:t>
            </w:r>
            <w:r w:rsidRPr="002579E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A4D98" w:rsidRDefault="00187494" w:rsidP="0010095E">
            <w:pPr>
              <w:pStyle w:val="EPLogo"/>
            </w:pPr>
            <w:r w:rsidRPr="00BA4D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4D98" w:rsidRDefault="00D058B8" w:rsidP="004C5D52">
      <w:pPr>
        <w:pStyle w:val="LineTop"/>
      </w:pPr>
    </w:p>
    <w:p w:rsidR="00680577" w:rsidRPr="00BA4D98" w:rsidRDefault="00876906" w:rsidP="00680577">
      <w:pPr>
        <w:pStyle w:val="EPBodyTA1"/>
      </w:pPr>
      <w:r w:rsidRPr="00BA4D98">
        <w:t>TEXTES ADOPTÉS</w:t>
      </w:r>
    </w:p>
    <w:p w:rsidR="00D058B8" w:rsidRPr="00BA4D98" w:rsidRDefault="00D058B8" w:rsidP="00D058B8">
      <w:pPr>
        <w:pStyle w:val="LineBottom"/>
      </w:pPr>
    </w:p>
    <w:p w:rsidR="00876906" w:rsidRPr="00BA4D98" w:rsidRDefault="00876906" w:rsidP="00876906">
      <w:pPr>
        <w:pStyle w:val="ATHeading1"/>
      </w:pPr>
      <w:bookmarkStart w:id="0" w:name="TANumber"/>
      <w:r w:rsidRPr="00BA4D98">
        <w:t>P</w:t>
      </w:r>
      <w:r w:rsidRPr="002579E0">
        <w:t>9</w:t>
      </w:r>
      <w:r w:rsidRPr="00BA4D98">
        <w:t>_</w:t>
      </w:r>
      <w:proofErr w:type="gramStart"/>
      <w:r w:rsidRPr="00BA4D98">
        <w:t>TA(</w:t>
      </w:r>
      <w:proofErr w:type="gramEnd"/>
      <w:r w:rsidRPr="002579E0">
        <w:t>2024</w:t>
      </w:r>
      <w:r w:rsidRPr="00BA4D98">
        <w:t>)</w:t>
      </w:r>
      <w:r w:rsidRPr="002579E0">
        <w:t>0</w:t>
      </w:r>
      <w:r w:rsidR="003A1087" w:rsidRPr="002579E0">
        <w:t>179</w:t>
      </w:r>
      <w:bookmarkEnd w:id="0"/>
    </w:p>
    <w:p w:rsidR="00876906" w:rsidRPr="00BA4D98" w:rsidRDefault="008C3EAF" w:rsidP="00876906">
      <w:pPr>
        <w:pStyle w:val="ATHeading2"/>
      </w:pPr>
      <w:r w:rsidRPr="008C3EAF">
        <w:t>Gestion de l'asile et de la migration</w:t>
      </w:r>
    </w:p>
    <w:p w:rsidR="00876906" w:rsidRPr="00BA4D98" w:rsidRDefault="00876906" w:rsidP="00876906">
      <w:pPr>
        <w:rPr>
          <w:i/>
          <w:vanish/>
        </w:rPr>
      </w:pPr>
      <w:r w:rsidRPr="00BA4D98">
        <w:rPr>
          <w:i/>
        </w:rPr>
        <w:fldChar w:fldCharType="begin"/>
      </w:r>
      <w:r w:rsidRPr="00BA4D98">
        <w:rPr>
          <w:i/>
        </w:rPr>
        <w:instrText xml:space="preserve"> TC"(</w:instrText>
      </w:r>
      <w:bookmarkStart w:id="1" w:name="DocNumber"/>
      <w:r w:rsidRPr="00BA4D98">
        <w:rPr>
          <w:i/>
        </w:rPr>
        <w:instrText>A</w:instrText>
      </w:r>
      <w:r w:rsidRPr="002579E0">
        <w:rPr>
          <w:i/>
        </w:rPr>
        <w:instrText>9</w:instrText>
      </w:r>
      <w:r w:rsidRPr="00BA4D98">
        <w:rPr>
          <w:i/>
        </w:rPr>
        <w:instrText>-</w:instrText>
      </w:r>
      <w:r w:rsidRPr="002579E0">
        <w:rPr>
          <w:i/>
        </w:rPr>
        <w:instrText>0152</w:instrText>
      </w:r>
      <w:r w:rsidRPr="00BA4D98">
        <w:rPr>
          <w:i/>
        </w:rPr>
        <w:instrText>/</w:instrText>
      </w:r>
      <w:r w:rsidRPr="002579E0">
        <w:rPr>
          <w:i/>
        </w:rPr>
        <w:instrText>2023</w:instrText>
      </w:r>
      <w:bookmarkEnd w:id="1"/>
      <w:r w:rsidRPr="00BA4D98">
        <w:rPr>
          <w:i/>
        </w:rPr>
        <w:instrText xml:space="preserve"> - Rapporteur: Tomas Tobé)"\l</w:instrText>
      </w:r>
      <w:r w:rsidRPr="002579E0">
        <w:rPr>
          <w:i/>
        </w:rPr>
        <w:instrText>3</w:instrText>
      </w:r>
      <w:r w:rsidRPr="00BA4D98">
        <w:rPr>
          <w:i/>
        </w:rPr>
        <w:instrText xml:space="preserve"> \n&gt; \* MERGEFORMAT </w:instrText>
      </w:r>
      <w:r w:rsidRPr="00BA4D98">
        <w:rPr>
          <w:i/>
        </w:rPr>
        <w:fldChar w:fldCharType="end"/>
      </w:r>
    </w:p>
    <w:p w:rsidR="00876906" w:rsidRPr="00BA4D98" w:rsidRDefault="00876906" w:rsidP="00876906">
      <w:pPr>
        <w:rPr>
          <w:vanish/>
        </w:rPr>
      </w:pPr>
      <w:bookmarkStart w:id="2" w:name="Commission"/>
      <w:r w:rsidRPr="00BA4D98">
        <w:rPr>
          <w:vanish/>
        </w:rPr>
        <w:t>Commission des libertés civiles, de la justice et des affaires intérieures</w:t>
      </w:r>
      <w:bookmarkEnd w:id="2"/>
    </w:p>
    <w:p w:rsidR="00876906" w:rsidRPr="00BA4D98" w:rsidRDefault="00876906" w:rsidP="00876906">
      <w:pPr>
        <w:rPr>
          <w:vanish/>
        </w:rPr>
      </w:pPr>
      <w:bookmarkStart w:id="3" w:name="PE"/>
      <w:r w:rsidRPr="00BA4D98">
        <w:rPr>
          <w:vanish/>
        </w:rPr>
        <w:t>PE</w:t>
      </w:r>
      <w:r w:rsidRPr="002579E0">
        <w:rPr>
          <w:vanish/>
        </w:rPr>
        <w:t>698</w:t>
      </w:r>
      <w:r w:rsidRPr="00BA4D98">
        <w:rPr>
          <w:vanish/>
        </w:rPr>
        <w:t>.</w:t>
      </w:r>
      <w:r w:rsidRPr="002579E0">
        <w:rPr>
          <w:vanish/>
        </w:rPr>
        <w:t>950</w:t>
      </w:r>
      <w:bookmarkEnd w:id="3"/>
    </w:p>
    <w:p w:rsidR="00876906" w:rsidRPr="00BA4D98" w:rsidRDefault="00876906" w:rsidP="00876906">
      <w:pPr>
        <w:pStyle w:val="ATHeading3"/>
      </w:pPr>
      <w:bookmarkStart w:id="4" w:name="Sujet"/>
      <w:r w:rsidRPr="00BA4D98">
        <w:t xml:space="preserve">Résolution législative du Parlement européen du </w:t>
      </w:r>
      <w:r w:rsidR="00E02C4F" w:rsidRPr="002579E0">
        <w:t>10</w:t>
      </w:r>
      <w:r w:rsidR="00E02C4F">
        <w:t xml:space="preserve"> avril</w:t>
      </w:r>
      <w:r w:rsidRPr="00BA4D98">
        <w:t xml:space="preserve"> </w:t>
      </w:r>
      <w:r w:rsidRPr="002579E0">
        <w:t>2024</w:t>
      </w:r>
      <w:r w:rsidRPr="00BA4D98">
        <w:t xml:space="preserve"> sur la proposition de règlement du Parlement européen et du Conseil relatif à la gestion de l’asile et de la migration et modifiant la directive </w:t>
      </w:r>
      <w:r w:rsidRPr="002579E0">
        <w:t>2003</w:t>
      </w:r>
      <w:r w:rsidRPr="00BA4D98">
        <w:t>/</w:t>
      </w:r>
      <w:r w:rsidRPr="002579E0">
        <w:t>109</w:t>
      </w:r>
      <w:r w:rsidRPr="00BA4D98">
        <w:t>/CE du Conseil et la proposition de règlement (UE) XXX/XXX [établissant le Fonds</w:t>
      </w:r>
      <w:proofErr w:type="gramStart"/>
      <w:r w:rsidRPr="00BA4D98">
        <w:t xml:space="preserve"> «Asile</w:t>
      </w:r>
      <w:proofErr w:type="gramEnd"/>
      <w:r w:rsidRPr="00BA4D98">
        <w:t xml:space="preserve"> et migration»]</w:t>
      </w:r>
      <w:bookmarkEnd w:id="4"/>
      <w:r w:rsidRPr="00BA4D98">
        <w:t xml:space="preserve"> </w:t>
      </w:r>
      <w:bookmarkStart w:id="5" w:name="References"/>
      <w:r w:rsidRPr="00BA4D98">
        <w:t>(COM(</w:t>
      </w:r>
      <w:r w:rsidRPr="002579E0">
        <w:t>2020</w:t>
      </w:r>
      <w:r w:rsidRPr="00BA4D98">
        <w:t>)</w:t>
      </w:r>
      <w:r w:rsidRPr="002579E0">
        <w:t>0610</w:t>
      </w:r>
      <w:r w:rsidRPr="00BA4D98">
        <w:t xml:space="preserve"> – C</w:t>
      </w:r>
      <w:r w:rsidRPr="002579E0">
        <w:t>9</w:t>
      </w:r>
      <w:r w:rsidRPr="00BA4D98">
        <w:t>-</w:t>
      </w:r>
      <w:r w:rsidRPr="002579E0">
        <w:t>0309</w:t>
      </w:r>
      <w:r w:rsidRPr="00BA4D98">
        <w:t>/</w:t>
      </w:r>
      <w:r w:rsidRPr="002579E0">
        <w:t>2020</w:t>
      </w:r>
      <w:r w:rsidRPr="00BA4D98">
        <w:t xml:space="preserve"> – </w:t>
      </w:r>
      <w:r w:rsidRPr="002579E0">
        <w:t>2020</w:t>
      </w:r>
      <w:r w:rsidRPr="00BA4D98">
        <w:t>/</w:t>
      </w:r>
      <w:r w:rsidRPr="002579E0">
        <w:t>0279</w:t>
      </w:r>
      <w:r w:rsidRPr="00BA4D98">
        <w:t>(COD))</w:t>
      </w:r>
      <w:bookmarkEnd w:id="5"/>
    </w:p>
    <w:p w:rsidR="00B3292D" w:rsidRPr="00BA4D98" w:rsidRDefault="00B3292D" w:rsidP="00B3292D">
      <w:pPr>
        <w:pStyle w:val="NormalBold"/>
      </w:pPr>
      <w:bookmarkStart w:id="6" w:name="TextBodyBegin"/>
      <w:bookmarkEnd w:id="6"/>
      <w:r w:rsidRPr="00BA4D98">
        <w:t>(Procédure législative ordinaire: première lecture)</w:t>
      </w:r>
    </w:p>
    <w:p w:rsidR="00B3292D" w:rsidRPr="00BA4D98" w:rsidRDefault="00B3292D" w:rsidP="00B3292D">
      <w:pPr>
        <w:pStyle w:val="EPComma"/>
      </w:pPr>
      <w:r w:rsidRPr="00BA4D98">
        <w:rPr>
          <w:i/>
        </w:rPr>
        <w:t>Le Parlement européen</w:t>
      </w:r>
      <w:r w:rsidRPr="00BA4D98">
        <w:t>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>vu la proposition de la Commission au Parlement européen et au Conseil (</w:t>
      </w:r>
      <w:proofErr w:type="gramStart"/>
      <w:r w:rsidRPr="00BA4D98">
        <w:t>COM(</w:t>
      </w:r>
      <w:proofErr w:type="gramEnd"/>
      <w:r w:rsidRPr="002579E0">
        <w:t>2020</w:t>
      </w:r>
      <w:r w:rsidRPr="00BA4D98">
        <w:t>)</w:t>
      </w:r>
      <w:r w:rsidRPr="002579E0">
        <w:t>0610</w:t>
      </w:r>
      <w:r w:rsidRPr="00BA4D98">
        <w:t>),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 xml:space="preserve">vu l’article </w:t>
      </w:r>
      <w:r w:rsidRPr="002579E0">
        <w:t>294</w:t>
      </w:r>
      <w:r w:rsidRPr="00BA4D98">
        <w:t xml:space="preserve">, paragraphe </w:t>
      </w:r>
      <w:r w:rsidRPr="002579E0">
        <w:t>2</w:t>
      </w:r>
      <w:r w:rsidRPr="00BA4D98">
        <w:t xml:space="preserve">, l’article </w:t>
      </w:r>
      <w:r w:rsidRPr="002579E0">
        <w:t>78</w:t>
      </w:r>
      <w:r w:rsidRPr="00BA4D98">
        <w:t xml:space="preserve">, paragraphe </w:t>
      </w:r>
      <w:r w:rsidRPr="002579E0">
        <w:t>2</w:t>
      </w:r>
      <w:r w:rsidRPr="00BA4D98">
        <w:t xml:space="preserve">, point e), et l’article </w:t>
      </w:r>
      <w:r w:rsidRPr="002579E0">
        <w:t>79</w:t>
      </w:r>
      <w:r w:rsidRPr="00BA4D98">
        <w:t xml:space="preserve">, paragraphe </w:t>
      </w:r>
      <w:r w:rsidRPr="002579E0">
        <w:t>2</w:t>
      </w:r>
      <w:r w:rsidRPr="00BA4D98">
        <w:t xml:space="preserve">, </w:t>
      </w:r>
      <w:proofErr w:type="gramStart"/>
      <w:r w:rsidRPr="00BA4D98">
        <w:t>points a</w:t>
      </w:r>
      <w:proofErr w:type="gramEnd"/>
      <w:r w:rsidRPr="00BA4D98">
        <w:t>), b) et c), du traité sur le fonctionnement de l’Union européenne, conformément auxquels la proposition lui a été présentée par la Commission (C</w:t>
      </w:r>
      <w:r w:rsidRPr="002579E0">
        <w:t>9</w:t>
      </w:r>
      <w:r w:rsidRPr="00BA4D98">
        <w:noBreakHyphen/>
      </w:r>
      <w:r w:rsidRPr="002579E0">
        <w:t>0309</w:t>
      </w:r>
      <w:r w:rsidRPr="00BA4D98">
        <w:t>/</w:t>
      </w:r>
      <w:r w:rsidRPr="002579E0">
        <w:t>2020</w:t>
      </w:r>
      <w:r w:rsidRPr="00BA4D98">
        <w:t>),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>vu l’avis de la commission des affaires juridiques sur la base juridique proposée,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>vu l’article </w:t>
      </w:r>
      <w:r w:rsidRPr="002579E0">
        <w:t>294</w:t>
      </w:r>
      <w:r w:rsidRPr="00BA4D98">
        <w:t>, paragraphe </w:t>
      </w:r>
      <w:r w:rsidRPr="002579E0">
        <w:t>3</w:t>
      </w:r>
      <w:r w:rsidRPr="00BA4D98">
        <w:t>, du traité sur le fonctionnement de l’Union européenne,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>vu les avis motivés soumis par le Sénat italien, le Parlement hongrois et le Parlement slovaque dans le cadre du protocole nº </w:t>
      </w:r>
      <w:r w:rsidRPr="002579E0">
        <w:t>2</w:t>
      </w:r>
      <w:r w:rsidRPr="00BA4D98">
        <w:t xml:space="preserve"> sur l’application des principes de subsidiarité et </w:t>
      </w:r>
      <w:proofErr w:type="gramStart"/>
      <w:r w:rsidRPr="00BA4D98">
        <w:t>de</w:t>
      </w:r>
      <w:proofErr w:type="gramEnd"/>
      <w:r w:rsidRPr="00BA4D98">
        <w:t xml:space="preserve"> proportionnalité, déclarant que le projet d’acte législatif n’est pas conforme au principe de subsidiarité,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 xml:space="preserve">vu l’avis du Comité économique et social européen du </w:t>
      </w:r>
      <w:r w:rsidRPr="002579E0">
        <w:t>25</w:t>
      </w:r>
      <w:r w:rsidRPr="00BA4D98">
        <w:t> février </w:t>
      </w:r>
      <w:r w:rsidRPr="002579E0">
        <w:t>2021</w:t>
      </w:r>
      <w:r w:rsidRPr="00BA4D98">
        <w:rPr>
          <w:rStyle w:val="FootnoteReference"/>
        </w:rPr>
        <w:footnoteReference w:id="1"/>
      </w:r>
      <w:r w:rsidRPr="00BA4D98">
        <w:t>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 xml:space="preserve">vu l’avis du Comité des régions du </w:t>
      </w:r>
      <w:r w:rsidRPr="002579E0">
        <w:t>19</w:t>
      </w:r>
      <w:r w:rsidRPr="00BA4D98">
        <w:t> mars </w:t>
      </w:r>
      <w:r w:rsidRPr="002579E0">
        <w:t>2021</w:t>
      </w:r>
      <w:r w:rsidRPr="00BA4D98">
        <w:rPr>
          <w:rStyle w:val="FootnoteReference"/>
        </w:rPr>
        <w:footnoteReference w:id="2"/>
      </w:r>
      <w:r w:rsidRPr="00BA4D98">
        <w:t>,</w:t>
      </w:r>
    </w:p>
    <w:p w:rsidR="008C3EAF" w:rsidRDefault="008C3EAF" w:rsidP="00B3292D">
      <w:pPr>
        <w:pStyle w:val="NormalHanging12a"/>
      </w:pPr>
      <w:r w:rsidRPr="008C3EAF">
        <w:t>–</w:t>
      </w:r>
      <w:r w:rsidRPr="008C3EAF">
        <w:tab/>
        <w:t xml:space="preserve">vu l’accord provisoire approuvé en vertu de l’article </w:t>
      </w:r>
      <w:r w:rsidRPr="002579E0">
        <w:t>74</w:t>
      </w:r>
      <w:r w:rsidRPr="008C3EAF">
        <w:t xml:space="preserve">, paragraphe </w:t>
      </w:r>
      <w:r w:rsidRPr="002579E0">
        <w:t>4</w:t>
      </w:r>
      <w:r w:rsidRPr="008C3EAF">
        <w:t xml:space="preserve">, de son règlement intérieur par la commission compétente et l’engagement pris par le représentant du Conseil, par lettre du </w:t>
      </w:r>
      <w:r w:rsidRPr="002579E0">
        <w:t>8</w:t>
      </w:r>
      <w:r>
        <w:t xml:space="preserve"> février </w:t>
      </w:r>
      <w:r w:rsidRPr="002579E0">
        <w:t>2024</w:t>
      </w:r>
      <w:r w:rsidRPr="008C3EAF">
        <w:t xml:space="preserve">, d’approuver la position du Parlement européen, conformément à l’article </w:t>
      </w:r>
      <w:r w:rsidRPr="002579E0">
        <w:t>294</w:t>
      </w:r>
      <w:r w:rsidRPr="008C3EAF">
        <w:t xml:space="preserve">, paragraphe </w:t>
      </w:r>
      <w:r w:rsidRPr="002579E0">
        <w:t>4</w:t>
      </w:r>
      <w:r w:rsidRPr="008C3EAF">
        <w:t>, du traité sur le fonctionnement de l’Union européenne,</w:t>
      </w:r>
    </w:p>
    <w:p w:rsidR="00B3292D" w:rsidRPr="00BA4D98" w:rsidRDefault="00B3292D" w:rsidP="00B3292D">
      <w:pPr>
        <w:pStyle w:val="NormalHanging12a"/>
      </w:pPr>
      <w:r w:rsidRPr="00BA4D98">
        <w:lastRenderedPageBreak/>
        <w:t>–</w:t>
      </w:r>
      <w:r w:rsidRPr="00BA4D98">
        <w:tab/>
        <w:t>vu les articles </w:t>
      </w:r>
      <w:r w:rsidRPr="002579E0">
        <w:t>59</w:t>
      </w:r>
      <w:r w:rsidRPr="00BA4D98">
        <w:t xml:space="preserve"> et </w:t>
      </w:r>
      <w:r w:rsidRPr="002579E0">
        <w:t>40</w:t>
      </w:r>
      <w:r w:rsidRPr="00BA4D98">
        <w:t xml:space="preserve"> de son règlement intérieur,</w:t>
      </w:r>
    </w:p>
    <w:p w:rsidR="00B3292D" w:rsidRPr="00BA4D98" w:rsidRDefault="00B3292D" w:rsidP="00B3292D">
      <w:pPr>
        <w:pStyle w:val="NormalHanging12a"/>
      </w:pPr>
      <w:r w:rsidRPr="00BA4D98">
        <w:t>–</w:t>
      </w:r>
      <w:r w:rsidRPr="00BA4D98">
        <w:tab/>
        <w:t>vu le rapport de la commission des libertés civiles, de la justice et des affaires intérieures (A</w:t>
      </w:r>
      <w:r w:rsidRPr="002579E0">
        <w:t>9</w:t>
      </w:r>
      <w:r w:rsidRPr="00BA4D98">
        <w:t>-</w:t>
      </w:r>
      <w:r w:rsidRPr="002579E0">
        <w:t>0152</w:t>
      </w:r>
      <w:r w:rsidRPr="00BA4D98">
        <w:t>/</w:t>
      </w:r>
      <w:r w:rsidRPr="002579E0">
        <w:t>2023</w:t>
      </w:r>
      <w:r w:rsidRPr="00BA4D98">
        <w:t>),</w:t>
      </w:r>
    </w:p>
    <w:p w:rsidR="00B3292D" w:rsidRPr="00BA4D98" w:rsidRDefault="00B3292D" w:rsidP="00B3292D">
      <w:pPr>
        <w:pStyle w:val="NormalHanging12a"/>
        <w:ind w:hanging="570"/>
      </w:pPr>
      <w:r w:rsidRPr="002579E0">
        <w:t>1</w:t>
      </w:r>
      <w:r w:rsidRPr="00BA4D98">
        <w:t>.</w:t>
      </w:r>
      <w:r w:rsidRPr="00BA4D98">
        <w:tab/>
        <w:t>arrête la position en première lecture figurant ci-après;</w:t>
      </w:r>
    </w:p>
    <w:p w:rsidR="00B3292D" w:rsidRPr="00BA4D98" w:rsidRDefault="00B3292D" w:rsidP="00B3292D">
      <w:pPr>
        <w:pStyle w:val="NormalHanging12a"/>
        <w:ind w:hanging="570"/>
      </w:pPr>
      <w:r w:rsidRPr="002579E0">
        <w:t>2</w:t>
      </w:r>
      <w:r w:rsidRPr="00BA4D98">
        <w:t>.</w:t>
      </w:r>
      <w:r w:rsidRPr="00BA4D98">
        <w:tab/>
        <w:t>demande à la Commission de le saisir à nouveau si elle remplace, modifie de manière substantielle ou entend modifier de manière substantielle sa proposition;</w:t>
      </w:r>
    </w:p>
    <w:p w:rsidR="008C3EAF" w:rsidRDefault="00B3292D" w:rsidP="00B3292D">
      <w:pPr>
        <w:pStyle w:val="NormalHanging12a"/>
        <w:ind w:hanging="570"/>
        <w:sectPr w:rsidR="008C3EAF" w:rsidSect="00BA4D9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579E0">
        <w:t>3</w:t>
      </w:r>
      <w:r w:rsidRPr="00BA4D98">
        <w:t>.</w:t>
      </w:r>
      <w:r w:rsidRPr="00BA4D98">
        <w:tab/>
        <w:t>charge son Président de transmettre la position du Parlement au Conseil et à la Commission ainsi qu’aux parlements nationaux.</w:t>
      </w:r>
    </w:p>
    <w:p w:rsidR="006A6BA3" w:rsidRPr="006A6BA3" w:rsidRDefault="006A6BA3" w:rsidP="006A6BA3">
      <w:pPr>
        <w:widowControl/>
        <w:spacing w:after="240"/>
        <w:jc w:val="both"/>
        <w:rPr>
          <w:b/>
          <w:szCs w:val="24"/>
        </w:rPr>
      </w:pPr>
      <w:r w:rsidRPr="006A6BA3">
        <w:rPr>
          <w:b/>
          <w:szCs w:val="24"/>
        </w:rPr>
        <w:lastRenderedPageBreak/>
        <w:t>P</w:t>
      </w:r>
      <w:r w:rsidRPr="002579E0">
        <w:rPr>
          <w:b/>
          <w:szCs w:val="24"/>
        </w:rPr>
        <w:t>9</w:t>
      </w:r>
      <w:r w:rsidRPr="006A6BA3">
        <w:rPr>
          <w:b/>
          <w:szCs w:val="24"/>
        </w:rPr>
        <w:t>_TC</w:t>
      </w:r>
      <w:r w:rsidRPr="002579E0">
        <w:rPr>
          <w:b/>
          <w:szCs w:val="24"/>
        </w:rPr>
        <w:t>1</w:t>
      </w:r>
      <w:r w:rsidRPr="006A6BA3">
        <w:rPr>
          <w:b/>
          <w:szCs w:val="24"/>
        </w:rPr>
        <w:t>-</w:t>
      </w:r>
      <w:proofErr w:type="gramStart"/>
      <w:r w:rsidRPr="006A6BA3">
        <w:rPr>
          <w:b/>
          <w:szCs w:val="24"/>
        </w:rPr>
        <w:t>COD(</w:t>
      </w:r>
      <w:proofErr w:type="gramEnd"/>
      <w:r w:rsidRPr="002579E0">
        <w:rPr>
          <w:b/>
          <w:szCs w:val="24"/>
        </w:rPr>
        <w:t>2020</w:t>
      </w:r>
      <w:r w:rsidRPr="006A6BA3">
        <w:rPr>
          <w:b/>
          <w:szCs w:val="24"/>
        </w:rPr>
        <w:t>)</w:t>
      </w:r>
      <w:r w:rsidRPr="002579E0">
        <w:rPr>
          <w:b/>
          <w:szCs w:val="24"/>
        </w:rPr>
        <w:t>0279</w:t>
      </w:r>
    </w:p>
    <w:p w:rsidR="006A6BA3" w:rsidRDefault="006A6BA3" w:rsidP="006A6BA3">
      <w:pPr>
        <w:pStyle w:val="Titreobjet"/>
        <w:spacing w:after="0" w:line="240" w:lineRule="auto"/>
        <w:jc w:val="left"/>
      </w:pPr>
      <w:r w:rsidRPr="006A6BA3">
        <w:rPr>
          <w:szCs w:val="24"/>
        </w:rPr>
        <w:t xml:space="preserve">Position du Parlement européen arrêtée en première lecture le </w:t>
      </w:r>
      <w:r w:rsidRPr="002579E0">
        <w:rPr>
          <w:szCs w:val="24"/>
        </w:rPr>
        <w:t>10</w:t>
      </w:r>
      <w:r w:rsidRPr="006A6BA3">
        <w:rPr>
          <w:szCs w:val="24"/>
        </w:rPr>
        <w:t xml:space="preserve"> avril </w:t>
      </w:r>
      <w:r w:rsidRPr="002579E0">
        <w:rPr>
          <w:szCs w:val="24"/>
        </w:rPr>
        <w:t>2024</w:t>
      </w:r>
      <w:r w:rsidRPr="006A6BA3">
        <w:rPr>
          <w:szCs w:val="24"/>
        </w:rPr>
        <w:t xml:space="preserve"> en vue de l’adoption du règlement (UE) </w:t>
      </w:r>
      <w:r w:rsidRPr="002579E0">
        <w:rPr>
          <w:szCs w:val="24"/>
        </w:rPr>
        <w:t>2024</w:t>
      </w:r>
      <w:r w:rsidRPr="006A6BA3">
        <w:rPr>
          <w:szCs w:val="24"/>
        </w:rPr>
        <w:t xml:space="preserve">/... du Parlement européen et du Conseil </w:t>
      </w:r>
      <w:r w:rsidRPr="006A6BA3">
        <w:t xml:space="preserve">relatif à la gestion de l’asile et de la migration, modifiant </w:t>
      </w:r>
      <w:r w:rsidRPr="00437D08">
        <w:t>les règlements (UE) 2021/1147 et (UE) 2021/1060 et abrogeant le règlement (UE) nº 604/2013</w:t>
      </w:r>
    </w:p>
    <w:p w:rsidR="00437D08" w:rsidRDefault="00437D08" w:rsidP="00437D08">
      <w:pPr>
        <w:pStyle w:val="Sous-titreobjet"/>
      </w:pPr>
    </w:p>
    <w:p w:rsidR="00437D08" w:rsidRPr="00437D08" w:rsidRDefault="00437D08" w:rsidP="00437D08">
      <w:pPr>
        <w:pStyle w:val="Sous-titreobjet"/>
        <w:spacing w:line="240" w:lineRule="auto"/>
        <w:jc w:val="left"/>
        <w:rPr>
          <w:b w:val="0"/>
          <w:i/>
        </w:rPr>
      </w:pPr>
      <w:r w:rsidRPr="00437D08">
        <w:rPr>
          <w:b w:val="0"/>
          <w:i/>
        </w:rPr>
        <w:t>Étant donné l'accord intervenu entre le Parlement et le Conseil, la position du Parlement correspond à l'acte législatif final, le règlement (U</w:t>
      </w:r>
      <w:bookmarkStart w:id="7" w:name="_GoBack"/>
      <w:bookmarkEnd w:id="7"/>
      <w:r w:rsidRPr="00437D08">
        <w:rPr>
          <w:b w:val="0"/>
          <w:i/>
        </w:rPr>
        <w:t>E) 2024/</w:t>
      </w:r>
      <w:r>
        <w:rPr>
          <w:b w:val="0"/>
          <w:i/>
        </w:rPr>
        <w:t>1351</w:t>
      </w:r>
      <w:r w:rsidRPr="00437D08">
        <w:rPr>
          <w:b w:val="0"/>
          <w:i/>
        </w:rPr>
        <w:t>.)</w:t>
      </w:r>
    </w:p>
    <w:sectPr w:rsidR="00437D08" w:rsidRPr="00437D08" w:rsidSect="00BA4D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A60" w:rsidRPr="00BA4D98" w:rsidRDefault="00E93A60">
      <w:r w:rsidRPr="00BA4D98">
        <w:separator/>
      </w:r>
    </w:p>
  </w:endnote>
  <w:endnote w:type="continuationSeparator" w:id="0">
    <w:p w:rsidR="00E93A60" w:rsidRPr="00BA4D98" w:rsidRDefault="00E93A60">
      <w:r w:rsidRPr="00BA4D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A60" w:rsidRPr="00BA4D98" w:rsidRDefault="00E93A60" w:rsidP="0020396A">
    <w:pPr>
      <w:pStyle w:val="EPFooter"/>
    </w:pPr>
    <w:r w:rsidRPr="00BA4D98">
      <w:t>PE</w:t>
    </w:r>
    <w:r w:rsidRPr="00BA4D98">
      <w:rPr>
        <w:rStyle w:val="HideTWBExt"/>
      </w:rPr>
      <w:t>&lt;NoPE&gt;</w:t>
    </w:r>
    <w:r w:rsidRPr="00BA4D98">
      <w:t>698.950</w:t>
    </w:r>
    <w:r w:rsidRPr="00BA4D98">
      <w:rPr>
        <w:rStyle w:val="HideTWBExt"/>
      </w:rPr>
      <w:t>&lt;/NoPE&gt;&lt;Version&gt;</w:t>
    </w:r>
    <w:r w:rsidRPr="00BA4D98">
      <w:t>v02-00</w:t>
    </w:r>
    <w:r w:rsidRPr="00BA4D98">
      <w:rPr>
        <w:rStyle w:val="HideTWBExt"/>
      </w:rPr>
      <w:t>&lt;/Version&gt;</w:t>
    </w:r>
    <w:r w:rsidRPr="00BA4D98">
      <w:tab/>
    </w:r>
    <w:r w:rsidRPr="00BA4D98">
      <w:fldChar w:fldCharType="begin"/>
    </w:r>
    <w:r w:rsidRPr="00BA4D98">
      <w:instrText xml:space="preserve"> PAGE  \* MERGEFORMAT </w:instrText>
    </w:r>
    <w:r w:rsidRPr="00BA4D98">
      <w:fldChar w:fldCharType="separate"/>
    </w:r>
    <w:r w:rsidRPr="00BA4D98">
      <w:rPr>
        <w:noProof/>
      </w:rPr>
      <w:t>2</w:t>
    </w:r>
    <w:r w:rsidRPr="00BA4D98">
      <w:fldChar w:fldCharType="end"/>
    </w:r>
    <w:r w:rsidRPr="00BA4D98">
      <w:t>/</w:t>
    </w:r>
    <w:fldSimple w:instr=" NUMPAGES  \* MERGEFORMAT ">
      <w:r w:rsidRPr="00BA4D98">
        <w:rPr>
          <w:noProof/>
        </w:rPr>
        <w:t>3</w:t>
      </w:r>
    </w:fldSimple>
    <w:r w:rsidRPr="00BA4D98">
      <w:tab/>
    </w:r>
    <w:r w:rsidRPr="00BA4D98">
      <w:rPr>
        <w:rStyle w:val="HideTWBExt"/>
      </w:rPr>
      <w:t>&lt;PathFdR&gt;</w:t>
    </w:r>
    <w:r w:rsidRPr="00BA4D98">
      <w:t>RR\1276782FR.docx</w:t>
    </w:r>
    <w:r w:rsidRPr="00BA4D98">
      <w:rPr>
        <w:rStyle w:val="HideTWBExt"/>
      </w:rPr>
      <w:t>&lt;/PathFdR&gt;</w:t>
    </w:r>
  </w:p>
  <w:p w:rsidR="00E93A60" w:rsidRPr="00BA4D98" w:rsidRDefault="00E93A60" w:rsidP="0020396A">
    <w:pPr>
      <w:pStyle w:val="EPFooter2"/>
    </w:pPr>
    <w:r w:rsidRPr="00BA4D98"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A60" w:rsidRPr="00BA4D98" w:rsidRDefault="00E93A60" w:rsidP="0020396A">
    <w:pPr>
      <w:pStyle w:val="EPFooter"/>
    </w:pPr>
    <w:r w:rsidRPr="00BA4D98">
      <w:rPr>
        <w:rStyle w:val="HideTWBExt"/>
      </w:rPr>
      <w:t>&lt;PathFdR&gt;</w:t>
    </w:r>
    <w:r w:rsidRPr="00BA4D98">
      <w:t>RR\1276782FR.docx</w:t>
    </w:r>
    <w:r w:rsidRPr="00BA4D98">
      <w:rPr>
        <w:rStyle w:val="HideTWBExt"/>
      </w:rPr>
      <w:t>&lt;/PathFdR&gt;</w:t>
    </w:r>
    <w:r w:rsidRPr="00BA4D98">
      <w:tab/>
    </w:r>
    <w:r w:rsidRPr="00BA4D98">
      <w:tab/>
      <w:t>PE</w:t>
    </w:r>
    <w:r w:rsidRPr="00BA4D98">
      <w:rPr>
        <w:rStyle w:val="HideTWBExt"/>
      </w:rPr>
      <w:t>&lt;NoPE&gt;</w:t>
    </w:r>
    <w:r w:rsidRPr="00BA4D98">
      <w:t>698.950</w:t>
    </w:r>
    <w:r w:rsidRPr="00BA4D98">
      <w:rPr>
        <w:rStyle w:val="HideTWBExt"/>
      </w:rPr>
      <w:t>&lt;/NoPE&gt;&lt;Version&gt;</w:t>
    </w:r>
    <w:r w:rsidRPr="00BA4D98">
      <w:t>v02-00</w:t>
    </w:r>
    <w:r w:rsidRPr="00BA4D98">
      <w:rPr>
        <w:rStyle w:val="HideTWBExt"/>
      </w:rPr>
      <w:t>&lt;/Version&gt;</w:t>
    </w:r>
  </w:p>
  <w:p w:rsidR="00E93A60" w:rsidRPr="00BA4D98" w:rsidRDefault="00E93A60" w:rsidP="0020396A">
    <w:pPr>
      <w:pStyle w:val="EPFooter2"/>
    </w:pPr>
    <w:r w:rsidRPr="00BA4D98">
      <w:t>FR</w:t>
    </w:r>
    <w:r w:rsidRPr="00BA4D98">
      <w:tab/>
    </w:r>
    <w:r w:rsidRPr="00BA4D98">
      <w:rPr>
        <w:b w:val="0"/>
        <w:i/>
        <w:color w:val="C0C0C0"/>
        <w:sz w:val="22"/>
      </w:rPr>
      <w:t>Unie dans la diversité</w:t>
    </w:r>
    <w:r w:rsidRPr="00BA4D98">
      <w:tab/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A60" w:rsidRPr="00BA4D98" w:rsidRDefault="00E93A60">
      <w:r w:rsidRPr="00BA4D98">
        <w:separator/>
      </w:r>
    </w:p>
  </w:footnote>
  <w:footnote w:type="continuationSeparator" w:id="0">
    <w:p w:rsidR="00E93A60" w:rsidRPr="00BA4D98" w:rsidRDefault="00E93A60">
      <w:r w:rsidRPr="00BA4D98">
        <w:continuationSeparator/>
      </w:r>
    </w:p>
  </w:footnote>
  <w:footnote w:id="1">
    <w:p w:rsidR="00E93A60" w:rsidRPr="00EC0BE0" w:rsidRDefault="00E93A60" w:rsidP="00BA4D98">
      <w:pPr>
        <w:pStyle w:val="FootnoteText"/>
        <w:ind w:left="567" w:hanging="567"/>
        <w:rPr>
          <w:sz w:val="24"/>
          <w:lang w:val="da-DK"/>
        </w:rPr>
      </w:pPr>
      <w:r w:rsidRPr="00EC0BE0">
        <w:rPr>
          <w:rStyle w:val="FootnoteReference"/>
          <w:sz w:val="24"/>
        </w:rPr>
        <w:footnoteRef/>
      </w:r>
      <w:r w:rsidRPr="00EC0BE0">
        <w:rPr>
          <w:sz w:val="24"/>
          <w:lang w:val="da-DK"/>
        </w:rPr>
        <w:t xml:space="preserve"> </w:t>
      </w:r>
      <w:r w:rsidRPr="00EC0BE0">
        <w:rPr>
          <w:sz w:val="24"/>
          <w:lang w:val="da-DK"/>
        </w:rPr>
        <w:tab/>
        <w:t>JO C </w:t>
      </w:r>
      <w:r w:rsidRPr="002579E0">
        <w:rPr>
          <w:sz w:val="24"/>
          <w:lang w:val="da-DK"/>
        </w:rPr>
        <w:t>155</w:t>
      </w:r>
      <w:r w:rsidRPr="00EC0BE0">
        <w:rPr>
          <w:sz w:val="24"/>
          <w:lang w:val="da-DK"/>
        </w:rPr>
        <w:t xml:space="preserve"> du </w:t>
      </w:r>
      <w:r w:rsidRPr="002579E0">
        <w:rPr>
          <w:sz w:val="24"/>
          <w:lang w:val="da-DK"/>
        </w:rPr>
        <w:t>30</w:t>
      </w:r>
      <w:r w:rsidRPr="00EC0BE0">
        <w:rPr>
          <w:sz w:val="24"/>
          <w:lang w:val="da-DK"/>
        </w:rPr>
        <w:t>.</w:t>
      </w:r>
      <w:r w:rsidRPr="002579E0">
        <w:rPr>
          <w:sz w:val="24"/>
          <w:lang w:val="da-DK"/>
        </w:rPr>
        <w:t>4</w:t>
      </w:r>
      <w:r w:rsidRPr="00EC0BE0">
        <w:rPr>
          <w:sz w:val="24"/>
          <w:lang w:val="da-DK"/>
        </w:rPr>
        <w:t>.</w:t>
      </w:r>
      <w:r w:rsidRPr="002579E0">
        <w:rPr>
          <w:sz w:val="24"/>
          <w:lang w:val="da-DK"/>
        </w:rPr>
        <w:t>2021</w:t>
      </w:r>
      <w:r w:rsidRPr="00EC0BE0">
        <w:rPr>
          <w:sz w:val="24"/>
          <w:lang w:val="da-DK"/>
        </w:rPr>
        <w:t>, p. </w:t>
      </w:r>
      <w:r w:rsidRPr="002579E0">
        <w:rPr>
          <w:sz w:val="24"/>
          <w:lang w:val="da-DK"/>
        </w:rPr>
        <w:t>58</w:t>
      </w:r>
      <w:r w:rsidRPr="00EC0BE0">
        <w:rPr>
          <w:sz w:val="24"/>
          <w:lang w:val="da-DK"/>
        </w:rPr>
        <w:t>.</w:t>
      </w:r>
    </w:p>
  </w:footnote>
  <w:footnote w:id="2">
    <w:p w:rsidR="00E93A60" w:rsidRPr="00EC0BE0" w:rsidRDefault="00E93A60" w:rsidP="00BA4D98">
      <w:pPr>
        <w:pStyle w:val="FootnoteText"/>
        <w:ind w:left="567" w:hanging="567"/>
        <w:rPr>
          <w:sz w:val="24"/>
          <w:lang w:val="da-DK"/>
        </w:rPr>
      </w:pPr>
      <w:r w:rsidRPr="00EC0BE0">
        <w:rPr>
          <w:rStyle w:val="FootnoteReference"/>
          <w:sz w:val="24"/>
        </w:rPr>
        <w:footnoteRef/>
      </w:r>
      <w:r w:rsidRPr="00EC0BE0">
        <w:rPr>
          <w:sz w:val="24"/>
          <w:lang w:val="da-DK"/>
        </w:rPr>
        <w:t xml:space="preserve"> </w:t>
      </w:r>
      <w:r w:rsidRPr="00EC0BE0">
        <w:rPr>
          <w:sz w:val="24"/>
          <w:lang w:val="da-DK"/>
        </w:rPr>
        <w:tab/>
        <w:t>JO C </w:t>
      </w:r>
      <w:r w:rsidRPr="002579E0">
        <w:rPr>
          <w:sz w:val="24"/>
          <w:lang w:val="da-DK"/>
        </w:rPr>
        <w:t>175</w:t>
      </w:r>
      <w:r w:rsidRPr="00EC0BE0">
        <w:rPr>
          <w:sz w:val="24"/>
          <w:lang w:val="da-DK"/>
        </w:rPr>
        <w:t xml:space="preserve"> du </w:t>
      </w:r>
      <w:r w:rsidRPr="002579E0">
        <w:rPr>
          <w:sz w:val="24"/>
          <w:lang w:val="da-DK"/>
        </w:rPr>
        <w:t>7</w:t>
      </w:r>
      <w:r w:rsidRPr="00EC0BE0">
        <w:rPr>
          <w:sz w:val="24"/>
          <w:lang w:val="da-DK"/>
        </w:rPr>
        <w:t>.</w:t>
      </w:r>
      <w:r w:rsidRPr="002579E0">
        <w:rPr>
          <w:sz w:val="24"/>
          <w:lang w:val="da-DK"/>
        </w:rPr>
        <w:t>5</w:t>
      </w:r>
      <w:r w:rsidRPr="00EC0BE0">
        <w:rPr>
          <w:sz w:val="24"/>
          <w:lang w:val="da-DK"/>
        </w:rPr>
        <w:t>.</w:t>
      </w:r>
      <w:r w:rsidRPr="002579E0">
        <w:rPr>
          <w:sz w:val="24"/>
          <w:lang w:val="da-DK"/>
        </w:rPr>
        <w:t>2021</w:t>
      </w:r>
      <w:r w:rsidRPr="00EC0BE0">
        <w:rPr>
          <w:sz w:val="24"/>
          <w:lang w:val="da-DK"/>
        </w:rPr>
        <w:t>, p. </w:t>
      </w:r>
      <w:r w:rsidRPr="002579E0">
        <w:rPr>
          <w:sz w:val="24"/>
          <w:lang w:val="da-DK"/>
        </w:rPr>
        <w:t>32</w:t>
      </w:r>
      <w:r w:rsidRPr="00EC0BE0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1"/>
  </w:num>
  <w:num w:numId="5">
    <w:abstractNumId w:val="14"/>
  </w:num>
  <w:num w:numId="6">
    <w:abstractNumId w:val="13"/>
  </w:num>
  <w:num w:numId="7">
    <w:abstractNumId w:val="21"/>
  </w:num>
  <w:num w:numId="8">
    <w:abstractNumId w:val="8"/>
  </w:num>
  <w:num w:numId="9">
    <w:abstractNumId w:val="9"/>
  </w:num>
  <w:num w:numId="10">
    <w:abstractNumId w:val="10"/>
  </w:num>
  <w:num w:numId="11">
    <w:abstractNumId w:val="12"/>
  </w:num>
  <w:num w:numId="12">
    <w:abstractNumId w:val="5"/>
  </w:num>
  <w:num w:numId="13">
    <w:abstractNumId w:val="22"/>
  </w:num>
  <w:num w:numId="14">
    <w:abstractNumId w:val="6"/>
  </w:num>
  <w:num w:numId="15">
    <w:abstractNumId w:val="2"/>
  </w:num>
  <w:num w:numId="16">
    <w:abstractNumId w:val="1"/>
  </w:num>
  <w:num w:numId="17">
    <w:abstractNumId w:val="17"/>
  </w:num>
  <w:num w:numId="18">
    <w:abstractNumId w:val="16"/>
  </w:num>
  <w:num w:numId="19">
    <w:abstractNumId w:val="15"/>
  </w:num>
  <w:num w:numId="20">
    <w:abstractNumId w:val="19"/>
  </w:num>
  <w:num w:numId="21">
    <w:abstractNumId w:val="18"/>
  </w:num>
  <w:num w:numId="22">
    <w:abstractNumId w:val="20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FR"/>
    <w:docVar w:name="dvnumam" w:val="472"/>
    <w:docVar w:name="dvpe" w:val="698.950"/>
    <w:docVar w:name="dvrapporteur" w:val="Rapporteur: "/>
    <w:docVar w:name="dvstar" w:val="***I"/>
    <w:docVar w:name="dvtitre" w:val="Résolution législative du Parlement européen du ... 2024 sur la proposition de règlement du Parlement européen et du Conseil relatif à la gestion de l’asile et de la migration et modifiant la directive 2003/109/CE du Conseil et la proposition de règlement (UE) XXX/XXX [établissant le Fonds «Asile et migration»](COM(2020)0610 – C9-0309/2020 – 2020/0279(COD))"/>
  </w:docVars>
  <w:rsids>
    <w:rsidRoot w:val="00876906"/>
    <w:rsid w:val="00002272"/>
    <w:rsid w:val="00064002"/>
    <w:rsid w:val="000677B9"/>
    <w:rsid w:val="000831BA"/>
    <w:rsid w:val="000A42CC"/>
    <w:rsid w:val="000E7DD9"/>
    <w:rsid w:val="0010095E"/>
    <w:rsid w:val="00125B37"/>
    <w:rsid w:val="00142CB2"/>
    <w:rsid w:val="00187494"/>
    <w:rsid w:val="001F32AE"/>
    <w:rsid w:val="0020396A"/>
    <w:rsid w:val="00203E51"/>
    <w:rsid w:val="002579E0"/>
    <w:rsid w:val="002767FF"/>
    <w:rsid w:val="002774DD"/>
    <w:rsid w:val="002A7FE9"/>
    <w:rsid w:val="002B18FE"/>
    <w:rsid w:val="002B5493"/>
    <w:rsid w:val="00343214"/>
    <w:rsid w:val="00361C00"/>
    <w:rsid w:val="00395FA1"/>
    <w:rsid w:val="003A1087"/>
    <w:rsid w:val="003E15D4"/>
    <w:rsid w:val="00411CCE"/>
    <w:rsid w:val="0041666E"/>
    <w:rsid w:val="00421060"/>
    <w:rsid w:val="00437D08"/>
    <w:rsid w:val="00471C19"/>
    <w:rsid w:val="004867E3"/>
    <w:rsid w:val="00494A28"/>
    <w:rsid w:val="004A3809"/>
    <w:rsid w:val="004C0004"/>
    <w:rsid w:val="004C5D52"/>
    <w:rsid w:val="0050519A"/>
    <w:rsid w:val="005072A1"/>
    <w:rsid w:val="00514517"/>
    <w:rsid w:val="00545827"/>
    <w:rsid w:val="005551A4"/>
    <w:rsid w:val="00560270"/>
    <w:rsid w:val="005C2568"/>
    <w:rsid w:val="006037C0"/>
    <w:rsid w:val="006631B6"/>
    <w:rsid w:val="00680577"/>
    <w:rsid w:val="006A6BA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906"/>
    <w:rsid w:val="00881A7B"/>
    <w:rsid w:val="008840E5"/>
    <w:rsid w:val="00887B3E"/>
    <w:rsid w:val="008C2AC6"/>
    <w:rsid w:val="008C3EA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92D"/>
    <w:rsid w:val="00B558F0"/>
    <w:rsid w:val="00BA4D98"/>
    <w:rsid w:val="00BD48FE"/>
    <w:rsid w:val="00BD7BD8"/>
    <w:rsid w:val="00BE6ADC"/>
    <w:rsid w:val="00C05BFE"/>
    <w:rsid w:val="00C23CD4"/>
    <w:rsid w:val="00C61C0C"/>
    <w:rsid w:val="00C941CB"/>
    <w:rsid w:val="00CC2357"/>
    <w:rsid w:val="00CC558C"/>
    <w:rsid w:val="00CF071A"/>
    <w:rsid w:val="00D058B8"/>
    <w:rsid w:val="00D56C11"/>
    <w:rsid w:val="00D834A0"/>
    <w:rsid w:val="00D872DF"/>
    <w:rsid w:val="00D91E21"/>
    <w:rsid w:val="00DA7FCD"/>
    <w:rsid w:val="00E02C4F"/>
    <w:rsid w:val="00E365E1"/>
    <w:rsid w:val="00E820A4"/>
    <w:rsid w:val="00E93A60"/>
    <w:rsid w:val="00EB006A"/>
    <w:rsid w:val="00EB4772"/>
    <w:rsid w:val="00EC0BE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A184C"/>
  <w15:chartTrackingRefBased/>
  <w15:docId w15:val="{45340011-553D-497A-96D6-63BFF85A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3292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3292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92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92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92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92D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92D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B3292D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B3292D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B3292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329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3292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292D"/>
    <w:pPr>
      <w:spacing w:after="120"/>
    </w:pPr>
  </w:style>
  <w:style w:type="paragraph" w:customStyle="1" w:styleId="PageHeading">
    <w:name w:val="PageHeading"/>
    <w:basedOn w:val="Normal"/>
    <w:rsid w:val="00B329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3292D"/>
    <w:rPr>
      <w:b/>
    </w:rPr>
  </w:style>
  <w:style w:type="paragraph" w:customStyle="1" w:styleId="NormalBold12a">
    <w:name w:val="NormalBold12a"/>
    <w:basedOn w:val="Normal"/>
    <w:rsid w:val="00B3292D"/>
    <w:pPr>
      <w:spacing w:after="240"/>
    </w:pPr>
    <w:rPr>
      <w:b/>
    </w:rPr>
  </w:style>
  <w:style w:type="paragraph" w:customStyle="1" w:styleId="AmJustText">
    <w:name w:val="AmJustText"/>
    <w:basedOn w:val="Normal"/>
    <w:rsid w:val="00B3292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3292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292D"/>
    <w:pPr>
      <w:spacing w:after="480"/>
      <w:ind w:left="1417"/>
    </w:pPr>
  </w:style>
  <w:style w:type="paragraph" w:customStyle="1" w:styleId="CoverNormal">
    <w:name w:val="CoverNormal"/>
    <w:basedOn w:val="Normal"/>
    <w:rsid w:val="00B3292D"/>
    <w:pPr>
      <w:ind w:left="1418"/>
    </w:pPr>
  </w:style>
  <w:style w:type="paragraph" w:customStyle="1" w:styleId="AmCrossRef">
    <w:name w:val="AmCrossRef"/>
    <w:basedOn w:val="Normal"/>
    <w:rsid w:val="00B329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292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3292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292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292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292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329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92D"/>
    <w:rPr>
      <w:sz w:val="24"/>
      <w:lang w:val="fr-FR"/>
    </w:rPr>
  </w:style>
  <w:style w:type="paragraph" w:customStyle="1" w:styleId="AmOrLang">
    <w:name w:val="AmOrLang"/>
    <w:basedOn w:val="Normal"/>
    <w:rsid w:val="00B3292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29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29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3292D"/>
    <w:pPr>
      <w:spacing w:before="240"/>
    </w:pPr>
    <w:rPr>
      <w:b/>
    </w:rPr>
  </w:style>
  <w:style w:type="paragraph" w:customStyle="1" w:styleId="EPBody">
    <w:name w:val="EPBody"/>
    <w:basedOn w:val="Normal"/>
    <w:rsid w:val="00B329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329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292D"/>
    <w:pPr>
      <w:spacing w:before="480" w:after="240"/>
    </w:pPr>
  </w:style>
  <w:style w:type="paragraph" w:customStyle="1" w:styleId="Lgendesigne">
    <w:name w:val="Légende signe"/>
    <w:basedOn w:val="Normal"/>
    <w:rsid w:val="00B3292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292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292D"/>
    <w:rPr>
      <w:sz w:val="18"/>
    </w:rPr>
  </w:style>
  <w:style w:type="paragraph" w:customStyle="1" w:styleId="msonormal0">
    <w:name w:val="msonormal"/>
    <w:basedOn w:val="Normal"/>
    <w:rsid w:val="00B3292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B329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92D"/>
    <w:rPr>
      <w:sz w:val="24"/>
      <w:lang w:val="fr-FR"/>
    </w:rPr>
  </w:style>
  <w:style w:type="paragraph" w:customStyle="1" w:styleId="CoverBold">
    <w:name w:val="CoverBold"/>
    <w:basedOn w:val="Normal"/>
    <w:rsid w:val="00B3292D"/>
    <w:pPr>
      <w:ind w:left="1417"/>
    </w:pPr>
    <w:rPr>
      <w:b/>
    </w:rPr>
  </w:style>
  <w:style w:type="paragraph" w:customStyle="1" w:styleId="Normal2">
    <w:name w:val="Normal2"/>
    <w:basedOn w:val="Normal"/>
    <w:qFormat/>
    <w:rsid w:val="00B3292D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B3292D"/>
    <w:rPr>
      <w:i/>
    </w:rPr>
  </w:style>
  <w:style w:type="paragraph" w:customStyle="1" w:styleId="NormalBoldItalic6a">
    <w:name w:val="NormalBoldItalic6a"/>
    <w:basedOn w:val="Normal6a"/>
    <w:qFormat/>
    <w:rsid w:val="00B3292D"/>
    <w:rPr>
      <w:b/>
      <w:i/>
    </w:rPr>
  </w:style>
  <w:style w:type="paragraph" w:customStyle="1" w:styleId="NormalBoldItalicCenter6a">
    <w:name w:val="NormalBoldItalicCenter6a"/>
    <w:basedOn w:val="Normal6a"/>
    <w:qFormat/>
    <w:rsid w:val="00B3292D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B3292D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fr-FR"/>
    </w:rPr>
  </w:style>
  <w:style w:type="paragraph" w:customStyle="1" w:styleId="EPFooterLandscape">
    <w:name w:val="EPFooterLandscape"/>
    <w:qFormat/>
    <w:rsid w:val="00B3292D"/>
    <w:pPr>
      <w:tabs>
        <w:tab w:val="center" w:pos="6804"/>
        <w:tab w:val="right" w:pos="15026"/>
      </w:tabs>
    </w:pPr>
    <w:rPr>
      <w:sz w:val="22"/>
      <w:lang w:val="fr-FR"/>
    </w:rPr>
  </w:style>
  <w:style w:type="character" w:customStyle="1" w:styleId="NormalBI">
    <w:name w:val="NormalBI"/>
    <w:basedOn w:val="DefaultParagraphFont"/>
    <w:uiPriority w:val="1"/>
    <w:qFormat/>
    <w:rsid w:val="00B3292D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B3292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B3292D"/>
    <w:rPr>
      <w:b/>
      <w:bCs w:val="0"/>
    </w:rPr>
  </w:style>
  <w:style w:type="character" w:customStyle="1" w:styleId="Italic">
    <w:name w:val="Italic"/>
    <w:uiPriority w:val="1"/>
    <w:qFormat/>
    <w:rsid w:val="00B3292D"/>
    <w:rPr>
      <w:i/>
      <w:iCs w:val="0"/>
    </w:rPr>
  </w:style>
  <w:style w:type="character" w:customStyle="1" w:styleId="BoldItalic">
    <w:name w:val="BoldItalic"/>
    <w:uiPriority w:val="1"/>
    <w:qFormat/>
    <w:rsid w:val="00B3292D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B3292D"/>
    <w:rPr>
      <w:u w:val="single"/>
    </w:rPr>
  </w:style>
  <w:style w:type="character" w:customStyle="1" w:styleId="Sub">
    <w:name w:val="Sub"/>
    <w:uiPriority w:val="1"/>
    <w:qFormat/>
    <w:rsid w:val="00B3292D"/>
    <w:rPr>
      <w:vertAlign w:val="subscript"/>
    </w:rPr>
  </w:style>
  <w:style w:type="character" w:customStyle="1" w:styleId="Sup">
    <w:name w:val="Sup"/>
    <w:uiPriority w:val="1"/>
    <w:qFormat/>
    <w:rsid w:val="00B3292D"/>
    <w:rPr>
      <w:vertAlign w:val="superscript"/>
    </w:rPr>
  </w:style>
  <w:style w:type="character" w:customStyle="1" w:styleId="SupBoldItalic">
    <w:name w:val="SupBoldItalic"/>
    <w:uiPriority w:val="1"/>
    <w:qFormat/>
    <w:rsid w:val="00B3292D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B3292D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B329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292D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uiPriority w:val="99"/>
    <w:rsid w:val="00B329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3292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292D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32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3292D"/>
    <w:rPr>
      <w:b/>
      <w:bCs/>
      <w:lang w:val="fr-FR"/>
    </w:rPr>
  </w:style>
  <w:style w:type="character" w:customStyle="1" w:styleId="NormalBoldChar">
    <w:name w:val="NormalBold Char"/>
    <w:link w:val="NormalBold"/>
    <w:rsid w:val="00B3292D"/>
    <w:rPr>
      <w:b/>
      <w:sz w:val="24"/>
      <w:lang w:val="fr-FR"/>
    </w:rPr>
  </w:style>
  <w:style w:type="paragraph" w:customStyle="1" w:styleId="EntPE">
    <w:name w:val="EntPE"/>
    <w:basedOn w:val="Normal12"/>
    <w:rsid w:val="00B3292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3292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3292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3292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3292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B3292D"/>
    <w:rPr>
      <w:noProof/>
      <w:sz w:val="24"/>
      <w:lang w:val="fr-FR"/>
    </w:rPr>
  </w:style>
  <w:style w:type="paragraph" w:customStyle="1" w:styleId="PELeft">
    <w:name w:val="PELeft"/>
    <w:basedOn w:val="Normal"/>
    <w:rsid w:val="00B3292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3292D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3292D"/>
    <w:pPr>
      <w:spacing w:after="120"/>
    </w:pPr>
  </w:style>
  <w:style w:type="paragraph" w:customStyle="1" w:styleId="Normal12Italic">
    <w:name w:val="Normal12Italic"/>
    <w:basedOn w:val="Normal12"/>
    <w:rsid w:val="00B3292D"/>
    <w:rPr>
      <w:i/>
    </w:rPr>
  </w:style>
  <w:style w:type="paragraph" w:customStyle="1" w:styleId="JustificationTitle">
    <w:name w:val="JustificationTitle"/>
    <w:basedOn w:val="Normal"/>
    <w:next w:val="Normal12"/>
    <w:rsid w:val="00B3292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3292D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B3292D"/>
    <w:rPr>
      <w:sz w:val="24"/>
      <w:lang w:val="fr-FR"/>
    </w:rPr>
  </w:style>
  <w:style w:type="paragraph" w:customStyle="1" w:styleId="ColumnHeading">
    <w:name w:val="ColumnHeading"/>
    <w:basedOn w:val="Normal"/>
    <w:rsid w:val="00B3292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329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3292D"/>
    <w:pPr>
      <w:spacing w:before="240"/>
      <w:jc w:val="center"/>
    </w:pPr>
    <w:rPr>
      <w:i/>
    </w:rPr>
  </w:style>
  <w:style w:type="character" w:customStyle="1" w:styleId="Footer2Middle">
    <w:name w:val="Footer2Middle"/>
    <w:rsid w:val="00B3292D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B3292D"/>
    <w:pPr>
      <w:spacing w:after="240"/>
    </w:pPr>
  </w:style>
  <w:style w:type="paragraph" w:customStyle="1" w:styleId="RollCallVotes">
    <w:name w:val="RollCallVotes"/>
    <w:basedOn w:val="Normal"/>
    <w:rsid w:val="00B3292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3292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3292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3292D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B3292D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B3292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3292D"/>
    <w:rPr>
      <w:sz w:val="24"/>
      <w:lang w:val="fr-FR"/>
    </w:rPr>
  </w:style>
  <w:style w:type="paragraph" w:customStyle="1" w:styleId="LetterSalutation">
    <w:name w:val="LetterSalutation"/>
    <w:basedOn w:val="Normal"/>
    <w:rsid w:val="00B3292D"/>
    <w:pPr>
      <w:spacing w:before="600" w:after="360"/>
    </w:pPr>
  </w:style>
  <w:style w:type="paragraph" w:customStyle="1" w:styleId="AmDocTypeTab">
    <w:name w:val="AmDocTypeTab"/>
    <w:basedOn w:val="Normal"/>
    <w:rsid w:val="006A6BA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A6BA3"/>
    <w:pPr>
      <w:spacing w:after="240"/>
      <w:jc w:val="center"/>
    </w:pPr>
  </w:style>
  <w:style w:type="paragraph" w:customStyle="1" w:styleId="AmDateTab">
    <w:name w:val="AmDateTab"/>
    <w:basedOn w:val="Normal"/>
    <w:rsid w:val="006A6BA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A6BA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A6BA3"/>
  </w:style>
  <w:style w:type="paragraph" w:styleId="TOC4">
    <w:name w:val="toc 4"/>
    <w:basedOn w:val="Normal"/>
    <w:next w:val="Normal"/>
    <w:uiPriority w:val="39"/>
    <w:unhideWhenUsed/>
    <w:rsid w:val="006A6BA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A6BA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A6BA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A6BA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A6BA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A6BA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A6BA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A6BA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A6BA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A6BA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A6BA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A6BA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A6BA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A6BA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A6B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A6BA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A6BA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A6BA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A6BA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A6BA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A6BA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A6BA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A6BA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A6BA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A6B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A6BA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A6B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A6B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A6BA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A6BA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A6BA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A6BA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A6BA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A6BA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A6BA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A6BA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A6BA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A6BA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A6BA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A6BA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A6BA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A6BA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A6BA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A6BA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A6BA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A6BA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A6BA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A6BA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A6BA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A6BA3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A6BA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A6BA3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A6BA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A6BA3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A6BA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A6BA3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A6BA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A6BA3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A6BA3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A6BA3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A6BA3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A6BA3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A6BA3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A6BA3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A6B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A6B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A6B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A6B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A6BA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A6B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A6B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A6B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A6B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A6B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A6B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A6BA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A6BA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A6BA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A6BA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A6BA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A6BA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A6BA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A6BA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A6BA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A6BA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A6BA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A6BA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A6BA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A6BA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A6BA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A6BA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A6BA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A6BA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A6BA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A6BA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A6BA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A6BA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A6B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A6B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A6BA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A6BA3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A6BA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A6BA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A6BA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A6BA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A6BA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A6BA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A6BA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A6BA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A6BA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A6BA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A6BA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A6BA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A6BA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A6BA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A6BA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A6BA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A6BA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A6BA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A6B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A6BA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A6BA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A6BA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A6BA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A6BA3"/>
    <w:pPr>
      <w:spacing w:before="240"/>
    </w:pPr>
  </w:style>
  <w:style w:type="paragraph" w:customStyle="1" w:styleId="Accordtitre">
    <w:name w:val="Accord titre"/>
    <w:basedOn w:val="Normal"/>
    <w:rsid w:val="006A6BA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A6BA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A6BA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A6BA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A6BA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A6BA3"/>
    <w:pPr>
      <w:spacing w:after="240"/>
    </w:pPr>
  </w:style>
  <w:style w:type="paragraph" w:customStyle="1" w:styleId="Annexetitre">
    <w:name w:val="Annexe titre"/>
    <w:basedOn w:val="Normal"/>
    <w:next w:val="Normal"/>
    <w:rsid w:val="006A6B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A6BA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A6BA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A6BA3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6A6BA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A6B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A6B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A6B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A6B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A6BA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A6B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A6B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A6BA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A6BA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A6BA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A6BA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A6BA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A6BA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A6BA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A6BA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A6BA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A6BA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A6BA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A6BA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A6BA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A6BA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A6BA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A6BA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A6BA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A6B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A6B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A6BA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6A6BA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A6BA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A6BA3"/>
    <w:rPr>
      <w:b/>
      <w:i/>
    </w:rPr>
  </w:style>
  <w:style w:type="character" w:customStyle="1" w:styleId="diff-tte-removed">
    <w:name w:val="diff-tte-removed"/>
    <w:basedOn w:val="DefaultParagraphFont"/>
    <w:rsid w:val="006A6BA3"/>
    <w:rPr>
      <w:strike/>
    </w:rPr>
  </w:style>
  <w:style w:type="paragraph" w:styleId="ListNumber2">
    <w:name w:val="List Number 2"/>
    <w:basedOn w:val="Normal"/>
    <w:unhideWhenUsed/>
    <w:rsid w:val="006A6BA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A6BA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6A6BA3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6A6BA3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6A6BA3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6A6BA3"/>
    <w:rPr>
      <w:lang w:val="fr-FR"/>
    </w:rPr>
  </w:style>
  <w:style w:type="character" w:styleId="Emphasis">
    <w:name w:val="Emphasis"/>
    <w:basedOn w:val="DefaultParagraphFont"/>
    <w:uiPriority w:val="20"/>
    <w:qFormat/>
    <w:rsid w:val="006A6BA3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6A6BA3"/>
    <w:rPr>
      <w:color w:val="0563C1"/>
      <w:u w:val="single"/>
    </w:rPr>
  </w:style>
  <w:style w:type="character" w:customStyle="1" w:styleId="super">
    <w:name w:val="super"/>
    <w:basedOn w:val="DefaultParagraphFont"/>
    <w:rsid w:val="006A6BA3"/>
  </w:style>
  <w:style w:type="paragraph" w:styleId="Revision">
    <w:name w:val="Revision"/>
    <w:hidden/>
    <w:uiPriority w:val="99"/>
    <w:semiHidden/>
    <w:rsid w:val="006A6BA3"/>
    <w:rPr>
      <w:rFonts w:eastAsia="Calibri"/>
      <w:sz w:val="24"/>
      <w:szCs w:val="22"/>
      <w:lang w:val="fr-FR" w:eastAsia="en-US"/>
    </w:rPr>
  </w:style>
  <w:style w:type="table" w:customStyle="1" w:styleId="TableGrid1">
    <w:name w:val="Table Grid1"/>
    <w:basedOn w:val="TableNormal"/>
    <w:next w:val="TableGrid"/>
    <w:uiPriority w:val="39"/>
    <w:rsid w:val="006A6BA3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6BA3"/>
    <w:pPr>
      <w:widowControl/>
      <w:ind w:left="720"/>
    </w:pPr>
    <w:rPr>
      <w:rFonts w:ascii="Calibri" w:eastAsia="Calibri" w:hAnsi="Calibri" w:cs="Calibri"/>
      <w:sz w:val="22"/>
      <w:szCs w:val="22"/>
      <w:lang w:val="fr-BE" w:eastAsia="fr-BE"/>
    </w:rPr>
  </w:style>
  <w:style w:type="paragraph" w:styleId="NormalWeb">
    <w:name w:val="Normal (Web)"/>
    <w:basedOn w:val="Normal"/>
    <w:uiPriority w:val="99"/>
    <w:unhideWhenUsed/>
    <w:rsid w:val="006A6BA3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A6BA3"/>
    <w:rPr>
      <w:color w:val="954F72"/>
      <w:u w:val="single"/>
    </w:rPr>
  </w:style>
  <w:style w:type="character" w:styleId="Strong">
    <w:name w:val="Strong"/>
    <w:basedOn w:val="DefaultParagraphFont"/>
    <w:uiPriority w:val="22"/>
    <w:qFormat/>
    <w:rsid w:val="006A6BA3"/>
    <w:rPr>
      <w:b/>
      <w:bCs/>
    </w:rPr>
  </w:style>
  <w:style w:type="character" w:customStyle="1" w:styleId="visuallyhidden">
    <w:name w:val="visuallyhidden"/>
    <w:basedOn w:val="DefaultParagraphFont"/>
    <w:rsid w:val="006A6B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6BA3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6A6B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A6B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06B6-9C8F-4ACB-89D9-E7BBD626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432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2024-07-29T13:17:00Z</dcterms:created>
  <dcterms:modified xsi:type="dcterms:W3CDTF">2024-07-29T13:17:00Z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