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60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60BB" w:rsidRDefault="00B94B37" w:rsidP="0010095E">
            <w:pPr>
              <w:pStyle w:val="EPName"/>
            </w:pPr>
            <w:r w:rsidRPr="000660BB">
              <w:t>Európai Parlament</w:t>
            </w:r>
          </w:p>
          <w:p w:rsidR="00751A4A" w:rsidRPr="000660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239E">
              <w:t>2019</w:t>
            </w:r>
            <w:r w:rsidRPr="000660BB">
              <w:t>-</w:t>
            </w:r>
            <w:r w:rsidRPr="0040239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660BB" w:rsidRDefault="00187494" w:rsidP="0010095E">
            <w:pPr>
              <w:pStyle w:val="EPLogo"/>
            </w:pPr>
            <w:r w:rsidRPr="000660BB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60BB" w:rsidRDefault="00D058B8" w:rsidP="004C5D52">
      <w:pPr>
        <w:pStyle w:val="LineTop"/>
      </w:pPr>
    </w:p>
    <w:p w:rsidR="00680577" w:rsidRPr="000660BB" w:rsidRDefault="00B94B37" w:rsidP="00680577">
      <w:pPr>
        <w:pStyle w:val="EPBodyTA1"/>
      </w:pPr>
      <w:r w:rsidRPr="000660BB">
        <w:t>ELFOGADOTT SZÖVEGEK</w:t>
      </w:r>
    </w:p>
    <w:p w:rsidR="00D058B8" w:rsidRPr="000660BB" w:rsidRDefault="00D058B8" w:rsidP="00D058B8">
      <w:pPr>
        <w:pStyle w:val="LineBottom"/>
      </w:pPr>
    </w:p>
    <w:p w:rsidR="00B94B37" w:rsidRPr="000660BB" w:rsidRDefault="00B94B37" w:rsidP="00B94B37">
      <w:pPr>
        <w:pStyle w:val="ATHeading1"/>
      </w:pPr>
      <w:bookmarkStart w:id="0" w:name="TANumber"/>
      <w:r w:rsidRPr="000660BB">
        <w:t>P</w:t>
      </w:r>
      <w:r w:rsidRPr="0040239E">
        <w:t>9</w:t>
      </w:r>
      <w:r w:rsidRPr="000660BB">
        <w:t>_TA(</w:t>
      </w:r>
      <w:r w:rsidRPr="0040239E">
        <w:t>2024</w:t>
      </w:r>
      <w:r w:rsidRPr="000660BB">
        <w:t>)</w:t>
      </w:r>
      <w:bookmarkEnd w:id="0"/>
      <w:r w:rsidR="000660BB" w:rsidRPr="0040239E">
        <w:t>0179</w:t>
      </w:r>
    </w:p>
    <w:p w:rsidR="00B94B37" w:rsidRPr="000660BB" w:rsidRDefault="00F05B8B" w:rsidP="00B94B37">
      <w:pPr>
        <w:pStyle w:val="ATHeading2"/>
      </w:pPr>
      <w:bookmarkStart w:id="1" w:name="title"/>
      <w:r w:rsidRPr="000660BB">
        <w:rPr>
          <w:bCs/>
        </w:rPr>
        <w:t>A m</w:t>
      </w:r>
      <w:r w:rsidR="00003EAC" w:rsidRPr="000660BB">
        <w:rPr>
          <w:bCs/>
        </w:rPr>
        <w:t xml:space="preserve">enekültügy és </w:t>
      </w:r>
      <w:r w:rsidRPr="000660BB">
        <w:rPr>
          <w:bCs/>
        </w:rPr>
        <w:t xml:space="preserve">a </w:t>
      </w:r>
      <w:r w:rsidR="00003EAC" w:rsidRPr="000660BB">
        <w:rPr>
          <w:bCs/>
        </w:rPr>
        <w:t>migráció</w:t>
      </w:r>
      <w:r w:rsidRPr="000660BB">
        <w:rPr>
          <w:bCs/>
        </w:rPr>
        <w:t xml:space="preserve"> </w:t>
      </w:r>
      <w:r w:rsidR="00003EAC" w:rsidRPr="000660BB">
        <w:rPr>
          <w:bCs/>
        </w:rPr>
        <w:t>kezelés</w:t>
      </w:r>
      <w:bookmarkEnd w:id="1"/>
      <w:r w:rsidRPr="000660BB">
        <w:t>e</w:t>
      </w:r>
    </w:p>
    <w:p w:rsidR="00B94B37" w:rsidRPr="000660BB" w:rsidRDefault="00B94B37" w:rsidP="00B94B37">
      <w:pPr>
        <w:rPr>
          <w:i/>
          <w:vanish/>
        </w:rPr>
      </w:pPr>
      <w:r w:rsidRPr="000660BB">
        <w:rPr>
          <w:i/>
        </w:rPr>
        <w:fldChar w:fldCharType="begin"/>
      </w:r>
      <w:r w:rsidRPr="000660BB">
        <w:rPr>
          <w:i/>
        </w:rPr>
        <w:instrText xml:space="preserve"> TC"(</w:instrText>
      </w:r>
      <w:bookmarkStart w:id="2" w:name="DocNumber"/>
      <w:r w:rsidRPr="000660BB">
        <w:rPr>
          <w:i/>
        </w:rPr>
        <w:instrText>A</w:instrText>
      </w:r>
      <w:r w:rsidRPr="0040239E">
        <w:rPr>
          <w:i/>
        </w:rPr>
        <w:instrText>9</w:instrText>
      </w:r>
      <w:r w:rsidRPr="000660BB">
        <w:rPr>
          <w:i/>
        </w:rPr>
        <w:instrText>-</w:instrText>
      </w:r>
      <w:r w:rsidRPr="0040239E">
        <w:rPr>
          <w:i/>
        </w:rPr>
        <w:instrText>0152</w:instrText>
      </w:r>
      <w:r w:rsidRPr="000660BB">
        <w:rPr>
          <w:i/>
        </w:rPr>
        <w:instrText>/</w:instrText>
      </w:r>
      <w:r w:rsidRPr="0040239E">
        <w:rPr>
          <w:i/>
        </w:rPr>
        <w:instrText>2023</w:instrText>
      </w:r>
      <w:bookmarkEnd w:id="2"/>
      <w:r w:rsidRPr="000660BB">
        <w:rPr>
          <w:i/>
        </w:rPr>
        <w:instrText xml:space="preserve"> - Előadó: Tomas Tobé)"\l</w:instrText>
      </w:r>
      <w:r w:rsidRPr="0040239E">
        <w:rPr>
          <w:i/>
        </w:rPr>
        <w:instrText>3</w:instrText>
      </w:r>
      <w:r w:rsidRPr="000660BB">
        <w:rPr>
          <w:i/>
        </w:rPr>
        <w:instrText xml:space="preserve"> \n&gt; \* MERGEFORMAT </w:instrText>
      </w:r>
      <w:r w:rsidRPr="000660BB">
        <w:rPr>
          <w:i/>
        </w:rPr>
        <w:fldChar w:fldCharType="end"/>
      </w:r>
    </w:p>
    <w:p w:rsidR="00B94B37" w:rsidRPr="000660BB" w:rsidRDefault="00B94B37" w:rsidP="00B94B37">
      <w:pPr>
        <w:rPr>
          <w:vanish/>
        </w:rPr>
      </w:pPr>
      <w:bookmarkStart w:id="3" w:name="Commission"/>
      <w:r w:rsidRPr="000660BB">
        <w:rPr>
          <w:vanish/>
        </w:rPr>
        <w:t>Állampolgári Jogi, Bel- és Igazságügyi Bizottság</w:t>
      </w:r>
      <w:bookmarkEnd w:id="3"/>
    </w:p>
    <w:p w:rsidR="00B94B37" w:rsidRPr="000660BB" w:rsidRDefault="00B94B37" w:rsidP="00B94B37">
      <w:pPr>
        <w:rPr>
          <w:vanish/>
        </w:rPr>
      </w:pPr>
      <w:bookmarkStart w:id="4" w:name="PE"/>
      <w:r w:rsidRPr="000660BB">
        <w:rPr>
          <w:vanish/>
        </w:rPr>
        <w:t>PE</w:t>
      </w:r>
      <w:r w:rsidRPr="0040239E">
        <w:rPr>
          <w:vanish/>
        </w:rPr>
        <w:t>698</w:t>
      </w:r>
      <w:r w:rsidRPr="000660BB">
        <w:rPr>
          <w:vanish/>
        </w:rPr>
        <w:t>.</w:t>
      </w:r>
      <w:r w:rsidRPr="0040239E">
        <w:rPr>
          <w:vanish/>
        </w:rPr>
        <w:t>950</w:t>
      </w:r>
      <w:bookmarkEnd w:id="4"/>
    </w:p>
    <w:p w:rsidR="00B94B37" w:rsidRPr="000660BB" w:rsidRDefault="00B94B37" w:rsidP="00B94B37">
      <w:pPr>
        <w:pStyle w:val="ATHeading3"/>
      </w:pPr>
      <w:bookmarkStart w:id="5" w:name="Sujet"/>
      <w:r w:rsidRPr="000660BB">
        <w:t xml:space="preserve">Az Európai Parlament </w:t>
      </w:r>
      <w:r w:rsidRPr="0040239E">
        <w:t>2024</w:t>
      </w:r>
      <w:r w:rsidRPr="000660BB">
        <w:t xml:space="preserve">. </w:t>
      </w:r>
      <w:r w:rsidR="00003EAC" w:rsidRPr="000660BB">
        <w:t xml:space="preserve">április </w:t>
      </w:r>
      <w:r w:rsidR="00003EAC" w:rsidRPr="0040239E">
        <w:t>10</w:t>
      </w:r>
      <w:r w:rsidRPr="000660BB">
        <w:t xml:space="preserve">-i jogalkotási állásfoglalása a menekültügy és a migráció kezeléséről, valamint a </w:t>
      </w:r>
      <w:r w:rsidRPr="0040239E">
        <w:t>2003</w:t>
      </w:r>
      <w:r w:rsidRPr="000660BB">
        <w:t>/</w:t>
      </w:r>
      <w:r w:rsidRPr="0040239E">
        <w:t>109</w:t>
      </w:r>
      <w:r w:rsidRPr="000660BB">
        <w:t>/EK tanácsi irányelv és az (EU) XXX/XXX rendeletre [Menekültügyi és Migrációs Alap] irányuló javaslat módosításáról szóló európai parlamenti és tanácsi rendeletre irányuló javaslatról</w:t>
      </w:r>
      <w:bookmarkEnd w:id="5"/>
      <w:r w:rsidRPr="000660BB">
        <w:t xml:space="preserve"> </w:t>
      </w:r>
      <w:bookmarkStart w:id="6" w:name="References"/>
      <w:r w:rsidRPr="000660BB">
        <w:t>(COM(</w:t>
      </w:r>
      <w:r w:rsidRPr="0040239E">
        <w:t>2020</w:t>
      </w:r>
      <w:r w:rsidRPr="000660BB">
        <w:t>)</w:t>
      </w:r>
      <w:r w:rsidRPr="0040239E">
        <w:t>0610</w:t>
      </w:r>
      <w:r w:rsidRPr="000660BB">
        <w:t xml:space="preserve"> – C</w:t>
      </w:r>
      <w:r w:rsidRPr="0040239E">
        <w:t>9</w:t>
      </w:r>
      <w:r w:rsidRPr="000660BB">
        <w:t>-</w:t>
      </w:r>
      <w:r w:rsidRPr="0040239E">
        <w:t>0309</w:t>
      </w:r>
      <w:r w:rsidRPr="000660BB">
        <w:t>/</w:t>
      </w:r>
      <w:r w:rsidRPr="0040239E">
        <w:t>2020</w:t>
      </w:r>
      <w:r w:rsidRPr="000660BB">
        <w:t xml:space="preserve"> – </w:t>
      </w:r>
      <w:r w:rsidRPr="0040239E">
        <w:t>2020</w:t>
      </w:r>
      <w:r w:rsidRPr="000660BB">
        <w:t>/</w:t>
      </w:r>
      <w:r w:rsidRPr="0040239E">
        <w:t>0279</w:t>
      </w:r>
      <w:r w:rsidRPr="000660BB">
        <w:t>(COD))</w:t>
      </w:r>
      <w:bookmarkEnd w:id="6"/>
    </w:p>
    <w:p w:rsidR="00711D0A" w:rsidRPr="000660BB" w:rsidRDefault="00711D0A" w:rsidP="00711D0A">
      <w:pPr>
        <w:pStyle w:val="NormalBold"/>
      </w:pPr>
      <w:bookmarkStart w:id="7" w:name="TextBodyBegin"/>
      <w:bookmarkEnd w:id="7"/>
      <w:r w:rsidRPr="000660BB">
        <w:t>(Rendes jogalkotási eljárás: első olvasat)</w:t>
      </w:r>
    </w:p>
    <w:p w:rsidR="00711D0A" w:rsidRPr="000660BB" w:rsidRDefault="00711D0A" w:rsidP="00711D0A">
      <w:pPr>
        <w:pStyle w:val="EPComma"/>
        <w:rPr>
          <w:i/>
        </w:rPr>
      </w:pPr>
      <w:r w:rsidRPr="000660BB">
        <w:rPr>
          <w:i/>
        </w:rPr>
        <w:t>Az Európai Parlament,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>tekintettel a Bizottság Parlamenthez és Tanácshoz intézett javaslatára (COM(</w:t>
      </w:r>
      <w:r w:rsidRPr="0040239E">
        <w:t>2020</w:t>
      </w:r>
      <w:r w:rsidRPr="000660BB">
        <w:t>)</w:t>
      </w:r>
      <w:r w:rsidRPr="0040239E">
        <w:t>0610</w:t>
      </w:r>
      <w:r w:rsidRPr="000660BB">
        <w:t>),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az Európai Unió működéséről szóló szerződés </w:t>
      </w:r>
      <w:r w:rsidRPr="0040239E">
        <w:t>294</w:t>
      </w:r>
      <w:r w:rsidRPr="000660BB">
        <w:t>. cikkének (</w:t>
      </w:r>
      <w:r w:rsidRPr="0040239E">
        <w:t>2</w:t>
      </w:r>
      <w:r w:rsidRPr="000660BB">
        <w:t xml:space="preserve">) bekezdésére és </w:t>
      </w:r>
      <w:r w:rsidRPr="0040239E">
        <w:t>78</w:t>
      </w:r>
      <w:r w:rsidRPr="000660BB">
        <w:t>. cikke (</w:t>
      </w:r>
      <w:r w:rsidRPr="0040239E">
        <w:t>2</w:t>
      </w:r>
      <w:r w:rsidRPr="000660BB">
        <w:t xml:space="preserve">) bekezdésének e) pontjára, valamint </w:t>
      </w:r>
      <w:r w:rsidRPr="0040239E">
        <w:t>79</w:t>
      </w:r>
      <w:r w:rsidRPr="000660BB">
        <w:t>. cikke (</w:t>
      </w:r>
      <w:r w:rsidRPr="0040239E">
        <w:t>2</w:t>
      </w:r>
      <w:r w:rsidRPr="000660BB">
        <w:t>) bekezdése a), b) és c) pontjára, amelyek alapján a Bizottság javaslatát benyújtotta a Parlamenthez (C</w:t>
      </w:r>
      <w:r w:rsidRPr="0040239E">
        <w:t>9</w:t>
      </w:r>
      <w:r w:rsidRPr="000660BB">
        <w:t>-</w:t>
      </w:r>
      <w:r w:rsidRPr="0040239E">
        <w:t>0309</w:t>
      </w:r>
      <w:r w:rsidRPr="000660BB">
        <w:t>/</w:t>
      </w:r>
      <w:r w:rsidRPr="0040239E">
        <w:t>2020</w:t>
      </w:r>
      <w:r w:rsidRPr="000660BB">
        <w:t>),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>tekintettel a Jogi Bizottságnak a javasolt jogalapra vonatkozó véleményére,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az Európai Unió működéséről szóló szerződés </w:t>
      </w:r>
      <w:r w:rsidRPr="0040239E">
        <w:t>294</w:t>
      </w:r>
      <w:r w:rsidRPr="000660BB">
        <w:t>. cikkének (</w:t>
      </w:r>
      <w:r w:rsidRPr="0040239E">
        <w:t>3</w:t>
      </w:r>
      <w:r w:rsidRPr="000660BB">
        <w:t>) bekezdésére,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az olasz szenátus, a magyar </w:t>
      </w:r>
      <w:r w:rsidR="00514219">
        <w:t>Országgyűlés</w:t>
      </w:r>
      <w:r w:rsidRPr="000660BB">
        <w:t xml:space="preserve"> és a szlovák parlament által a szubszidiaritás és az arányosság elvének alkalmazásáról szóló </w:t>
      </w:r>
      <w:r w:rsidRPr="0040239E">
        <w:t>2</w:t>
      </w:r>
      <w:r w:rsidRPr="000660BB">
        <w:t xml:space="preserve">. </w:t>
      </w:r>
      <w:r w:rsidR="00F05B8B" w:rsidRPr="000660BB">
        <w:t>j</w:t>
      </w:r>
      <w:r w:rsidRPr="000660BB">
        <w:t xml:space="preserve">egyzőkönyv alapján </w:t>
      </w:r>
      <w:r w:rsidR="00F05B8B" w:rsidRPr="000660BB">
        <w:t xml:space="preserve">benyújtott, </w:t>
      </w:r>
      <w:r w:rsidRPr="000660BB">
        <w:t xml:space="preserve">indokolt véleményekre, </w:t>
      </w:r>
      <w:r w:rsidR="00F05B8B" w:rsidRPr="000660BB">
        <w:t>a</w:t>
      </w:r>
      <w:r w:rsidRPr="000660BB">
        <w:t>melyek szerint a jogalkotási aktus tervezete nem egyeztethető össze a szubszidiaritás elvével,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az Európai Gazdasági és Szociális Bizottság </w:t>
      </w:r>
      <w:r w:rsidRPr="0040239E">
        <w:t>2021</w:t>
      </w:r>
      <w:r w:rsidRPr="000660BB">
        <w:t xml:space="preserve">. február </w:t>
      </w:r>
      <w:r w:rsidRPr="0040239E">
        <w:t>25</w:t>
      </w:r>
      <w:r w:rsidRPr="000660BB">
        <w:t>-i véleményére</w:t>
      </w:r>
      <w:r w:rsidRPr="000660BB">
        <w:rPr>
          <w:rStyle w:val="FootnoteReference"/>
        </w:rPr>
        <w:footnoteReference w:id="1"/>
      </w:r>
      <w:r w:rsidRPr="000660BB">
        <w:t>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a Régiók Bizottságának </w:t>
      </w:r>
      <w:r w:rsidRPr="0040239E">
        <w:t>2021</w:t>
      </w:r>
      <w:r w:rsidRPr="000660BB">
        <w:t xml:space="preserve">. március </w:t>
      </w:r>
      <w:r w:rsidRPr="0040239E">
        <w:t>19</w:t>
      </w:r>
      <w:r w:rsidRPr="000660BB">
        <w:t>-i véleményére</w:t>
      </w:r>
      <w:r w:rsidRPr="000660BB">
        <w:rPr>
          <w:rStyle w:val="FootnoteReference"/>
        </w:rPr>
        <w:footnoteReference w:id="2"/>
      </w:r>
      <w:r w:rsidRPr="000660BB">
        <w:t>,</w:t>
      </w:r>
    </w:p>
    <w:p w:rsidR="00003EAC" w:rsidRPr="000660BB" w:rsidRDefault="00003EAC" w:rsidP="00C64034">
      <w:pPr>
        <w:pStyle w:val="NormalHanging12a"/>
        <w:widowControl/>
      </w:pPr>
      <w:r w:rsidRPr="000660BB">
        <w:lastRenderedPageBreak/>
        <w:t>–</w:t>
      </w:r>
      <w:r w:rsidRPr="000660BB">
        <w:tab/>
        <w:t xml:space="preserve">tekintettel az illetékes bizottság által az eljárási szabályzat </w:t>
      </w:r>
      <w:r w:rsidRPr="0040239E">
        <w:t>74</w:t>
      </w:r>
      <w:r w:rsidRPr="000660BB">
        <w:t>. cikkének (</w:t>
      </w:r>
      <w:r w:rsidRPr="0040239E">
        <w:t>4</w:t>
      </w:r>
      <w:r w:rsidRPr="000660BB">
        <w:t xml:space="preserve">) bekezdése alapján jóváhagyott ideiglenes megállapodásra és a Tanács képviselőjének </w:t>
      </w:r>
      <w:r w:rsidRPr="0040239E">
        <w:t>2024</w:t>
      </w:r>
      <w:r w:rsidRPr="000660BB">
        <w:t xml:space="preserve">. február </w:t>
      </w:r>
      <w:r w:rsidRPr="0040239E">
        <w:t>8</w:t>
      </w:r>
      <w:r w:rsidRPr="000660BB">
        <w:t xml:space="preserve">-i írásbeli kötelezettségvállalására, amely szerint egyetért a Parlament álláspontjával, az Európai Unió működéséről szóló szerződés </w:t>
      </w:r>
      <w:r w:rsidRPr="0040239E">
        <w:t>294</w:t>
      </w:r>
      <w:r w:rsidRPr="000660BB">
        <w:t>. cikkének (</w:t>
      </w:r>
      <w:r w:rsidRPr="0040239E">
        <w:t>4</w:t>
      </w:r>
      <w:r w:rsidRPr="000660BB">
        <w:t>) bekezdésével összhangban,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 xml:space="preserve">tekintettel eljárási szabályzata </w:t>
      </w:r>
      <w:r w:rsidRPr="0040239E">
        <w:t>59</w:t>
      </w:r>
      <w:r w:rsidRPr="000660BB">
        <w:t xml:space="preserve">. és </w:t>
      </w:r>
      <w:r w:rsidRPr="0040239E">
        <w:t>40</w:t>
      </w:r>
      <w:r w:rsidRPr="000660BB">
        <w:t>. cikkére,</w:t>
      </w:r>
    </w:p>
    <w:p w:rsidR="00711D0A" w:rsidRPr="000660BB" w:rsidRDefault="00711D0A" w:rsidP="00C64034">
      <w:pPr>
        <w:pStyle w:val="NormalHanging12a"/>
        <w:widowControl/>
      </w:pPr>
      <w:r w:rsidRPr="000660BB">
        <w:t>–</w:t>
      </w:r>
      <w:r w:rsidRPr="000660BB">
        <w:tab/>
        <w:t>tekintettel az Állampolgári Jogi, Bel- és Igazságügyi Bizottság jelentésére (A</w:t>
      </w:r>
      <w:r w:rsidRPr="0040239E">
        <w:t>9</w:t>
      </w:r>
      <w:r w:rsidRPr="000660BB">
        <w:t>–</w:t>
      </w:r>
      <w:r w:rsidRPr="0040239E">
        <w:t>0152</w:t>
      </w:r>
      <w:r w:rsidRPr="000660BB">
        <w:t>/</w:t>
      </w:r>
      <w:r w:rsidRPr="0040239E">
        <w:t>2023</w:t>
      </w:r>
      <w:r w:rsidRPr="000660BB">
        <w:t>),</w:t>
      </w:r>
    </w:p>
    <w:p w:rsidR="00711D0A" w:rsidRPr="000660BB" w:rsidRDefault="00711D0A" w:rsidP="00C64034">
      <w:pPr>
        <w:pStyle w:val="NormalHanging12a"/>
        <w:widowControl/>
      </w:pPr>
      <w:r w:rsidRPr="0040239E">
        <w:t>1</w:t>
      </w:r>
      <w:r w:rsidRPr="000660BB">
        <w:t>.</w:t>
      </w:r>
      <w:r w:rsidRPr="000660BB">
        <w:tab/>
        <w:t>elfogadja első olvasatban az alábbi álláspontot;</w:t>
      </w:r>
    </w:p>
    <w:p w:rsidR="00711D0A" w:rsidRPr="000660BB" w:rsidRDefault="00711D0A" w:rsidP="00C64034">
      <w:pPr>
        <w:pStyle w:val="NormalHanging12a"/>
        <w:widowControl/>
      </w:pPr>
      <w:r w:rsidRPr="0040239E">
        <w:t>2</w:t>
      </w:r>
      <w:r w:rsidRPr="000660BB">
        <w:t>.</w:t>
      </w:r>
      <w:r w:rsidRPr="000660BB">
        <w:tab/>
        <w:t>felkéri a Bizottságot, hogy utalja az ügyet újból a Parlamenthez, ha javaslatát másik szöveggel váltja fel, lényegesen módosítja vagy lényegesen módosítani kívánja;</w:t>
      </w:r>
    </w:p>
    <w:p w:rsidR="00711D0A" w:rsidRPr="000660BB" w:rsidRDefault="00711D0A" w:rsidP="00C64034">
      <w:pPr>
        <w:pStyle w:val="NormalHanging12a"/>
        <w:widowControl/>
      </w:pPr>
      <w:r w:rsidRPr="0040239E">
        <w:t>3</w:t>
      </w:r>
      <w:r w:rsidRPr="000660BB">
        <w:t>.</w:t>
      </w:r>
      <w:r w:rsidRPr="000660BB">
        <w:tab/>
        <w:t>utasítja elnökét, hogy továbbítsa a Parlament álláspontját a Tanácsnak és a Bizottságnak, valamint a nemzeti parlamenteknek.</w:t>
      </w:r>
    </w:p>
    <w:p w:rsidR="008A091F" w:rsidRPr="000660BB" w:rsidRDefault="008A091F" w:rsidP="00711D0A">
      <w:pPr>
        <w:sectPr w:rsidR="008A091F" w:rsidRPr="000660BB" w:rsidSect="00AE10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A091F" w:rsidRPr="000660BB" w:rsidRDefault="008A091F" w:rsidP="008A091F">
      <w:pPr>
        <w:pStyle w:val="AMNumberTabs0"/>
        <w:keepNext/>
        <w:spacing w:after="240"/>
        <w:rPr>
          <w:bCs/>
        </w:rPr>
      </w:pPr>
      <w:r w:rsidRPr="000660BB">
        <w:rPr>
          <w:bCs/>
        </w:rPr>
        <w:lastRenderedPageBreak/>
        <w:t>P</w:t>
      </w:r>
      <w:r w:rsidRPr="0040239E">
        <w:rPr>
          <w:bCs/>
        </w:rPr>
        <w:t>9</w:t>
      </w:r>
      <w:r w:rsidRPr="000660BB">
        <w:rPr>
          <w:bCs/>
        </w:rPr>
        <w:t>_TC</w:t>
      </w:r>
      <w:r w:rsidRPr="0040239E">
        <w:rPr>
          <w:bCs/>
        </w:rPr>
        <w:t>1</w:t>
      </w:r>
      <w:r w:rsidRPr="000660BB">
        <w:rPr>
          <w:bCs/>
        </w:rPr>
        <w:t>-COD(</w:t>
      </w:r>
      <w:r w:rsidRPr="0040239E">
        <w:rPr>
          <w:bCs/>
        </w:rPr>
        <w:t>2020</w:t>
      </w:r>
      <w:r w:rsidRPr="000660BB">
        <w:rPr>
          <w:bCs/>
        </w:rPr>
        <w:t>)</w:t>
      </w:r>
      <w:r w:rsidRPr="0040239E">
        <w:rPr>
          <w:bCs/>
        </w:rPr>
        <w:t>0279</w:t>
      </w:r>
    </w:p>
    <w:p w:rsidR="008A091F" w:rsidRPr="000660BB" w:rsidRDefault="008A091F" w:rsidP="008A091F">
      <w:pPr>
        <w:pStyle w:val="AMNumberTabs0"/>
        <w:keepNext/>
        <w:spacing w:after="240"/>
      </w:pPr>
      <w:r w:rsidRPr="000660BB">
        <w:t xml:space="preserve">Az Európai Parlament álláspontja, amely első olvasatban </w:t>
      </w:r>
      <w:r w:rsidRPr="0040239E">
        <w:t>2024</w:t>
      </w:r>
      <w:r w:rsidRPr="000660BB">
        <w:t xml:space="preserve">. április </w:t>
      </w:r>
      <w:r w:rsidRPr="0040239E">
        <w:t>10</w:t>
      </w:r>
      <w:r w:rsidRPr="000660BB">
        <w:t xml:space="preserve">-én került elfogadásra </w:t>
      </w:r>
      <w:r w:rsidR="00B6587E" w:rsidRPr="00B6587E">
        <w:rPr>
          <w:rFonts w:eastAsia="Calibri"/>
          <w:szCs w:val="22"/>
          <w:lang w:eastAsia="en-US"/>
        </w:rPr>
        <w:t>a menekültügy és a migráció kezeléséről, az (EU) 2021/1147 és az (EU) 2021/1060 rendelet módosításáról, valamint a 604/2013/EU rendelet hatályon kívül helyezéséről</w:t>
      </w:r>
      <w:r w:rsidR="00B6587E">
        <w:rPr>
          <w:rFonts w:eastAsia="Calibri"/>
          <w:szCs w:val="22"/>
          <w:lang w:eastAsia="en-US"/>
        </w:rPr>
        <w:t xml:space="preserve"> s</w:t>
      </w:r>
      <w:r w:rsidRPr="000660BB">
        <w:t xml:space="preserve">zóló (EU) </w:t>
      </w:r>
      <w:r w:rsidRPr="0040239E">
        <w:t>2024</w:t>
      </w:r>
      <w:r w:rsidRPr="000660BB">
        <w:t xml:space="preserve">/... európai parlamenti és tanácsi </w:t>
      </w:r>
      <w:r w:rsidR="00F05B8B" w:rsidRPr="000660BB">
        <w:t xml:space="preserve">rendelet </w:t>
      </w:r>
      <w:r w:rsidRPr="000660BB">
        <w:t>elfogadására tekintettel</w:t>
      </w:r>
    </w:p>
    <w:p w:rsidR="00B6587E" w:rsidRPr="00D753C3" w:rsidRDefault="00B6587E" w:rsidP="00B6587E">
      <w:pPr>
        <w:widowControl/>
        <w:autoSpaceDE w:val="0"/>
        <w:autoSpaceDN w:val="0"/>
        <w:adjustRightInd w:val="0"/>
        <w:spacing w:before="120" w:after="120"/>
        <w:rPr>
          <w:i/>
        </w:rPr>
      </w:pPr>
      <w:bookmarkStart w:id="8" w:name="_GoBack"/>
      <w:bookmarkEnd w:id="8"/>
      <w:r w:rsidRPr="00B82D9F">
        <w:rPr>
          <w:i/>
        </w:rPr>
        <w:t>(</w:t>
      </w:r>
      <w:r w:rsidRPr="001E73FB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135</w:t>
      </w:r>
      <w:r>
        <w:rPr>
          <w:i/>
        </w:rPr>
        <w:t>1</w:t>
      </w:r>
      <w:r w:rsidRPr="001E73FB">
        <w:rPr>
          <w:i/>
        </w:rPr>
        <w:t xml:space="preserve"> </w:t>
      </w:r>
      <w:r>
        <w:rPr>
          <w:i/>
        </w:rPr>
        <w:t>rendelettel.</w:t>
      </w:r>
      <w:r w:rsidRPr="001E73FB">
        <w:rPr>
          <w:i/>
        </w:rPr>
        <w:t>)</w:t>
      </w:r>
    </w:p>
    <w:sectPr w:rsidR="00B6587E" w:rsidRPr="00D753C3" w:rsidSect="00AE104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892" w:rsidRPr="00AE1048" w:rsidRDefault="00E46892">
      <w:r w:rsidRPr="00AE1048">
        <w:separator/>
      </w:r>
    </w:p>
  </w:endnote>
  <w:endnote w:type="continuationSeparator" w:id="0">
    <w:p w:rsidR="00E46892" w:rsidRPr="00AE1048" w:rsidRDefault="00E46892">
      <w:r w:rsidRPr="00AE10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892" w:rsidRPr="00AE1048" w:rsidRDefault="00E46892">
      <w:r w:rsidRPr="00AE1048">
        <w:separator/>
      </w:r>
    </w:p>
  </w:footnote>
  <w:footnote w:type="continuationSeparator" w:id="0">
    <w:p w:rsidR="00E46892" w:rsidRPr="00AE1048" w:rsidRDefault="00E46892">
      <w:r w:rsidRPr="00AE1048">
        <w:continuationSeparator/>
      </w:r>
    </w:p>
  </w:footnote>
  <w:footnote w:id="1">
    <w:p w:rsidR="00E46892" w:rsidRPr="00AE1048" w:rsidRDefault="00E46892" w:rsidP="00AE1048">
      <w:pPr>
        <w:pStyle w:val="FootnoteText"/>
        <w:ind w:left="567" w:hanging="567"/>
        <w:rPr>
          <w:sz w:val="24"/>
          <w:lang w:val="hu-HU"/>
        </w:rPr>
      </w:pPr>
      <w:r w:rsidRPr="00AE1048">
        <w:rPr>
          <w:rStyle w:val="FootnoteReference"/>
          <w:sz w:val="24"/>
          <w:lang w:val="hu-HU"/>
        </w:rPr>
        <w:footnoteRef/>
      </w:r>
      <w:r w:rsidRPr="00AE1048">
        <w:rPr>
          <w:sz w:val="24"/>
          <w:lang w:val="hu-HU"/>
        </w:rPr>
        <w:t xml:space="preserve"> </w:t>
      </w:r>
      <w:r w:rsidRPr="00AE1048">
        <w:rPr>
          <w:sz w:val="24"/>
          <w:lang w:val="hu-HU"/>
        </w:rPr>
        <w:tab/>
        <w:t xml:space="preserve">HL C </w:t>
      </w:r>
      <w:r w:rsidRPr="0040239E">
        <w:rPr>
          <w:sz w:val="24"/>
          <w:lang w:val="hu-HU"/>
        </w:rPr>
        <w:t>155</w:t>
      </w:r>
      <w:r w:rsidRPr="00AE1048">
        <w:rPr>
          <w:sz w:val="24"/>
          <w:lang w:val="hu-HU"/>
        </w:rPr>
        <w:t xml:space="preserve">., </w:t>
      </w:r>
      <w:r w:rsidRPr="0040239E">
        <w:rPr>
          <w:sz w:val="24"/>
          <w:lang w:val="hu-HU"/>
        </w:rPr>
        <w:t>2021</w:t>
      </w:r>
      <w:r w:rsidRPr="00AE1048">
        <w:rPr>
          <w:sz w:val="24"/>
          <w:lang w:val="hu-HU"/>
        </w:rPr>
        <w:t>.</w:t>
      </w:r>
      <w:r w:rsidRPr="0040239E">
        <w:rPr>
          <w:sz w:val="24"/>
          <w:lang w:val="hu-HU"/>
        </w:rPr>
        <w:t>4</w:t>
      </w:r>
      <w:r w:rsidRPr="00AE1048">
        <w:rPr>
          <w:sz w:val="24"/>
          <w:lang w:val="hu-HU"/>
        </w:rPr>
        <w:t>.</w:t>
      </w:r>
      <w:r w:rsidRPr="0040239E">
        <w:rPr>
          <w:sz w:val="24"/>
          <w:lang w:val="hu-HU"/>
        </w:rPr>
        <w:t>30</w:t>
      </w:r>
      <w:r w:rsidRPr="00AE1048">
        <w:rPr>
          <w:sz w:val="24"/>
          <w:lang w:val="hu-HU"/>
        </w:rPr>
        <w:t xml:space="preserve">., </w:t>
      </w:r>
      <w:r w:rsidRPr="0040239E">
        <w:rPr>
          <w:sz w:val="24"/>
          <w:lang w:val="hu-HU"/>
        </w:rPr>
        <w:t>58</w:t>
      </w:r>
      <w:r w:rsidRPr="00AE1048">
        <w:rPr>
          <w:sz w:val="24"/>
          <w:lang w:val="hu-HU"/>
        </w:rPr>
        <w:t>. o.</w:t>
      </w:r>
    </w:p>
  </w:footnote>
  <w:footnote w:id="2">
    <w:p w:rsidR="00E46892" w:rsidRPr="00AE1048" w:rsidRDefault="00E46892" w:rsidP="00AE1048">
      <w:pPr>
        <w:pStyle w:val="FootnoteText"/>
        <w:ind w:left="567" w:hanging="567"/>
        <w:rPr>
          <w:sz w:val="24"/>
          <w:lang w:val="hu-HU"/>
        </w:rPr>
      </w:pPr>
      <w:r w:rsidRPr="00AE1048">
        <w:rPr>
          <w:rStyle w:val="FootnoteReference"/>
          <w:sz w:val="24"/>
          <w:lang w:val="hu-HU"/>
        </w:rPr>
        <w:footnoteRef/>
      </w:r>
      <w:r w:rsidRPr="00AE1048">
        <w:rPr>
          <w:sz w:val="24"/>
          <w:lang w:val="hu-HU"/>
        </w:rPr>
        <w:t xml:space="preserve"> </w:t>
      </w:r>
      <w:r w:rsidRPr="00AE1048">
        <w:rPr>
          <w:sz w:val="24"/>
          <w:lang w:val="hu-HU"/>
        </w:rPr>
        <w:tab/>
        <w:t xml:space="preserve">HL C </w:t>
      </w:r>
      <w:r w:rsidRPr="0040239E">
        <w:rPr>
          <w:sz w:val="24"/>
          <w:lang w:val="hu-HU"/>
        </w:rPr>
        <w:t>175</w:t>
      </w:r>
      <w:r w:rsidRPr="00AE1048">
        <w:rPr>
          <w:sz w:val="24"/>
          <w:lang w:val="hu-HU"/>
        </w:rPr>
        <w:t xml:space="preserve">., </w:t>
      </w:r>
      <w:r w:rsidRPr="0040239E">
        <w:rPr>
          <w:sz w:val="24"/>
          <w:lang w:val="hu-HU"/>
        </w:rPr>
        <w:t>2021</w:t>
      </w:r>
      <w:r w:rsidRPr="00AE1048">
        <w:rPr>
          <w:sz w:val="24"/>
          <w:lang w:val="hu-HU"/>
        </w:rPr>
        <w:t>.</w:t>
      </w:r>
      <w:r w:rsidRPr="0040239E">
        <w:rPr>
          <w:sz w:val="24"/>
          <w:lang w:val="hu-HU"/>
        </w:rPr>
        <w:t>5</w:t>
      </w:r>
      <w:r w:rsidRPr="00AE1048">
        <w:rPr>
          <w:sz w:val="24"/>
          <w:lang w:val="hu-HU"/>
        </w:rPr>
        <w:t>.</w:t>
      </w:r>
      <w:r w:rsidRPr="0040239E">
        <w:rPr>
          <w:sz w:val="24"/>
          <w:lang w:val="hu-HU"/>
        </w:rPr>
        <w:t>7</w:t>
      </w:r>
      <w:r w:rsidRPr="00AE1048">
        <w:rPr>
          <w:sz w:val="24"/>
          <w:lang w:val="hu-HU"/>
        </w:rPr>
        <w:t xml:space="preserve">., </w:t>
      </w:r>
      <w:r w:rsidRPr="0040239E">
        <w:rPr>
          <w:sz w:val="24"/>
          <w:lang w:val="hu-HU"/>
        </w:rPr>
        <w:t>32</w:t>
      </w:r>
      <w:r w:rsidRPr="00AE1048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92" w:rsidRPr="00AE1048" w:rsidRDefault="00E468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 w:frame="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 w:frame="1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 w:frame="1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 w:frame="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 w:frame="1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 w:frame="1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 w:frame="1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HU"/>
    <w:docVar w:name="dvnumam" w:val="472"/>
    <w:docVar w:name="dvpe" w:val="698.950"/>
    <w:docVar w:name="dvrapporteur" w:val="Előadó: "/>
    <w:docVar w:name="dvstar" w:val="***I"/>
    <w:docVar w:name="dvtitre" w:val="Az Európai Parlament 2024.  ...-i jogalkotási állásfoglalása a menekültügy és a migráció kezeléséről, valamint a 2003/109/EK tanácsi irányelv és az (EU) XXX/XXX rendeletre [Menekültügyi és Migrációs Alap] irányuló javaslat módosításáról szóló európai parlamenti és tanácsi rendeletre irányuló javaslatról(COM(2020)0610 – C9-0309/2020 – 2020/0279(COD))"/>
  </w:docVars>
  <w:rsids>
    <w:rsidRoot w:val="00B94B37"/>
    <w:rsid w:val="00002272"/>
    <w:rsid w:val="00003EAC"/>
    <w:rsid w:val="00064002"/>
    <w:rsid w:val="000660BB"/>
    <w:rsid w:val="000677B9"/>
    <w:rsid w:val="000831BA"/>
    <w:rsid w:val="000A42CC"/>
    <w:rsid w:val="000E7DD9"/>
    <w:rsid w:val="0010095E"/>
    <w:rsid w:val="00125B37"/>
    <w:rsid w:val="00187494"/>
    <w:rsid w:val="001E10E5"/>
    <w:rsid w:val="001F32AE"/>
    <w:rsid w:val="002438BB"/>
    <w:rsid w:val="002767FF"/>
    <w:rsid w:val="002B18FE"/>
    <w:rsid w:val="002B5493"/>
    <w:rsid w:val="00343214"/>
    <w:rsid w:val="00361C00"/>
    <w:rsid w:val="00374930"/>
    <w:rsid w:val="00395FA1"/>
    <w:rsid w:val="003E15D4"/>
    <w:rsid w:val="0040239E"/>
    <w:rsid w:val="00411CCE"/>
    <w:rsid w:val="0041666E"/>
    <w:rsid w:val="00421060"/>
    <w:rsid w:val="00433DD1"/>
    <w:rsid w:val="00471C19"/>
    <w:rsid w:val="004867E3"/>
    <w:rsid w:val="00494A28"/>
    <w:rsid w:val="004C0004"/>
    <w:rsid w:val="004C5D52"/>
    <w:rsid w:val="0050519A"/>
    <w:rsid w:val="005072A1"/>
    <w:rsid w:val="00514219"/>
    <w:rsid w:val="00514517"/>
    <w:rsid w:val="00545827"/>
    <w:rsid w:val="00560270"/>
    <w:rsid w:val="005C2568"/>
    <w:rsid w:val="006037C0"/>
    <w:rsid w:val="006631B6"/>
    <w:rsid w:val="00680577"/>
    <w:rsid w:val="006F74FA"/>
    <w:rsid w:val="00711D0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91F"/>
    <w:rsid w:val="008B6404"/>
    <w:rsid w:val="008C2AC6"/>
    <w:rsid w:val="00930C23"/>
    <w:rsid w:val="0093193B"/>
    <w:rsid w:val="009509D8"/>
    <w:rsid w:val="00950B64"/>
    <w:rsid w:val="00981893"/>
    <w:rsid w:val="009D05F6"/>
    <w:rsid w:val="009D697B"/>
    <w:rsid w:val="00A1687D"/>
    <w:rsid w:val="00A43E52"/>
    <w:rsid w:val="00A4678D"/>
    <w:rsid w:val="00A778C7"/>
    <w:rsid w:val="00AB441E"/>
    <w:rsid w:val="00AB6293"/>
    <w:rsid w:val="00AE0928"/>
    <w:rsid w:val="00AE1048"/>
    <w:rsid w:val="00AF3B82"/>
    <w:rsid w:val="00B12E95"/>
    <w:rsid w:val="00B22876"/>
    <w:rsid w:val="00B558F0"/>
    <w:rsid w:val="00B6587E"/>
    <w:rsid w:val="00B94B37"/>
    <w:rsid w:val="00BD48FE"/>
    <w:rsid w:val="00BD7BD8"/>
    <w:rsid w:val="00BE6ADC"/>
    <w:rsid w:val="00C05BFE"/>
    <w:rsid w:val="00C23CD4"/>
    <w:rsid w:val="00C61C0C"/>
    <w:rsid w:val="00C64034"/>
    <w:rsid w:val="00C941CB"/>
    <w:rsid w:val="00CC2357"/>
    <w:rsid w:val="00CF071A"/>
    <w:rsid w:val="00D058B8"/>
    <w:rsid w:val="00D07C59"/>
    <w:rsid w:val="00D56C11"/>
    <w:rsid w:val="00D834A0"/>
    <w:rsid w:val="00D872DF"/>
    <w:rsid w:val="00D91E21"/>
    <w:rsid w:val="00DA7FCD"/>
    <w:rsid w:val="00E365E1"/>
    <w:rsid w:val="00E46892"/>
    <w:rsid w:val="00E820A4"/>
    <w:rsid w:val="00EB006A"/>
    <w:rsid w:val="00EB4772"/>
    <w:rsid w:val="00ED169E"/>
    <w:rsid w:val="00ED4235"/>
    <w:rsid w:val="00F04346"/>
    <w:rsid w:val="00F05B8B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BA119"/>
  <w15:chartTrackingRefBased/>
  <w15:docId w15:val="{43731F32-B2D6-4F5B-A59C-FA37943C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11D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D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D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D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D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D0A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D0A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711D0A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711D0A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711D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1D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1D0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1D0A"/>
    <w:pPr>
      <w:spacing w:after="120"/>
    </w:pPr>
  </w:style>
  <w:style w:type="paragraph" w:customStyle="1" w:styleId="PageHeading">
    <w:name w:val="PageHeading"/>
    <w:basedOn w:val="Normal"/>
    <w:rsid w:val="00711D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1D0A"/>
    <w:rPr>
      <w:b/>
    </w:rPr>
  </w:style>
  <w:style w:type="paragraph" w:customStyle="1" w:styleId="NormalBold12a">
    <w:name w:val="NormalBold12a"/>
    <w:basedOn w:val="Normal"/>
    <w:rsid w:val="00711D0A"/>
    <w:pPr>
      <w:spacing w:after="240"/>
    </w:pPr>
    <w:rPr>
      <w:b/>
    </w:rPr>
  </w:style>
  <w:style w:type="paragraph" w:customStyle="1" w:styleId="AmJustText">
    <w:name w:val="AmJustText"/>
    <w:basedOn w:val="Normal"/>
    <w:rsid w:val="00711D0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1D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1D0A"/>
    <w:pPr>
      <w:spacing w:after="480"/>
      <w:ind w:left="1417"/>
    </w:pPr>
  </w:style>
  <w:style w:type="paragraph" w:customStyle="1" w:styleId="CoverNormal">
    <w:name w:val="CoverNormal"/>
    <w:basedOn w:val="Normal"/>
    <w:rsid w:val="00711D0A"/>
    <w:pPr>
      <w:ind w:left="1418"/>
    </w:pPr>
  </w:style>
  <w:style w:type="paragraph" w:customStyle="1" w:styleId="AmCrossRef">
    <w:name w:val="AmCrossRef"/>
    <w:basedOn w:val="Normal"/>
    <w:rsid w:val="00711D0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1D0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1D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1D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1D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1D0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11D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D0A"/>
    <w:rPr>
      <w:sz w:val="24"/>
      <w:lang w:val="hu-HU"/>
    </w:rPr>
  </w:style>
  <w:style w:type="paragraph" w:customStyle="1" w:styleId="AmOrLang">
    <w:name w:val="AmOrLang"/>
    <w:basedOn w:val="Normal"/>
    <w:rsid w:val="00711D0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1D0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1D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1D0A"/>
    <w:pPr>
      <w:spacing w:before="240"/>
    </w:pPr>
    <w:rPr>
      <w:b/>
    </w:rPr>
  </w:style>
  <w:style w:type="paragraph" w:customStyle="1" w:styleId="EPBody">
    <w:name w:val="EPBody"/>
    <w:basedOn w:val="Normal"/>
    <w:rsid w:val="00711D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1D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1D0A"/>
    <w:pPr>
      <w:spacing w:before="480" w:after="240"/>
    </w:pPr>
  </w:style>
  <w:style w:type="paragraph" w:customStyle="1" w:styleId="Lgendesigne">
    <w:name w:val="Légende signe"/>
    <w:basedOn w:val="Normal"/>
    <w:rsid w:val="00711D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1D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1D0A"/>
    <w:rPr>
      <w:sz w:val="18"/>
    </w:rPr>
  </w:style>
  <w:style w:type="paragraph" w:customStyle="1" w:styleId="msonormal0">
    <w:name w:val="msonormal"/>
    <w:basedOn w:val="Normal"/>
    <w:rsid w:val="00711D0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11D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D0A"/>
    <w:rPr>
      <w:sz w:val="24"/>
      <w:lang w:val="hu-HU"/>
    </w:rPr>
  </w:style>
  <w:style w:type="paragraph" w:customStyle="1" w:styleId="CoverBold">
    <w:name w:val="CoverBold"/>
    <w:basedOn w:val="Normal"/>
    <w:rsid w:val="00711D0A"/>
    <w:pPr>
      <w:ind w:left="1417"/>
    </w:pPr>
    <w:rPr>
      <w:b/>
    </w:rPr>
  </w:style>
  <w:style w:type="paragraph" w:customStyle="1" w:styleId="Normal2">
    <w:name w:val="Normal2"/>
    <w:basedOn w:val="Normal"/>
    <w:qFormat/>
    <w:rsid w:val="00711D0A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11D0A"/>
    <w:rPr>
      <w:i/>
    </w:rPr>
  </w:style>
  <w:style w:type="paragraph" w:customStyle="1" w:styleId="NormalBoldItalic6a">
    <w:name w:val="NormalBoldItalic6a"/>
    <w:basedOn w:val="Normal6a"/>
    <w:qFormat/>
    <w:rsid w:val="00711D0A"/>
    <w:rPr>
      <w:b/>
      <w:i/>
    </w:rPr>
  </w:style>
  <w:style w:type="paragraph" w:customStyle="1" w:styleId="NormalBoldItalicCenter6a">
    <w:name w:val="NormalBoldItalicCenter6a"/>
    <w:basedOn w:val="Normal6a"/>
    <w:qFormat/>
    <w:rsid w:val="00711D0A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11D0A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hu-HU"/>
    </w:rPr>
  </w:style>
  <w:style w:type="paragraph" w:customStyle="1" w:styleId="EPFooterLandscape">
    <w:name w:val="EPFooterLandscape"/>
    <w:qFormat/>
    <w:rsid w:val="00711D0A"/>
    <w:pPr>
      <w:tabs>
        <w:tab w:val="center" w:pos="6804"/>
        <w:tab w:val="right" w:pos="15026"/>
      </w:tabs>
    </w:pPr>
    <w:rPr>
      <w:sz w:val="22"/>
      <w:lang w:val="hu-HU"/>
    </w:rPr>
  </w:style>
  <w:style w:type="character" w:customStyle="1" w:styleId="NormalBI">
    <w:name w:val="NormalBI"/>
    <w:basedOn w:val="DefaultParagraphFont"/>
    <w:uiPriority w:val="1"/>
    <w:qFormat/>
    <w:rsid w:val="00711D0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11D0A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11D0A"/>
    <w:rPr>
      <w:b/>
      <w:bCs w:val="0"/>
    </w:rPr>
  </w:style>
  <w:style w:type="character" w:customStyle="1" w:styleId="Italic">
    <w:name w:val="Italic"/>
    <w:uiPriority w:val="1"/>
    <w:qFormat/>
    <w:rsid w:val="00711D0A"/>
    <w:rPr>
      <w:i/>
      <w:iCs w:val="0"/>
    </w:rPr>
  </w:style>
  <w:style w:type="character" w:customStyle="1" w:styleId="BoldItalic">
    <w:name w:val="BoldItalic"/>
    <w:uiPriority w:val="1"/>
    <w:qFormat/>
    <w:rsid w:val="00711D0A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11D0A"/>
    <w:rPr>
      <w:u w:val="single"/>
    </w:rPr>
  </w:style>
  <w:style w:type="character" w:customStyle="1" w:styleId="Sub">
    <w:name w:val="Sub"/>
    <w:uiPriority w:val="1"/>
    <w:qFormat/>
    <w:rsid w:val="00711D0A"/>
    <w:rPr>
      <w:vertAlign w:val="subscript"/>
    </w:rPr>
  </w:style>
  <w:style w:type="character" w:customStyle="1" w:styleId="Sup">
    <w:name w:val="Sup"/>
    <w:uiPriority w:val="1"/>
    <w:qFormat/>
    <w:rsid w:val="00711D0A"/>
    <w:rPr>
      <w:vertAlign w:val="superscript"/>
    </w:rPr>
  </w:style>
  <w:style w:type="character" w:customStyle="1" w:styleId="SupBoldItalic">
    <w:name w:val="SupBoldItalic"/>
    <w:uiPriority w:val="1"/>
    <w:qFormat/>
    <w:rsid w:val="00711D0A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11D0A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711D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11D0A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711D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1D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1D0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11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11D0A"/>
    <w:rPr>
      <w:b/>
      <w:bCs/>
      <w:lang w:val="hu-HU"/>
    </w:rPr>
  </w:style>
  <w:style w:type="paragraph" w:customStyle="1" w:styleId="EntPE">
    <w:name w:val="EntPE"/>
    <w:basedOn w:val="Normal12"/>
    <w:rsid w:val="00711D0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11D0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11D0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11D0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11D0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711D0A"/>
    <w:rPr>
      <w:noProof/>
      <w:sz w:val="24"/>
      <w:lang w:val="hu-HU"/>
    </w:rPr>
  </w:style>
  <w:style w:type="paragraph" w:customStyle="1" w:styleId="PELeft">
    <w:name w:val="PELeft"/>
    <w:basedOn w:val="Normal"/>
    <w:rsid w:val="00711D0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11D0A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11D0A"/>
    <w:pPr>
      <w:spacing w:after="120"/>
    </w:pPr>
  </w:style>
  <w:style w:type="paragraph" w:customStyle="1" w:styleId="Normal12Italic">
    <w:name w:val="Normal12Italic"/>
    <w:basedOn w:val="Normal12"/>
    <w:rsid w:val="00711D0A"/>
    <w:rPr>
      <w:i/>
    </w:rPr>
  </w:style>
  <w:style w:type="character" w:customStyle="1" w:styleId="NormalBoldChar">
    <w:name w:val="NormalBold Char"/>
    <w:link w:val="NormalBold"/>
    <w:rsid w:val="00711D0A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12"/>
    <w:rsid w:val="00711D0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11D0A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711D0A"/>
    <w:rPr>
      <w:sz w:val="24"/>
      <w:lang w:val="hu-HU"/>
    </w:rPr>
  </w:style>
  <w:style w:type="paragraph" w:customStyle="1" w:styleId="ColumnHeading">
    <w:name w:val="ColumnHeading"/>
    <w:basedOn w:val="Normal"/>
    <w:rsid w:val="00711D0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11D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11D0A"/>
    <w:pPr>
      <w:spacing w:before="240"/>
      <w:jc w:val="center"/>
    </w:pPr>
    <w:rPr>
      <w:i/>
    </w:rPr>
  </w:style>
  <w:style w:type="character" w:customStyle="1" w:styleId="Footer2Middle">
    <w:name w:val="Footer2Middle"/>
    <w:rsid w:val="00711D0A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711D0A"/>
    <w:pPr>
      <w:spacing w:after="240"/>
    </w:pPr>
  </w:style>
  <w:style w:type="paragraph" w:customStyle="1" w:styleId="RollCallVotes">
    <w:name w:val="RollCallVotes"/>
    <w:basedOn w:val="Normal"/>
    <w:rsid w:val="00711D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11D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11D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11D0A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711D0A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711D0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11D0A"/>
    <w:rPr>
      <w:sz w:val="24"/>
      <w:lang w:val="hu-HU"/>
    </w:rPr>
  </w:style>
  <w:style w:type="paragraph" w:customStyle="1" w:styleId="LetterSalutation">
    <w:name w:val="LetterSalutation"/>
    <w:basedOn w:val="Normal"/>
    <w:rsid w:val="00711D0A"/>
    <w:pPr>
      <w:spacing w:before="600" w:after="360"/>
    </w:pPr>
  </w:style>
  <w:style w:type="numbering" w:customStyle="1" w:styleId="NoList1">
    <w:name w:val="No List1"/>
    <w:next w:val="NoList"/>
    <w:uiPriority w:val="99"/>
    <w:semiHidden/>
    <w:unhideWhenUsed/>
    <w:rsid w:val="001E10E5"/>
  </w:style>
  <w:style w:type="character" w:customStyle="1" w:styleId="Hyperlink1">
    <w:name w:val="Hyperlink1"/>
    <w:basedOn w:val="DefaultParagraphFont"/>
    <w:uiPriority w:val="99"/>
    <w:semiHidden/>
    <w:unhideWhenUsed/>
    <w:rsid w:val="001E10E5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E10E5"/>
    <w:rPr>
      <w:color w:val="954F72"/>
      <w:u w:val="single"/>
    </w:rPr>
  </w:style>
  <w:style w:type="paragraph" w:customStyle="1" w:styleId="Text1">
    <w:name w:val="Text 1"/>
    <w:basedOn w:val="Normal"/>
    <w:rsid w:val="001E10E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E10E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E10E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E10E5"/>
    <w:rPr>
      <w:rFonts w:eastAsia="Calibri"/>
      <w:lang w:val="hu-HU" w:eastAsia="en-US"/>
    </w:rPr>
  </w:style>
  <w:style w:type="paragraph" w:styleId="ListNumber2">
    <w:name w:val="List Number 2"/>
    <w:basedOn w:val="Normal"/>
    <w:unhideWhenUsed/>
    <w:rsid w:val="001E10E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Revision">
    <w:name w:val="Revision"/>
    <w:uiPriority w:val="99"/>
    <w:semiHidden/>
    <w:rsid w:val="001E10E5"/>
    <w:rPr>
      <w:rFonts w:eastAsia="Calibri"/>
      <w:sz w:val="24"/>
      <w:szCs w:val="22"/>
      <w:lang w:val="hu-HU" w:eastAsia="en-US"/>
    </w:rPr>
  </w:style>
  <w:style w:type="paragraph" w:customStyle="1" w:styleId="HeaderLandscape">
    <w:name w:val="HeaderLandscape"/>
    <w:basedOn w:val="Normal"/>
    <w:rsid w:val="001E10E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E10E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E10E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E10E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E10E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E10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E10E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E10E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E10E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E10E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E10E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E10E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E10E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E10E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E10E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E10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E10E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E10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E10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E10E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E10E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E10E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E10E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E10E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E10E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E10E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E10E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E10E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E10E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E10E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E10E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E10E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E10E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E10E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E10E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E10E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E10E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E10E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E10E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E10E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E10E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E10E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E10E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E10E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E10E5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E10E5"/>
    <w:pPr>
      <w:widowControl/>
      <w:numPr>
        <w:numId w:val="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E10E5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E10E5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E10E5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E10E5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E10E5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E10E5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E10E5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E10E5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E10E5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E10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E10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E10E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E10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E10E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E10E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E10E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E10E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E10E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E10E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E10E5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E10E5"/>
    <w:pPr>
      <w:widowControl/>
      <w:numPr>
        <w:ilvl w:val="2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E10E5"/>
    <w:pPr>
      <w:widowControl/>
      <w:numPr>
        <w:ilvl w:val="4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E10E5"/>
    <w:pPr>
      <w:widowControl/>
      <w:numPr>
        <w:ilvl w:val="6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E10E5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E10E5"/>
    <w:pPr>
      <w:widowControl/>
      <w:numPr>
        <w:ilvl w:val="3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E10E5"/>
    <w:pPr>
      <w:widowControl/>
      <w:numPr>
        <w:ilvl w:val="5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E10E5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E10E5"/>
    <w:pPr>
      <w:widowControl/>
      <w:numPr>
        <w:ilvl w:val="8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E10E5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E10E5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E10E5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E10E5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E10E5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E10E5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E10E5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E10E5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E10E5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E10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E10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E10E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E10E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E10E5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E10E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E10E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E10E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E10E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E10E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E10E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E10E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1E10E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E10E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E10E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E10E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E10E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E10E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E10E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E10E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E10E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E10E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E10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E10E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E10E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E10E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E10E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E10E5"/>
    <w:pPr>
      <w:spacing w:before="240"/>
    </w:pPr>
  </w:style>
  <w:style w:type="paragraph" w:customStyle="1" w:styleId="Accordtitre">
    <w:name w:val="Accord titre"/>
    <w:basedOn w:val="Normal"/>
    <w:rsid w:val="001E10E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E10E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E10E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E10E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E10E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E10E5"/>
    <w:pPr>
      <w:spacing w:after="240"/>
    </w:pPr>
  </w:style>
  <w:style w:type="paragraph" w:customStyle="1" w:styleId="Annexetitre">
    <w:name w:val="Annexe titre"/>
    <w:basedOn w:val="Normal"/>
    <w:next w:val="Normal"/>
    <w:rsid w:val="001E10E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E10E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E10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E10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E10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E10E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E10E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E10E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E10E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E10E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E10E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E10E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E10E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E10E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E10E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E10E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E10E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E10E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E10E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E10E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E10E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E10E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E10E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E10E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E10E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E10E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E10E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E10E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E10E5"/>
    <w:pPr>
      <w:pBdr>
        <w:left w:val="single" w:sz="18" w:space="5" w:color="0070C0"/>
      </w:pBdr>
      <w:spacing w:after="160" w:line="256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1E10E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E10E5"/>
    <w:pPr>
      <w:pBdr>
        <w:top w:val="none" w:sz="0" w:space="0" w:color="auto"/>
        <w:left w:val="single" w:sz="4" w:space="20" w:color="auto"/>
      </w:pBdr>
    </w:pPr>
  </w:style>
  <w:style w:type="paragraph" w:customStyle="1" w:styleId="Rfrenceinterinstitutionnelle">
    <w:name w:val="Référence interinstitutionnelle"/>
    <w:basedOn w:val="Normal"/>
    <w:next w:val="Statut"/>
    <w:rsid w:val="001E10E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1E10E5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E10E5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E10E5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styleId="EndnoteReference">
    <w:name w:val="endnote reference"/>
    <w:basedOn w:val="DefaultParagraphFont"/>
    <w:uiPriority w:val="99"/>
    <w:unhideWhenUsed/>
    <w:rsid w:val="001E10E5"/>
    <w:rPr>
      <w:bdr w:val="none" w:sz="0" w:space="0" w:color="auto" w:frame="1"/>
      <w:vertAlign w:val="superscript"/>
    </w:rPr>
  </w:style>
  <w:style w:type="character" w:customStyle="1" w:styleId="Marker">
    <w:name w:val="Marker"/>
    <w:basedOn w:val="DefaultParagraphFont"/>
    <w:rsid w:val="001E10E5"/>
    <w:rPr>
      <w:color w:val="0000FF"/>
      <w:bdr w:val="none" w:sz="0" w:space="0" w:color="auto" w:frame="1"/>
    </w:rPr>
  </w:style>
  <w:style w:type="character" w:customStyle="1" w:styleId="Marker1">
    <w:name w:val="Marker1"/>
    <w:basedOn w:val="DefaultParagraphFont"/>
    <w:rsid w:val="001E10E5"/>
    <w:rPr>
      <w:color w:val="008000"/>
      <w:bdr w:val="none" w:sz="0" w:space="0" w:color="auto" w:frame="1"/>
    </w:rPr>
  </w:style>
  <w:style w:type="character" w:customStyle="1" w:styleId="diff-tte-added">
    <w:name w:val="diff-tte-added"/>
    <w:basedOn w:val="DefaultParagraphFont"/>
    <w:rsid w:val="001E10E5"/>
    <w:rPr>
      <w:b/>
      <w:bCs w:val="0"/>
      <w:i/>
      <w:iCs w:val="0"/>
    </w:rPr>
  </w:style>
  <w:style w:type="character" w:customStyle="1" w:styleId="diff-tte-removed">
    <w:name w:val="diff-tte-removed"/>
    <w:basedOn w:val="DefaultParagraphFont"/>
    <w:rsid w:val="001E10E5"/>
    <w:rPr>
      <w:strike/>
    </w:rPr>
  </w:style>
  <w:style w:type="character" w:customStyle="1" w:styleId="Aucun">
    <w:name w:val="Aucun"/>
    <w:rsid w:val="001E10E5"/>
    <w:rPr>
      <w:lang w:val="hu-HU"/>
    </w:rPr>
  </w:style>
  <w:style w:type="character" w:customStyle="1" w:styleId="super">
    <w:name w:val="super"/>
    <w:basedOn w:val="DefaultParagraphFont"/>
    <w:rsid w:val="001E10E5"/>
  </w:style>
  <w:style w:type="character" w:customStyle="1" w:styleId="UnresolvedMention1">
    <w:name w:val="Unresolved Mention1"/>
    <w:basedOn w:val="DefaultParagraphFont"/>
    <w:uiPriority w:val="99"/>
    <w:semiHidden/>
    <w:rsid w:val="001E10E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E10E5"/>
    <w:rPr>
      <w:rFonts w:ascii="Calibri" w:eastAsia="Calibri" w:hAnsi="Calibri" w:cs="Arial"/>
      <w:sz w:val="22"/>
      <w:szCs w:val="22"/>
      <w:lang w:val="en-I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E10E5"/>
    <w:rPr>
      <w:i/>
      <w:iCs/>
    </w:rPr>
  </w:style>
  <w:style w:type="character" w:styleId="Hyperlink">
    <w:name w:val="Hyperlink"/>
    <w:basedOn w:val="DefaultParagraphFont"/>
    <w:rsid w:val="001E10E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E10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92FB6-C681-4D83-A380-EFD72118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2024-07-19T12:31:00Z</dcterms:created>
  <dcterms:modified xsi:type="dcterms:W3CDTF">2024-07-19T12:31:00Z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