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4F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74FDA" w:rsidRDefault="00B166E2" w:rsidP="0010095E">
            <w:pPr>
              <w:pStyle w:val="EPName"/>
            </w:pPr>
            <w:r w:rsidRPr="00E74FDA">
              <w:t>Parlament Ewropew</w:t>
            </w:r>
          </w:p>
          <w:p w:rsidR="00751A4A" w:rsidRPr="00E74F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105D">
              <w:t>2019</w:t>
            </w:r>
            <w:r w:rsidRPr="00E74FDA">
              <w:t>-</w:t>
            </w:r>
            <w:r w:rsidRPr="003B105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74FDA" w:rsidRDefault="00187494" w:rsidP="0010095E">
            <w:pPr>
              <w:pStyle w:val="EPLogo"/>
            </w:pPr>
            <w:r w:rsidRPr="00E74F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74FDA" w:rsidRDefault="00D058B8" w:rsidP="004C5D52">
      <w:pPr>
        <w:pStyle w:val="LineTop"/>
      </w:pPr>
    </w:p>
    <w:p w:rsidR="00680577" w:rsidRPr="00E74FDA" w:rsidRDefault="00B166E2" w:rsidP="00680577">
      <w:pPr>
        <w:pStyle w:val="EPBodyTA1"/>
      </w:pPr>
      <w:r w:rsidRPr="00E74FDA">
        <w:t>TESTI ADOTTATI</w:t>
      </w:r>
    </w:p>
    <w:p w:rsidR="00D058B8" w:rsidRPr="00E74FDA" w:rsidRDefault="00D058B8" w:rsidP="00D058B8">
      <w:pPr>
        <w:pStyle w:val="LineBottom"/>
      </w:pPr>
    </w:p>
    <w:p w:rsidR="00B166E2" w:rsidRPr="00E74FDA" w:rsidRDefault="00B166E2" w:rsidP="00B166E2">
      <w:pPr>
        <w:pStyle w:val="ATHeading1"/>
      </w:pPr>
      <w:bookmarkStart w:id="0" w:name="TANumber"/>
      <w:r w:rsidRPr="00E74FDA">
        <w:t>P</w:t>
      </w:r>
      <w:r w:rsidRPr="003B105D">
        <w:t>9</w:t>
      </w:r>
      <w:r w:rsidRPr="00E74FDA">
        <w:t>_TA(</w:t>
      </w:r>
      <w:r w:rsidRPr="003B105D">
        <w:t>2024</w:t>
      </w:r>
      <w:r w:rsidRPr="00E74FDA">
        <w:t>)</w:t>
      </w:r>
      <w:r w:rsidRPr="003B105D">
        <w:t>0</w:t>
      </w:r>
      <w:r w:rsidR="00E74FDA" w:rsidRPr="003B105D">
        <w:t>179</w:t>
      </w:r>
      <w:bookmarkEnd w:id="0"/>
    </w:p>
    <w:p w:rsidR="00B166E2" w:rsidRPr="00E74FDA" w:rsidRDefault="00B166E2" w:rsidP="00B166E2">
      <w:pPr>
        <w:pStyle w:val="ATHeading2"/>
      </w:pPr>
      <w:bookmarkStart w:id="1" w:name="title"/>
      <w:r w:rsidRPr="00E74FDA">
        <w:t>Ġestjoni tal-ażil u tal-migrazzjoni</w:t>
      </w:r>
      <w:bookmarkEnd w:id="1"/>
    </w:p>
    <w:p w:rsidR="00B166E2" w:rsidRPr="00E74FDA" w:rsidRDefault="00B166E2" w:rsidP="00B166E2">
      <w:pPr>
        <w:rPr>
          <w:i/>
          <w:vanish/>
        </w:rPr>
      </w:pPr>
      <w:r w:rsidRPr="00E74FDA">
        <w:rPr>
          <w:i/>
        </w:rPr>
        <w:fldChar w:fldCharType="begin"/>
      </w:r>
      <w:r w:rsidRPr="00E74FDA">
        <w:rPr>
          <w:i/>
        </w:rPr>
        <w:instrText xml:space="preserve"> TC"(</w:instrText>
      </w:r>
      <w:bookmarkStart w:id="2" w:name="DocNumber"/>
      <w:r w:rsidRPr="00E74FDA">
        <w:rPr>
          <w:i/>
        </w:rPr>
        <w:instrText>A</w:instrText>
      </w:r>
      <w:r w:rsidRPr="003B105D">
        <w:rPr>
          <w:i/>
        </w:rPr>
        <w:instrText>9</w:instrText>
      </w:r>
      <w:r w:rsidRPr="00E74FDA">
        <w:rPr>
          <w:i/>
        </w:rPr>
        <w:instrText>-</w:instrText>
      </w:r>
      <w:r w:rsidRPr="003B105D">
        <w:rPr>
          <w:i/>
        </w:rPr>
        <w:instrText>0152</w:instrText>
      </w:r>
      <w:r w:rsidRPr="00E74FDA">
        <w:rPr>
          <w:i/>
        </w:rPr>
        <w:instrText>/</w:instrText>
      </w:r>
      <w:r w:rsidRPr="003B105D">
        <w:rPr>
          <w:i/>
        </w:rPr>
        <w:instrText>2023</w:instrText>
      </w:r>
      <w:bookmarkEnd w:id="2"/>
      <w:r w:rsidRPr="00E74FDA">
        <w:rPr>
          <w:i/>
        </w:rPr>
        <w:instrText xml:space="preserve"> - Rapporteur: Tomas Tobé)"\l</w:instrText>
      </w:r>
      <w:r w:rsidRPr="003B105D">
        <w:rPr>
          <w:i/>
        </w:rPr>
        <w:instrText>3</w:instrText>
      </w:r>
      <w:r w:rsidRPr="00E74FDA">
        <w:rPr>
          <w:i/>
        </w:rPr>
        <w:instrText xml:space="preserve"> \n&gt; \* MERGEFORMAT </w:instrText>
      </w:r>
      <w:r w:rsidRPr="00E74FDA">
        <w:rPr>
          <w:i/>
        </w:rPr>
        <w:fldChar w:fldCharType="end"/>
      </w:r>
    </w:p>
    <w:p w:rsidR="00B166E2" w:rsidRPr="00E74FDA" w:rsidRDefault="00B166E2" w:rsidP="00B166E2">
      <w:pPr>
        <w:rPr>
          <w:vanish/>
        </w:rPr>
      </w:pPr>
      <w:bookmarkStart w:id="3" w:name="Commission"/>
      <w:r w:rsidRPr="00E74FDA">
        <w:rPr>
          <w:vanish/>
        </w:rPr>
        <w:t>Kumitat għal-Libertajiet Ċivili, il-Ġustizzja u l-Intern</w:t>
      </w:r>
      <w:bookmarkEnd w:id="3"/>
    </w:p>
    <w:p w:rsidR="00B166E2" w:rsidRPr="00E74FDA" w:rsidRDefault="00B166E2" w:rsidP="00B166E2">
      <w:pPr>
        <w:rPr>
          <w:vanish/>
        </w:rPr>
      </w:pPr>
      <w:bookmarkStart w:id="4" w:name="PE"/>
      <w:r w:rsidRPr="00E74FDA">
        <w:rPr>
          <w:vanish/>
        </w:rPr>
        <w:t>PE</w:t>
      </w:r>
      <w:r w:rsidRPr="003B105D">
        <w:rPr>
          <w:vanish/>
        </w:rPr>
        <w:t>698</w:t>
      </w:r>
      <w:r w:rsidRPr="00E74FDA">
        <w:rPr>
          <w:vanish/>
        </w:rPr>
        <w:t>.</w:t>
      </w:r>
      <w:r w:rsidRPr="003B105D">
        <w:rPr>
          <w:vanish/>
        </w:rPr>
        <w:t>950</w:t>
      </w:r>
      <w:bookmarkEnd w:id="4"/>
    </w:p>
    <w:p w:rsidR="00B166E2" w:rsidRPr="00E74FDA" w:rsidRDefault="00B166E2" w:rsidP="00B166E2">
      <w:pPr>
        <w:pStyle w:val="ATHeading3"/>
      </w:pPr>
      <w:bookmarkStart w:id="5" w:name="Sujet"/>
      <w:r w:rsidRPr="00E74FDA">
        <w:t>Riżoluzzjoni leġiżlattiva tal-Parlament Ewropew tal-</w:t>
      </w:r>
      <w:r w:rsidRPr="003B105D">
        <w:t>1</w:t>
      </w:r>
      <w:r w:rsidR="00A05B01" w:rsidRPr="003B105D">
        <w:t>0</w:t>
      </w:r>
      <w:r w:rsidRPr="00E74FDA">
        <w:t xml:space="preserve"> ta' April </w:t>
      </w:r>
      <w:r w:rsidRPr="003B105D">
        <w:t>2024</w:t>
      </w:r>
      <w:r w:rsidRPr="00E74FDA">
        <w:t xml:space="preserve"> dwar il-proposta għal </w:t>
      </w:r>
      <w:r w:rsidR="00AE0726" w:rsidRPr="00E74FDA">
        <w:t>r</w:t>
      </w:r>
      <w:r w:rsidRPr="00E74FDA">
        <w:t>egolament tal-Parlament Ewropew u tal-Kunsil</w:t>
      </w:r>
      <w:r w:rsidR="00D1632B">
        <w:t xml:space="preserve">l dwar il-ġestjoni tal-ażil u </w:t>
      </w:r>
      <w:r w:rsidRPr="00E74FDA">
        <w:t>l-migrazzjoni u li jemenda d-Direttiva tal-Kunsill (KE) </w:t>
      </w:r>
      <w:r w:rsidRPr="003B105D">
        <w:t>2003</w:t>
      </w:r>
      <w:r w:rsidRPr="00E74FDA">
        <w:t>/</w:t>
      </w:r>
      <w:r w:rsidRPr="003B105D">
        <w:t>109</w:t>
      </w:r>
      <w:r w:rsidRPr="00E74FDA">
        <w:t xml:space="preserve"> u r-Regolament propost (UE) XXX/XXX [Il-Fond għall-Migrazzjoni u l-Ażil]</w:t>
      </w:r>
      <w:bookmarkEnd w:id="5"/>
      <w:r w:rsidRPr="00E74FDA">
        <w:t xml:space="preserve"> </w:t>
      </w:r>
      <w:bookmarkStart w:id="6" w:name="References"/>
      <w:r w:rsidRPr="00E74FDA">
        <w:t>(COM(</w:t>
      </w:r>
      <w:r w:rsidRPr="003B105D">
        <w:t>2020</w:t>
      </w:r>
      <w:r w:rsidRPr="00E74FDA">
        <w:t>)</w:t>
      </w:r>
      <w:r w:rsidRPr="003B105D">
        <w:t>0610</w:t>
      </w:r>
      <w:r w:rsidRPr="00E74FDA">
        <w:t xml:space="preserve"> – C</w:t>
      </w:r>
      <w:r w:rsidRPr="003B105D">
        <w:t>9</w:t>
      </w:r>
      <w:r w:rsidRPr="00E74FDA">
        <w:t>-</w:t>
      </w:r>
      <w:r w:rsidRPr="003B105D">
        <w:t>0309</w:t>
      </w:r>
      <w:r w:rsidRPr="00E74FDA">
        <w:t>/</w:t>
      </w:r>
      <w:r w:rsidRPr="003B105D">
        <w:t>2020</w:t>
      </w:r>
      <w:r w:rsidRPr="00E74FDA">
        <w:t xml:space="preserve"> – </w:t>
      </w:r>
      <w:r w:rsidRPr="003B105D">
        <w:t>2020</w:t>
      </w:r>
      <w:r w:rsidRPr="00E74FDA">
        <w:t>/</w:t>
      </w:r>
      <w:r w:rsidRPr="003B105D">
        <w:t>0279</w:t>
      </w:r>
      <w:r w:rsidRPr="00E74FDA">
        <w:t>(COD))</w:t>
      </w:r>
      <w:bookmarkEnd w:id="6"/>
    </w:p>
    <w:p w:rsidR="00BD17C1" w:rsidRPr="00E74FDA" w:rsidRDefault="00BD17C1" w:rsidP="00BD17C1">
      <w:pPr>
        <w:pStyle w:val="NormalBold"/>
      </w:pPr>
      <w:bookmarkStart w:id="7" w:name="TextBodyBegin"/>
      <w:bookmarkEnd w:id="7"/>
      <w:r w:rsidRPr="00E74FDA">
        <w:t>(Proċedura leġiżlattiva ordinarja: l-ewwel qari)</w:t>
      </w:r>
    </w:p>
    <w:p w:rsidR="00BD17C1" w:rsidRPr="00E74FDA" w:rsidRDefault="00BD17C1" w:rsidP="00BD17C1">
      <w:pPr>
        <w:pStyle w:val="EPComma"/>
      </w:pPr>
      <w:r w:rsidRPr="00E74FDA">
        <w:rPr>
          <w:i/>
        </w:rPr>
        <w:t>Il-Parlament Ewropew</w:t>
      </w:r>
      <w:r w:rsidRPr="00E74FDA">
        <w:t>,</w:t>
      </w:r>
    </w:p>
    <w:p w:rsidR="00BD17C1" w:rsidRPr="00E74FDA" w:rsidRDefault="00BD17C1" w:rsidP="00BD17C1">
      <w:pPr>
        <w:pStyle w:val="NormalHanging12a"/>
      </w:pPr>
      <w:r w:rsidRPr="00E74FDA">
        <w:t>–</w:t>
      </w:r>
      <w:r w:rsidRPr="00E74FDA">
        <w:tab/>
        <w:t>wara li kkunsidra l-proposta tal-Kummissjoni lill-Parlament u lill-Kunsill (COM(</w:t>
      </w:r>
      <w:r w:rsidRPr="003B105D">
        <w:t>2020</w:t>
      </w:r>
      <w:r w:rsidRPr="00E74FDA">
        <w:t>)</w:t>
      </w:r>
      <w:r w:rsidRPr="003B105D">
        <w:t>0610</w:t>
      </w:r>
      <w:r w:rsidRPr="00E74FDA">
        <w:t>),</w:t>
      </w:r>
    </w:p>
    <w:p w:rsidR="00BD17C1" w:rsidRPr="00E74FDA" w:rsidRDefault="00BD17C1" w:rsidP="00BD17C1">
      <w:pPr>
        <w:pStyle w:val="NormalHanging12a"/>
      </w:pPr>
      <w:r w:rsidRPr="00E74FDA">
        <w:t>–</w:t>
      </w:r>
      <w:r w:rsidRPr="00E74FDA">
        <w:tab/>
        <w:t>wara li kkunsidra l-Artikolu </w:t>
      </w:r>
      <w:r w:rsidRPr="003B105D">
        <w:t>294</w:t>
      </w:r>
      <w:r w:rsidRPr="00E74FDA">
        <w:t>(</w:t>
      </w:r>
      <w:r w:rsidRPr="003B105D">
        <w:t>2</w:t>
      </w:r>
      <w:r w:rsidRPr="00E74FDA">
        <w:t>) u l-Artikolu </w:t>
      </w:r>
      <w:r w:rsidRPr="003B105D">
        <w:t>78</w:t>
      </w:r>
      <w:r w:rsidRPr="00E74FDA">
        <w:t>(</w:t>
      </w:r>
      <w:r w:rsidRPr="003B105D">
        <w:t>2</w:t>
      </w:r>
      <w:r w:rsidRPr="00E74FDA">
        <w:t>)</w:t>
      </w:r>
      <w:r w:rsidR="00AE0726" w:rsidRPr="00E74FDA">
        <w:t xml:space="preserve">, il-punt </w:t>
      </w:r>
      <w:r w:rsidRPr="00E74FDA">
        <w:t>(e)</w:t>
      </w:r>
      <w:r w:rsidR="00AE0726" w:rsidRPr="00E74FDA">
        <w:t>,</w:t>
      </w:r>
      <w:r w:rsidRPr="00E74FDA">
        <w:t xml:space="preserve"> u l-Artikolu </w:t>
      </w:r>
      <w:r w:rsidRPr="003B105D">
        <w:t>79</w:t>
      </w:r>
      <w:r w:rsidRPr="00E74FDA">
        <w:t>(</w:t>
      </w:r>
      <w:r w:rsidRPr="003B105D">
        <w:t>2</w:t>
      </w:r>
      <w:r w:rsidRPr="00E74FDA">
        <w:t>)</w:t>
      </w:r>
      <w:r w:rsidR="00AE0726" w:rsidRPr="00E74FDA">
        <w:t xml:space="preserve">, il-punti </w:t>
      </w:r>
      <w:r w:rsidRPr="00E74FDA">
        <w:t>(a),(b) u (c)</w:t>
      </w:r>
      <w:r w:rsidR="00AE0726" w:rsidRPr="00E74FDA">
        <w:t>,</w:t>
      </w:r>
      <w:r w:rsidRPr="00E74FDA">
        <w:t xml:space="preserve"> tat-Trattat dwar il-Funzjonament tal-Unjoni Ewropea, skont liema artikoli l-Kummissjoni ppreżentat il-proposta lill-Parlament (C</w:t>
      </w:r>
      <w:r w:rsidRPr="003B105D">
        <w:t>9</w:t>
      </w:r>
      <w:r w:rsidRPr="00E74FDA">
        <w:noBreakHyphen/>
      </w:r>
      <w:r w:rsidRPr="003B105D">
        <w:t>0309</w:t>
      </w:r>
      <w:r w:rsidRPr="00E74FDA">
        <w:t>/</w:t>
      </w:r>
      <w:r w:rsidRPr="003B105D">
        <w:t>2020</w:t>
      </w:r>
      <w:r w:rsidRPr="00E74FDA">
        <w:t>),</w:t>
      </w:r>
    </w:p>
    <w:p w:rsidR="00BD17C1" w:rsidRPr="00E74FDA" w:rsidRDefault="00BD17C1" w:rsidP="00BD17C1">
      <w:pPr>
        <w:pStyle w:val="NormalHanging12a"/>
      </w:pPr>
      <w:r w:rsidRPr="00E74FDA">
        <w:t>–</w:t>
      </w:r>
      <w:r w:rsidRPr="00E74FDA">
        <w:tab/>
        <w:t>wara li kkunsidra l-opinjoni tal-Kumitat għall-Affarijiet Legali dwar il-bażi legali proposta,</w:t>
      </w:r>
    </w:p>
    <w:p w:rsidR="00BD17C1" w:rsidRPr="00E74FDA" w:rsidRDefault="00BD17C1" w:rsidP="00BD17C1">
      <w:pPr>
        <w:pStyle w:val="NormalHanging12a"/>
      </w:pPr>
      <w:r w:rsidRPr="00E74FDA">
        <w:t>–</w:t>
      </w:r>
      <w:r w:rsidRPr="00E74FDA">
        <w:tab/>
        <w:t>wara li kkunsidra l-Artikolu </w:t>
      </w:r>
      <w:r w:rsidRPr="003B105D">
        <w:t>294</w:t>
      </w:r>
      <w:r w:rsidRPr="00E74FDA">
        <w:t>(</w:t>
      </w:r>
      <w:r w:rsidRPr="003B105D">
        <w:t>3</w:t>
      </w:r>
      <w:r w:rsidRPr="00E74FDA">
        <w:t>) tat-Trattat dwar il-Funzjonament tal-Unjoni Ewropea,</w:t>
      </w:r>
    </w:p>
    <w:p w:rsidR="00BD17C1" w:rsidRPr="00E74FDA" w:rsidRDefault="00BD17C1" w:rsidP="00BD17C1">
      <w:pPr>
        <w:pStyle w:val="NormalHanging12a"/>
      </w:pPr>
      <w:r w:rsidRPr="00E74FDA">
        <w:t>–</w:t>
      </w:r>
      <w:r w:rsidRPr="00E74FDA">
        <w:tab/>
        <w:t>wara li kkunsidra l-opinjonijiet motivati preżentati mis-Senat Taljan, il-Parlament Ungeriż u l-Parlament Slovakk, fil-qafas tal-Protokoll Nru </w:t>
      </w:r>
      <w:r w:rsidRPr="003B105D">
        <w:t>2</w:t>
      </w:r>
      <w:r w:rsidRPr="00E74FDA">
        <w:t xml:space="preserve"> dwar l-applikazzjoni tal-prinċipji ta' sussidjarjetà u proporzjonalità, li jiddikjaraw li l-abbozz ta' att leġiżlattiv ma jimxix mal-prinċipju ta' sussidjarjetà,</w:t>
      </w:r>
    </w:p>
    <w:p w:rsidR="00BD17C1" w:rsidRPr="00E74FDA" w:rsidRDefault="00BD17C1" w:rsidP="00BD17C1">
      <w:pPr>
        <w:pStyle w:val="NormalHanging12a"/>
      </w:pPr>
      <w:r w:rsidRPr="00E74FDA">
        <w:t>–</w:t>
      </w:r>
      <w:r w:rsidRPr="00E74FDA">
        <w:tab/>
        <w:t>wara li kkunsidra l-opinjoni tal-Kumitat Ekonomiku u Soċjali Ewropew tal-</w:t>
      </w:r>
      <w:r w:rsidRPr="003B105D">
        <w:t>25</w:t>
      </w:r>
      <w:r w:rsidRPr="00E74FDA">
        <w:t> ta' Frar </w:t>
      </w:r>
      <w:r w:rsidRPr="003B105D">
        <w:t>2021</w:t>
      </w:r>
      <w:r w:rsidRPr="00E74FDA">
        <w:rPr>
          <w:rStyle w:val="FootnoteReference"/>
        </w:rPr>
        <w:footnoteReference w:id="1"/>
      </w:r>
      <w:r w:rsidRPr="00E74FDA">
        <w:t>,</w:t>
      </w:r>
    </w:p>
    <w:p w:rsidR="00BD17C1" w:rsidRPr="00E74FDA" w:rsidRDefault="00BD17C1" w:rsidP="00BD17C1">
      <w:pPr>
        <w:pStyle w:val="NormalHanging12a"/>
      </w:pPr>
      <w:r w:rsidRPr="00E74FDA">
        <w:t>–</w:t>
      </w:r>
      <w:r w:rsidRPr="00E74FDA">
        <w:tab/>
        <w:t>wara li kkunsidra l-opinjoni tal-Kumitat tar-Reġjuni tad-</w:t>
      </w:r>
      <w:r w:rsidRPr="003B105D">
        <w:t>19</w:t>
      </w:r>
      <w:r w:rsidRPr="00E74FDA">
        <w:t> ta' Marzu </w:t>
      </w:r>
      <w:r w:rsidRPr="003B105D">
        <w:t>2021</w:t>
      </w:r>
      <w:r w:rsidRPr="00E74FDA">
        <w:rPr>
          <w:rStyle w:val="FootnoteReference"/>
        </w:rPr>
        <w:footnoteReference w:id="2"/>
      </w:r>
      <w:r w:rsidRPr="00E74FDA">
        <w:t>,</w:t>
      </w:r>
    </w:p>
    <w:p w:rsidR="00A05B01" w:rsidRPr="00E74FDA" w:rsidRDefault="00A05B01" w:rsidP="00A05B01">
      <w:pPr>
        <w:pStyle w:val="NormalHanging12a"/>
      </w:pPr>
      <w:r w:rsidRPr="00E74FDA">
        <w:t>–</w:t>
      </w:r>
      <w:r w:rsidRPr="00E74FDA">
        <w:tab/>
        <w:t>wara li kkunsidra l-ftehim proviżorju approvat mill-kumitat responsabbli fis-sens tal-Artikolu </w:t>
      </w:r>
      <w:r w:rsidRPr="003B105D">
        <w:t>74</w:t>
      </w:r>
      <w:r w:rsidRPr="00E74FDA">
        <w:t>(</w:t>
      </w:r>
      <w:r w:rsidRPr="003B105D">
        <w:t>4</w:t>
      </w:r>
      <w:r w:rsidRPr="00E74FDA">
        <w:t>) tar-Regoli ta' Proċedura tiegħu u l-impenn meħud mir-rappreżentant tal-Kunsill, permezz tal-ittra tat-</w:t>
      </w:r>
      <w:r w:rsidRPr="003B105D">
        <w:t>8</w:t>
      </w:r>
      <w:r w:rsidRPr="00E74FDA">
        <w:t xml:space="preserve"> ta’ Frar </w:t>
      </w:r>
      <w:r w:rsidRPr="003B105D">
        <w:t>2024</w:t>
      </w:r>
      <w:r w:rsidRPr="00E74FDA">
        <w:t xml:space="preserve">, li japprova l-pożizzjoni tal-Parlament, </w:t>
      </w:r>
      <w:r w:rsidRPr="00E74FDA">
        <w:lastRenderedPageBreak/>
        <w:t>skont l-Artikolu </w:t>
      </w:r>
      <w:r w:rsidRPr="003B105D">
        <w:t>294</w:t>
      </w:r>
      <w:r w:rsidRPr="00E74FDA">
        <w:t>(</w:t>
      </w:r>
      <w:r w:rsidRPr="003B105D">
        <w:t>4</w:t>
      </w:r>
      <w:r w:rsidRPr="00E74FDA">
        <w:t>) tat-Trattat dwar il-Funzjonament tal-Unjoni Ewropea,</w:t>
      </w:r>
    </w:p>
    <w:p w:rsidR="00BD17C1" w:rsidRPr="00E74FDA" w:rsidRDefault="00BD17C1" w:rsidP="00BD17C1">
      <w:pPr>
        <w:pStyle w:val="NormalHanging12a"/>
      </w:pPr>
      <w:r w:rsidRPr="00E74FDA">
        <w:t>–</w:t>
      </w:r>
      <w:r w:rsidRPr="00E74FDA">
        <w:tab/>
        <w:t>wara li kkunsidra l-Artikoli </w:t>
      </w:r>
      <w:r w:rsidRPr="003B105D">
        <w:t>59</w:t>
      </w:r>
      <w:r w:rsidRPr="00E74FDA">
        <w:t xml:space="preserve"> u </w:t>
      </w:r>
      <w:r w:rsidRPr="003B105D">
        <w:t>40</w:t>
      </w:r>
      <w:r w:rsidRPr="00E74FDA">
        <w:t xml:space="preserve"> tar-Regoli ta' Proċedura tiegħu,</w:t>
      </w:r>
    </w:p>
    <w:p w:rsidR="00BD17C1" w:rsidRPr="00E74FDA" w:rsidRDefault="00BD17C1" w:rsidP="00BD17C1">
      <w:pPr>
        <w:pStyle w:val="NormalHanging12a"/>
      </w:pPr>
      <w:r w:rsidRPr="00E74FDA">
        <w:t>–</w:t>
      </w:r>
      <w:r w:rsidRPr="00E74FDA">
        <w:tab/>
        <w:t>wara li kkunsidra r-rapport tal-Kumitat għal-Libertajiet Ċivili, il-Ġustizzja u l-Intern (A</w:t>
      </w:r>
      <w:r w:rsidRPr="003B105D">
        <w:t>9</w:t>
      </w:r>
      <w:r w:rsidRPr="00E74FDA">
        <w:t>-</w:t>
      </w:r>
      <w:r w:rsidRPr="003B105D">
        <w:t>0152</w:t>
      </w:r>
      <w:r w:rsidRPr="00E74FDA">
        <w:t>/</w:t>
      </w:r>
      <w:r w:rsidRPr="003B105D">
        <w:t>2023</w:t>
      </w:r>
      <w:r w:rsidRPr="00E74FDA">
        <w:t>),</w:t>
      </w:r>
    </w:p>
    <w:p w:rsidR="00BD17C1" w:rsidRPr="00E74FDA" w:rsidRDefault="00BD17C1" w:rsidP="00BD17C1">
      <w:pPr>
        <w:pStyle w:val="NormalHanging12a"/>
        <w:ind w:hanging="570"/>
      </w:pPr>
      <w:r w:rsidRPr="003B105D">
        <w:t>1</w:t>
      </w:r>
      <w:r w:rsidRPr="00E74FDA">
        <w:t>.</w:t>
      </w:r>
      <w:r w:rsidRPr="00E74FDA">
        <w:tab/>
        <w:t>Jadotta l-pożizzjoni fl-ewwel qari li tidher hawn taħt;</w:t>
      </w:r>
    </w:p>
    <w:p w:rsidR="00BD17C1" w:rsidRPr="00E74FDA" w:rsidRDefault="00BD17C1" w:rsidP="00BD17C1">
      <w:pPr>
        <w:pStyle w:val="NormalHanging12a"/>
        <w:ind w:hanging="570"/>
      </w:pPr>
      <w:r w:rsidRPr="003B105D">
        <w:t>2</w:t>
      </w:r>
      <w:r w:rsidRPr="00E74FDA">
        <w:t>.</w:t>
      </w:r>
      <w:r w:rsidRPr="00E74FDA">
        <w:tab/>
        <w:t>Jitlob lill-Kummissjoni terġa' tirreferi l-kwistjoni lill-Parlament jekk tibdel il-proposta tagħha, temendaha b'mod sustanzjali jew ikollha l-ħsieb li temendaha b'mod sustanzjali;</w:t>
      </w:r>
    </w:p>
    <w:p w:rsidR="00CE363B" w:rsidRPr="00E74FDA" w:rsidRDefault="00BD17C1" w:rsidP="00CE363B">
      <w:pPr>
        <w:pStyle w:val="NormalHanging12a"/>
        <w:ind w:hanging="570"/>
        <w:sectPr w:rsidR="00CE363B" w:rsidRPr="00E74FDA" w:rsidSect="00F562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B105D">
        <w:t>3</w:t>
      </w:r>
      <w:r w:rsidRPr="00E74FDA">
        <w:t>.</w:t>
      </w:r>
      <w:r w:rsidRPr="00E74FDA">
        <w:tab/>
        <w:t>Jagħti istruzzjonijiet lill-President tiegħu biex tgħaddi l-pożizzjoni tal-Parlament lill-Kunsill u lill-Kummissjoni kif ukoll lill-parlamenti nazzjonali.</w:t>
      </w:r>
    </w:p>
    <w:p w:rsidR="00E365E1" w:rsidRPr="00E74FDA" w:rsidRDefault="00C05A3E" w:rsidP="00CE363B">
      <w:pPr>
        <w:pStyle w:val="NormalHanging12a"/>
        <w:ind w:hanging="570"/>
        <w:rPr>
          <w:b/>
          <w:bCs/>
        </w:rPr>
      </w:pPr>
      <w:r w:rsidRPr="00E74FDA">
        <w:rPr>
          <w:b/>
          <w:bCs/>
        </w:rPr>
        <w:lastRenderedPageBreak/>
        <w:t>P</w:t>
      </w:r>
      <w:r w:rsidRPr="003B105D">
        <w:rPr>
          <w:b/>
          <w:bCs/>
        </w:rPr>
        <w:t>9</w:t>
      </w:r>
      <w:r w:rsidRPr="00E74FDA">
        <w:rPr>
          <w:b/>
          <w:bCs/>
        </w:rPr>
        <w:t>_TC</w:t>
      </w:r>
      <w:r w:rsidRPr="003B105D">
        <w:rPr>
          <w:b/>
          <w:bCs/>
        </w:rPr>
        <w:t>1</w:t>
      </w:r>
      <w:r w:rsidRPr="00E74FDA">
        <w:rPr>
          <w:b/>
          <w:bCs/>
        </w:rPr>
        <w:t>-COD(</w:t>
      </w:r>
      <w:r w:rsidRPr="003B105D">
        <w:rPr>
          <w:b/>
          <w:bCs/>
        </w:rPr>
        <w:t>2020</w:t>
      </w:r>
      <w:r w:rsidRPr="00E74FDA">
        <w:rPr>
          <w:b/>
          <w:bCs/>
        </w:rPr>
        <w:t>)</w:t>
      </w:r>
      <w:r w:rsidRPr="003B105D">
        <w:rPr>
          <w:b/>
          <w:bCs/>
        </w:rPr>
        <w:t>0279</w:t>
      </w:r>
    </w:p>
    <w:p w:rsidR="00C05A3E" w:rsidRPr="00E74FDA" w:rsidRDefault="00C05A3E" w:rsidP="00C05A3E">
      <w:pPr>
        <w:pStyle w:val="NormalHanging12a"/>
        <w:ind w:left="0" w:firstLine="0"/>
        <w:rPr>
          <w:b/>
          <w:i/>
        </w:rPr>
      </w:pPr>
      <w:r w:rsidRPr="00E74FDA">
        <w:rPr>
          <w:b/>
          <w:bCs/>
        </w:rPr>
        <w:t>Pożizzjoni tal-Parlament Ewropew adottata fl-ewwel qari tal-</w:t>
      </w:r>
      <w:r w:rsidRPr="003B105D">
        <w:rPr>
          <w:b/>
          <w:bCs/>
        </w:rPr>
        <w:t>10</w:t>
      </w:r>
      <w:r w:rsidRPr="00E74FDA">
        <w:rPr>
          <w:b/>
        </w:rPr>
        <w:t xml:space="preserve"> </w:t>
      </w:r>
      <w:r w:rsidRPr="00E74FDA">
        <w:rPr>
          <w:b/>
          <w:bCs/>
        </w:rPr>
        <w:t xml:space="preserve">ta' April </w:t>
      </w:r>
      <w:r w:rsidRPr="003B105D">
        <w:rPr>
          <w:b/>
          <w:bCs/>
        </w:rPr>
        <w:t>2024</w:t>
      </w:r>
      <w:r w:rsidRPr="00E74FDA">
        <w:rPr>
          <w:b/>
          <w:bCs/>
        </w:rPr>
        <w:t xml:space="preserve"> bil-ħsieb tal</w:t>
      </w:r>
      <w:bookmarkStart w:id="8" w:name="_GoBack"/>
      <w:bookmarkEnd w:id="8"/>
      <w:r w:rsidRPr="00E74FDA">
        <w:rPr>
          <w:b/>
          <w:bCs/>
        </w:rPr>
        <w:t xml:space="preserve">-adozzjoni tar-Regolament (UE) </w:t>
      </w:r>
      <w:r w:rsidRPr="003B105D">
        <w:rPr>
          <w:b/>
          <w:bCs/>
        </w:rPr>
        <w:t>2024</w:t>
      </w:r>
      <w:r w:rsidRPr="00E74FDA">
        <w:rPr>
          <w:b/>
          <w:bCs/>
        </w:rPr>
        <w:t xml:space="preserve">/... </w:t>
      </w:r>
      <w:r w:rsidRPr="00E74FDA">
        <w:rPr>
          <w:b/>
        </w:rPr>
        <w:t>tal-Parlament Ewropew u tal-Kunsill dwar il-ġestjo</w:t>
      </w:r>
      <w:r w:rsidR="00D1632B">
        <w:rPr>
          <w:b/>
        </w:rPr>
        <w:t>ni tal-ażil u tal-migrazzjoni,</w:t>
      </w:r>
      <w:r w:rsidRPr="00E74FDA">
        <w:rPr>
          <w:b/>
        </w:rPr>
        <w:t xml:space="preserve"> li jemenda</w:t>
      </w:r>
      <w:r w:rsidR="00D1632B">
        <w:rPr>
          <w:rFonts w:eastAsia="Calibri"/>
          <w:b/>
          <w:szCs w:val="22"/>
          <w:lang w:eastAsia="en-US"/>
        </w:rPr>
        <w:t xml:space="preserve"> </w:t>
      </w:r>
      <w:r w:rsidRPr="00E74FDA">
        <w:rPr>
          <w:b/>
        </w:rPr>
        <w:t xml:space="preserve">r-Regolamenti (UE) </w:t>
      </w:r>
      <w:r w:rsidRPr="00D1632B">
        <w:rPr>
          <w:b/>
        </w:rPr>
        <w:t xml:space="preserve">2021/1147 u (UE) 2021/1060 u li jħassar </w:t>
      </w:r>
      <w:r w:rsidR="00D1632B">
        <w:rPr>
          <w:b/>
        </w:rPr>
        <w:t>i</w:t>
      </w:r>
      <w:r w:rsidRPr="00D1632B">
        <w:rPr>
          <w:b/>
        </w:rPr>
        <w:t>r-Regolament (UE) Nru 604/2013</w:t>
      </w:r>
    </w:p>
    <w:p w:rsidR="00C05A3E" w:rsidRDefault="007C3729" w:rsidP="007C3729">
      <w:pPr>
        <w:widowControl/>
        <w:spacing w:before="360" w:after="120"/>
        <w:rPr>
          <w:rFonts w:eastAsia="Calibri"/>
          <w:i/>
          <w:szCs w:val="24"/>
          <w:lang w:eastAsia="en-US"/>
        </w:rPr>
      </w:pPr>
      <w:r w:rsidRPr="007C3729">
        <w:rPr>
          <w:rFonts w:eastAsia="Calibri"/>
          <w:i/>
          <w:szCs w:val="24"/>
          <w:lang w:eastAsia="en-US"/>
        </w:rPr>
        <w:t xml:space="preserve">(Peress li ntlaħaq ftehim bejn il-Parlament u l-Kunsill, il-pożizzjoni tal-Parlament taqbel mal-att leġiżlattiv finali, </w:t>
      </w:r>
      <w:r w:rsidRPr="007C3729">
        <w:rPr>
          <w:rFonts w:eastAsia="Calibri"/>
          <w:i/>
          <w:szCs w:val="24"/>
          <w:lang w:eastAsia="en-US"/>
        </w:rPr>
        <w:t>ir-Regolament (UE) 2024/1351</w:t>
      </w:r>
      <w:r w:rsidRPr="007C3729">
        <w:rPr>
          <w:rFonts w:eastAsia="Calibri"/>
          <w:i/>
          <w:szCs w:val="24"/>
          <w:lang w:eastAsia="en-US"/>
        </w:rPr>
        <w:t>.)</w:t>
      </w:r>
    </w:p>
    <w:p w:rsidR="007C3729" w:rsidRPr="007C3729" w:rsidRDefault="007C3729" w:rsidP="007C3729">
      <w:pPr>
        <w:widowControl/>
        <w:spacing w:before="360" w:after="120"/>
        <w:rPr>
          <w:rFonts w:eastAsia="Calibri"/>
          <w:b/>
          <w:szCs w:val="24"/>
          <w:lang w:eastAsia="en-US"/>
        </w:rPr>
      </w:pPr>
    </w:p>
    <w:sectPr w:rsidR="007C3729" w:rsidRPr="007C3729" w:rsidSect="00F5628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D18" w:rsidRPr="00F5628E" w:rsidRDefault="00072D18">
      <w:r w:rsidRPr="00F5628E">
        <w:separator/>
      </w:r>
    </w:p>
  </w:endnote>
  <w:endnote w:type="continuationSeparator" w:id="0">
    <w:p w:rsidR="00072D18" w:rsidRPr="00F5628E" w:rsidRDefault="00072D18">
      <w:r w:rsidRPr="00F562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D18" w:rsidRPr="00F5628E" w:rsidRDefault="00072D1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D18" w:rsidRPr="00F5628E" w:rsidRDefault="00072D1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D18" w:rsidRPr="00F5628E" w:rsidRDefault="00072D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D18" w:rsidRPr="00F5628E" w:rsidRDefault="00072D18">
      <w:r w:rsidRPr="00F5628E">
        <w:separator/>
      </w:r>
    </w:p>
  </w:footnote>
  <w:footnote w:type="continuationSeparator" w:id="0">
    <w:p w:rsidR="00072D18" w:rsidRPr="00F5628E" w:rsidRDefault="00072D18">
      <w:r w:rsidRPr="00F5628E">
        <w:continuationSeparator/>
      </w:r>
    </w:p>
  </w:footnote>
  <w:footnote w:id="1">
    <w:p w:rsidR="00072D18" w:rsidRPr="00E74FDA" w:rsidRDefault="00072D18" w:rsidP="00E74FDA">
      <w:pPr>
        <w:pStyle w:val="FootnoteText"/>
        <w:tabs>
          <w:tab w:val="left" w:pos="709"/>
        </w:tabs>
        <w:ind w:left="709" w:hanging="709"/>
        <w:rPr>
          <w:sz w:val="24"/>
          <w:lang w:val="mt-MT"/>
        </w:rPr>
      </w:pPr>
      <w:r w:rsidRPr="00E74FDA">
        <w:rPr>
          <w:rStyle w:val="FootnoteReference"/>
          <w:sz w:val="24"/>
          <w:lang w:val="mt-MT"/>
        </w:rPr>
        <w:footnoteRef/>
      </w:r>
      <w:r w:rsidRPr="00E74FDA">
        <w:rPr>
          <w:sz w:val="24"/>
          <w:lang w:val="mt-MT"/>
        </w:rPr>
        <w:t xml:space="preserve"> </w:t>
      </w:r>
      <w:r w:rsidRPr="00E74FDA">
        <w:rPr>
          <w:sz w:val="24"/>
          <w:lang w:val="mt-MT"/>
        </w:rPr>
        <w:tab/>
        <w:t>ĠU C </w:t>
      </w:r>
      <w:r w:rsidRPr="003B105D">
        <w:rPr>
          <w:sz w:val="24"/>
          <w:lang w:val="mt-MT"/>
        </w:rPr>
        <w:t>155</w:t>
      </w:r>
      <w:r w:rsidRPr="00E74FDA">
        <w:rPr>
          <w:sz w:val="24"/>
          <w:lang w:val="mt-MT"/>
        </w:rPr>
        <w:t xml:space="preserve">, </w:t>
      </w:r>
      <w:r w:rsidRPr="003B105D">
        <w:rPr>
          <w:sz w:val="24"/>
          <w:lang w:val="mt-MT"/>
        </w:rPr>
        <w:t>30</w:t>
      </w:r>
      <w:r w:rsidRPr="00E74FDA">
        <w:rPr>
          <w:sz w:val="24"/>
          <w:lang w:val="mt-MT"/>
        </w:rPr>
        <w:t>.</w:t>
      </w:r>
      <w:r w:rsidRPr="003B105D">
        <w:rPr>
          <w:sz w:val="24"/>
          <w:lang w:val="mt-MT"/>
        </w:rPr>
        <w:t>4</w:t>
      </w:r>
      <w:r w:rsidRPr="00E74FDA">
        <w:rPr>
          <w:sz w:val="24"/>
          <w:lang w:val="mt-MT"/>
        </w:rPr>
        <w:t>.</w:t>
      </w:r>
      <w:r w:rsidRPr="003B105D">
        <w:rPr>
          <w:sz w:val="24"/>
          <w:lang w:val="mt-MT"/>
        </w:rPr>
        <w:t>2021</w:t>
      </w:r>
      <w:r w:rsidRPr="00E74FDA">
        <w:rPr>
          <w:sz w:val="24"/>
          <w:lang w:val="mt-MT"/>
        </w:rPr>
        <w:t>, p. </w:t>
      </w:r>
      <w:r w:rsidRPr="003B105D">
        <w:rPr>
          <w:sz w:val="24"/>
          <w:lang w:val="mt-MT"/>
        </w:rPr>
        <w:t>58</w:t>
      </w:r>
      <w:r w:rsidRPr="00E74FDA">
        <w:rPr>
          <w:sz w:val="24"/>
          <w:lang w:val="mt-MT"/>
        </w:rPr>
        <w:t>.</w:t>
      </w:r>
    </w:p>
  </w:footnote>
  <w:footnote w:id="2">
    <w:p w:rsidR="00072D18" w:rsidRPr="00E74FDA" w:rsidRDefault="00072D18" w:rsidP="00E74FDA">
      <w:pPr>
        <w:pStyle w:val="FootnoteText"/>
        <w:tabs>
          <w:tab w:val="left" w:pos="709"/>
        </w:tabs>
        <w:ind w:left="709" w:hanging="709"/>
        <w:rPr>
          <w:sz w:val="24"/>
          <w:lang w:val="mt-MT"/>
        </w:rPr>
      </w:pPr>
      <w:r w:rsidRPr="00E74FDA">
        <w:rPr>
          <w:rStyle w:val="FootnoteReference"/>
          <w:sz w:val="24"/>
          <w:lang w:val="mt-MT"/>
        </w:rPr>
        <w:footnoteRef/>
      </w:r>
      <w:r w:rsidRPr="00E74FDA">
        <w:rPr>
          <w:sz w:val="24"/>
          <w:lang w:val="mt-MT"/>
        </w:rPr>
        <w:t xml:space="preserve"> </w:t>
      </w:r>
      <w:r w:rsidRPr="00E74FDA">
        <w:rPr>
          <w:sz w:val="24"/>
          <w:lang w:val="mt-MT"/>
        </w:rPr>
        <w:tab/>
        <w:t>ĠU C </w:t>
      </w:r>
      <w:r w:rsidRPr="003B105D">
        <w:rPr>
          <w:sz w:val="24"/>
          <w:lang w:val="mt-MT"/>
        </w:rPr>
        <w:t>175</w:t>
      </w:r>
      <w:r w:rsidRPr="00E74FDA">
        <w:rPr>
          <w:sz w:val="24"/>
          <w:lang w:val="mt-MT"/>
        </w:rPr>
        <w:t xml:space="preserve">, </w:t>
      </w:r>
      <w:r w:rsidRPr="003B105D">
        <w:rPr>
          <w:sz w:val="24"/>
          <w:lang w:val="mt-MT"/>
        </w:rPr>
        <w:t>7</w:t>
      </w:r>
      <w:r w:rsidRPr="00E74FDA">
        <w:rPr>
          <w:sz w:val="24"/>
          <w:lang w:val="mt-MT"/>
        </w:rPr>
        <w:t>.</w:t>
      </w:r>
      <w:r w:rsidRPr="003B105D">
        <w:rPr>
          <w:sz w:val="24"/>
          <w:lang w:val="mt-MT"/>
        </w:rPr>
        <w:t>5</w:t>
      </w:r>
      <w:r w:rsidRPr="00E74FDA">
        <w:rPr>
          <w:sz w:val="24"/>
          <w:lang w:val="mt-MT"/>
        </w:rPr>
        <w:t>.</w:t>
      </w:r>
      <w:r w:rsidRPr="003B105D">
        <w:rPr>
          <w:sz w:val="24"/>
          <w:lang w:val="mt-MT"/>
        </w:rPr>
        <w:t>2021</w:t>
      </w:r>
      <w:r w:rsidRPr="00E74FDA">
        <w:rPr>
          <w:sz w:val="24"/>
          <w:lang w:val="mt-MT"/>
        </w:rPr>
        <w:t>, p. </w:t>
      </w:r>
      <w:r w:rsidRPr="003B105D">
        <w:rPr>
          <w:sz w:val="24"/>
          <w:lang w:val="mt-MT"/>
        </w:rPr>
        <w:t>32</w:t>
      </w:r>
      <w:r w:rsidR="00AE0726" w:rsidRPr="00E74FDA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D18" w:rsidRPr="00F5628E" w:rsidRDefault="00072D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D18" w:rsidRPr="00F5628E" w:rsidRDefault="00072D1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D18" w:rsidRPr="00F5628E" w:rsidRDefault="00072D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MT"/>
    <w:docVar w:name="dvnumam" w:val="472"/>
    <w:docVar w:name="dvpe" w:val="698.950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dwar il-ġestjoni tal-ażil u tal-migrazzjoni u li jemenda d-Direttiva tal-Kunsill (KE) 2003/109 u r-Regolament propost (UE) XXX/XXX [Il-Fond għall-Migrazzjoni u l-Ażil](COM(2020)0610 – C9-0309/2020 – 2020/0279(COD))"/>
  </w:docVars>
  <w:rsids>
    <w:rsidRoot w:val="00B166E2"/>
    <w:rsid w:val="00002272"/>
    <w:rsid w:val="00064002"/>
    <w:rsid w:val="000677B9"/>
    <w:rsid w:val="00072D18"/>
    <w:rsid w:val="000831BA"/>
    <w:rsid w:val="000A42CC"/>
    <w:rsid w:val="000B604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105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72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B01"/>
    <w:rsid w:val="00A1687D"/>
    <w:rsid w:val="00A43E52"/>
    <w:rsid w:val="00A4678D"/>
    <w:rsid w:val="00A778C7"/>
    <w:rsid w:val="00AB441E"/>
    <w:rsid w:val="00AB6293"/>
    <w:rsid w:val="00AE0726"/>
    <w:rsid w:val="00AE0928"/>
    <w:rsid w:val="00AF3B82"/>
    <w:rsid w:val="00B12E95"/>
    <w:rsid w:val="00B166E2"/>
    <w:rsid w:val="00B22876"/>
    <w:rsid w:val="00B558F0"/>
    <w:rsid w:val="00BD17C1"/>
    <w:rsid w:val="00BD48FE"/>
    <w:rsid w:val="00BD7BD8"/>
    <w:rsid w:val="00BE26D1"/>
    <w:rsid w:val="00BE6ADC"/>
    <w:rsid w:val="00C05A3E"/>
    <w:rsid w:val="00C05BFE"/>
    <w:rsid w:val="00C23CD4"/>
    <w:rsid w:val="00C61C0C"/>
    <w:rsid w:val="00C941CB"/>
    <w:rsid w:val="00CB4EB6"/>
    <w:rsid w:val="00CC2357"/>
    <w:rsid w:val="00CE363B"/>
    <w:rsid w:val="00CF071A"/>
    <w:rsid w:val="00D058B8"/>
    <w:rsid w:val="00D1632B"/>
    <w:rsid w:val="00D56C11"/>
    <w:rsid w:val="00D834A0"/>
    <w:rsid w:val="00D872DF"/>
    <w:rsid w:val="00D91E21"/>
    <w:rsid w:val="00DA7FCD"/>
    <w:rsid w:val="00E365E1"/>
    <w:rsid w:val="00E74FDA"/>
    <w:rsid w:val="00E820A4"/>
    <w:rsid w:val="00EB006A"/>
    <w:rsid w:val="00EB4772"/>
    <w:rsid w:val="00ED169E"/>
    <w:rsid w:val="00ED4235"/>
    <w:rsid w:val="00EE6674"/>
    <w:rsid w:val="00F04346"/>
    <w:rsid w:val="00F075DC"/>
    <w:rsid w:val="00F149E9"/>
    <w:rsid w:val="00F5134D"/>
    <w:rsid w:val="00F5628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1D3E33"/>
  <w15:chartTrackingRefBased/>
  <w15:docId w15:val="{D5AB8658-AF5F-4F66-940E-A613196E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D17C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7C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7C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7C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7C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7C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7C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BD17C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BD17C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BD17C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D17C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D17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D17C1"/>
    <w:pPr>
      <w:spacing w:after="120"/>
    </w:pPr>
  </w:style>
  <w:style w:type="paragraph" w:customStyle="1" w:styleId="PageHeading">
    <w:name w:val="PageHeading"/>
    <w:basedOn w:val="Normal"/>
    <w:rsid w:val="00BD17C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D17C1"/>
    <w:rPr>
      <w:b/>
    </w:rPr>
  </w:style>
  <w:style w:type="paragraph" w:customStyle="1" w:styleId="NormalBold12a">
    <w:name w:val="NormalBold12a"/>
    <w:basedOn w:val="Normal"/>
    <w:rsid w:val="00BD17C1"/>
    <w:pPr>
      <w:spacing w:after="240"/>
    </w:pPr>
    <w:rPr>
      <w:b/>
    </w:rPr>
  </w:style>
  <w:style w:type="paragraph" w:customStyle="1" w:styleId="AmJustText">
    <w:name w:val="AmJustText"/>
    <w:basedOn w:val="Normal"/>
    <w:rsid w:val="00BD17C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D17C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D17C1"/>
    <w:pPr>
      <w:spacing w:after="480"/>
      <w:ind w:left="1417"/>
    </w:pPr>
  </w:style>
  <w:style w:type="paragraph" w:customStyle="1" w:styleId="CoverNormal">
    <w:name w:val="CoverNormal"/>
    <w:basedOn w:val="Normal"/>
    <w:rsid w:val="00BD17C1"/>
    <w:pPr>
      <w:ind w:left="1418"/>
    </w:pPr>
  </w:style>
  <w:style w:type="paragraph" w:customStyle="1" w:styleId="AmCrossRef">
    <w:name w:val="AmCrossRef"/>
    <w:basedOn w:val="Normal"/>
    <w:rsid w:val="00BD17C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D17C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D17C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D17C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D17C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D17C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D17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7C1"/>
    <w:rPr>
      <w:sz w:val="24"/>
      <w:lang w:val="mt-MT"/>
    </w:rPr>
  </w:style>
  <w:style w:type="paragraph" w:customStyle="1" w:styleId="AmOrLang">
    <w:name w:val="AmOrLang"/>
    <w:basedOn w:val="Normal"/>
    <w:rsid w:val="00BD17C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D17C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D17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D17C1"/>
    <w:pPr>
      <w:spacing w:before="240"/>
    </w:pPr>
    <w:rPr>
      <w:b/>
    </w:rPr>
  </w:style>
  <w:style w:type="paragraph" w:customStyle="1" w:styleId="EPBody">
    <w:name w:val="EPBody"/>
    <w:basedOn w:val="Normal"/>
    <w:rsid w:val="00BD17C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D17C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D17C1"/>
    <w:pPr>
      <w:spacing w:before="480" w:after="240"/>
    </w:pPr>
  </w:style>
  <w:style w:type="paragraph" w:customStyle="1" w:styleId="Lgendesigne">
    <w:name w:val="Légende signe"/>
    <w:basedOn w:val="Normal"/>
    <w:rsid w:val="00BD17C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D17C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D17C1"/>
    <w:rPr>
      <w:sz w:val="18"/>
    </w:rPr>
  </w:style>
  <w:style w:type="paragraph" w:customStyle="1" w:styleId="msonormal0">
    <w:name w:val="msonormal"/>
    <w:basedOn w:val="Normal"/>
    <w:rsid w:val="00BD17C1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BD17C1"/>
    <w:pPr>
      <w:ind w:left="1417"/>
    </w:pPr>
    <w:rPr>
      <w:b/>
    </w:rPr>
  </w:style>
  <w:style w:type="paragraph" w:customStyle="1" w:styleId="Normal2">
    <w:name w:val="Normal2"/>
    <w:basedOn w:val="Normal"/>
    <w:qFormat/>
    <w:rsid w:val="00BD17C1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BD17C1"/>
    <w:rPr>
      <w:i/>
    </w:rPr>
  </w:style>
  <w:style w:type="paragraph" w:customStyle="1" w:styleId="NormalBoldItalic6a">
    <w:name w:val="NormalBoldItalic6a"/>
    <w:basedOn w:val="Normal6a"/>
    <w:qFormat/>
    <w:rsid w:val="00BD17C1"/>
    <w:rPr>
      <w:b/>
      <w:i/>
    </w:rPr>
  </w:style>
  <w:style w:type="paragraph" w:customStyle="1" w:styleId="NormalBoldItalicCenter6a">
    <w:name w:val="NormalBoldItalicCenter6a"/>
    <w:basedOn w:val="Normal6a"/>
    <w:qFormat/>
    <w:rsid w:val="00BD17C1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BD17C1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mt-MT"/>
    </w:rPr>
  </w:style>
  <w:style w:type="paragraph" w:customStyle="1" w:styleId="EPFooterLandscape">
    <w:name w:val="EPFooterLandscape"/>
    <w:qFormat/>
    <w:rsid w:val="00BD17C1"/>
    <w:pPr>
      <w:tabs>
        <w:tab w:val="center" w:pos="6804"/>
        <w:tab w:val="right" w:pos="15026"/>
      </w:tabs>
    </w:pPr>
    <w:rPr>
      <w:sz w:val="22"/>
      <w:lang w:val="mt-MT"/>
    </w:rPr>
  </w:style>
  <w:style w:type="character" w:customStyle="1" w:styleId="NormalBI">
    <w:name w:val="NormalBI"/>
    <w:basedOn w:val="DefaultParagraphFont"/>
    <w:uiPriority w:val="1"/>
    <w:qFormat/>
    <w:rsid w:val="00BD17C1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BD17C1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BD17C1"/>
    <w:rPr>
      <w:b/>
      <w:bCs w:val="0"/>
    </w:rPr>
  </w:style>
  <w:style w:type="character" w:customStyle="1" w:styleId="Italic">
    <w:name w:val="Italic"/>
    <w:uiPriority w:val="1"/>
    <w:qFormat/>
    <w:rsid w:val="00BD17C1"/>
    <w:rPr>
      <w:i/>
      <w:iCs w:val="0"/>
    </w:rPr>
  </w:style>
  <w:style w:type="character" w:customStyle="1" w:styleId="BoldItalic">
    <w:name w:val="BoldItalic"/>
    <w:uiPriority w:val="1"/>
    <w:qFormat/>
    <w:rsid w:val="00BD17C1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BD17C1"/>
    <w:rPr>
      <w:u w:val="single"/>
    </w:rPr>
  </w:style>
  <w:style w:type="character" w:customStyle="1" w:styleId="Sub">
    <w:name w:val="Sub"/>
    <w:uiPriority w:val="1"/>
    <w:qFormat/>
    <w:rsid w:val="00BD17C1"/>
    <w:rPr>
      <w:vertAlign w:val="subscript"/>
    </w:rPr>
  </w:style>
  <w:style w:type="character" w:customStyle="1" w:styleId="Sup">
    <w:name w:val="Sup"/>
    <w:uiPriority w:val="1"/>
    <w:qFormat/>
    <w:rsid w:val="00BD17C1"/>
    <w:rPr>
      <w:vertAlign w:val="superscript"/>
    </w:rPr>
  </w:style>
  <w:style w:type="character" w:customStyle="1" w:styleId="SupBoldItalic">
    <w:name w:val="SupBoldItalic"/>
    <w:uiPriority w:val="1"/>
    <w:qFormat/>
    <w:rsid w:val="00BD17C1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BD17C1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nhideWhenUsed/>
    <w:rsid w:val="00BD17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D17C1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BD17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17C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17C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D17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D17C1"/>
    <w:rPr>
      <w:b/>
      <w:bCs/>
      <w:lang w:val="mt-MT"/>
    </w:rPr>
  </w:style>
  <w:style w:type="paragraph" w:customStyle="1" w:styleId="EntPE">
    <w:name w:val="EntPE"/>
    <w:basedOn w:val="Normal12"/>
    <w:rsid w:val="00BD17C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D17C1"/>
    <w:pPr>
      <w:spacing w:after="240"/>
    </w:pPr>
    <w:rPr>
      <w:noProof/>
    </w:rPr>
  </w:style>
  <w:style w:type="paragraph" w:customStyle="1" w:styleId="CommitteeAM">
    <w:name w:val="CommitteeAM"/>
    <w:basedOn w:val="Normal"/>
    <w:rsid w:val="00BD17C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D17C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D17C1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BD17C1"/>
    <w:rPr>
      <w:noProof/>
      <w:sz w:val="24"/>
      <w:lang w:val="mt-MT"/>
    </w:rPr>
  </w:style>
  <w:style w:type="paragraph" w:customStyle="1" w:styleId="PELeft">
    <w:name w:val="PELeft"/>
    <w:basedOn w:val="Normal"/>
    <w:rsid w:val="00BD17C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D17C1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BD17C1"/>
    <w:pPr>
      <w:spacing w:after="120"/>
    </w:pPr>
  </w:style>
  <w:style w:type="paragraph" w:customStyle="1" w:styleId="Normal12Italic">
    <w:name w:val="Normal12Italic"/>
    <w:basedOn w:val="Normal12"/>
    <w:rsid w:val="00BD17C1"/>
    <w:rPr>
      <w:i/>
    </w:rPr>
  </w:style>
  <w:style w:type="character" w:customStyle="1" w:styleId="NormalBoldChar">
    <w:name w:val="NormalBold Char"/>
    <w:link w:val="NormalBold"/>
    <w:rsid w:val="00BD17C1"/>
    <w:rPr>
      <w:b/>
      <w:sz w:val="24"/>
      <w:lang w:val="mt-MT"/>
    </w:rPr>
  </w:style>
  <w:style w:type="paragraph" w:customStyle="1" w:styleId="JustificationTitle">
    <w:name w:val="JustificationTitle"/>
    <w:basedOn w:val="Normal"/>
    <w:next w:val="Normal12"/>
    <w:rsid w:val="00BD17C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D17C1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BD17C1"/>
    <w:rPr>
      <w:sz w:val="24"/>
      <w:lang w:val="mt-MT"/>
    </w:rPr>
  </w:style>
  <w:style w:type="paragraph" w:customStyle="1" w:styleId="ColumnHeading">
    <w:name w:val="ColumnHeading"/>
    <w:basedOn w:val="Normal"/>
    <w:rsid w:val="00BD17C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D17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D17C1"/>
    <w:pPr>
      <w:spacing w:before="240"/>
      <w:jc w:val="center"/>
    </w:pPr>
    <w:rPr>
      <w:i/>
    </w:rPr>
  </w:style>
  <w:style w:type="character" w:customStyle="1" w:styleId="Footer2Middle">
    <w:name w:val="Footer2Middle"/>
    <w:rsid w:val="00BD17C1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BD17C1"/>
    <w:pPr>
      <w:spacing w:after="240"/>
    </w:pPr>
  </w:style>
  <w:style w:type="paragraph" w:customStyle="1" w:styleId="RollCallVotes">
    <w:name w:val="RollCallVotes"/>
    <w:basedOn w:val="Normal"/>
    <w:rsid w:val="00BD17C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D17C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D17C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D17C1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BD17C1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BD17C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D17C1"/>
    <w:rPr>
      <w:sz w:val="24"/>
      <w:lang w:val="mt-MT"/>
    </w:rPr>
  </w:style>
  <w:style w:type="paragraph" w:customStyle="1" w:styleId="LetterSalutation">
    <w:name w:val="LetterSalutation"/>
    <w:basedOn w:val="Normal"/>
    <w:rsid w:val="00BD17C1"/>
    <w:pPr>
      <w:spacing w:before="600" w:after="360"/>
    </w:pPr>
  </w:style>
  <w:style w:type="paragraph" w:styleId="Footer">
    <w:name w:val="footer"/>
    <w:basedOn w:val="Normal"/>
    <w:link w:val="FooterChar"/>
    <w:uiPriority w:val="99"/>
    <w:rsid w:val="00BD17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7C1"/>
    <w:rPr>
      <w:sz w:val="24"/>
      <w:lang w:val="mt-MT"/>
    </w:rPr>
  </w:style>
  <w:style w:type="paragraph" w:customStyle="1" w:styleId="AmDocTypeTab">
    <w:name w:val="AmDocTypeTab"/>
    <w:basedOn w:val="Normal"/>
    <w:rsid w:val="00C05A3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05A3E"/>
    <w:pPr>
      <w:spacing w:after="240"/>
      <w:jc w:val="center"/>
    </w:pPr>
  </w:style>
  <w:style w:type="paragraph" w:customStyle="1" w:styleId="AmDateTab">
    <w:name w:val="AmDateTab"/>
    <w:basedOn w:val="Normal"/>
    <w:rsid w:val="00C05A3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05A3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05A3E"/>
  </w:style>
  <w:style w:type="paragraph" w:customStyle="1" w:styleId="TOC11">
    <w:name w:val="TOC 11"/>
    <w:basedOn w:val="Normal"/>
    <w:next w:val="Normal"/>
    <w:uiPriority w:val="39"/>
    <w:semiHidden/>
    <w:unhideWhenUsed/>
    <w:rsid w:val="00C05A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C05A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C05A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05A3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05A3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05A3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05A3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05A3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05A3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05A3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05A3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05A3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05A3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05A3E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C05A3E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05A3E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C05A3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05A3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05A3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05A3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05A3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05A3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05A3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05A3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05A3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05A3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05A3E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05A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05A3E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05A3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05A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05A3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05A3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05A3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05A3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05A3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05A3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05A3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05A3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05A3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05A3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05A3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05A3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05A3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05A3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05A3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05A3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05A3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05A3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05A3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05A3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05A3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C05A3E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05A3E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05A3E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05A3E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05A3E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05A3E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05A3E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05A3E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05A3E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05A3E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05A3E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05A3E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05A3E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05A3E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05A3E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05A3E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05A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05A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05A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05A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05A3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05A3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05A3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05A3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05A3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05A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05A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05A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05A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05A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05A3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05A3E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05A3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05A3E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05A3E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05A3E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05A3E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05A3E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05A3E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05A3E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05A3E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05A3E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05A3E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05A3E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05A3E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05A3E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05A3E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05A3E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05A3E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05A3E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05A3E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05A3E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05A3E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05A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05A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05A3E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05A3E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05A3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05A3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05A3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05A3E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05A3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05A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05A3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C05A3E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05A3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05A3E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05A3E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05A3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05A3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05A3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05A3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05A3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05A3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05A3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05A3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05A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05A3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05A3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05A3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05A3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05A3E"/>
    <w:pPr>
      <w:spacing w:before="240"/>
    </w:pPr>
  </w:style>
  <w:style w:type="paragraph" w:customStyle="1" w:styleId="Accordtitre">
    <w:name w:val="Accord titre"/>
    <w:basedOn w:val="Normal"/>
    <w:rsid w:val="00C05A3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05A3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05A3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05A3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05A3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05A3E"/>
    <w:pPr>
      <w:spacing w:after="240"/>
    </w:pPr>
  </w:style>
  <w:style w:type="paragraph" w:customStyle="1" w:styleId="Annexetitre">
    <w:name w:val="Annexe titre"/>
    <w:basedOn w:val="Normal"/>
    <w:next w:val="Normal"/>
    <w:rsid w:val="00C05A3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05A3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C05A3E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C05A3E"/>
  </w:style>
  <w:style w:type="character" w:styleId="EndnoteReference">
    <w:name w:val="endnote reference"/>
    <w:basedOn w:val="DefaultParagraphFont"/>
    <w:uiPriority w:val="99"/>
    <w:unhideWhenUsed/>
    <w:rsid w:val="00C05A3E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05A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05A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05A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05A3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05A3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05A3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05A3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05A3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05A3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05A3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05A3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05A3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05A3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05A3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05A3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05A3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05A3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05A3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05A3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05A3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05A3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05A3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05A3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05A3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05A3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05A3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05A3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C05A3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05A3E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05A3E"/>
    <w:rPr>
      <w:b/>
      <w:i/>
    </w:rPr>
  </w:style>
  <w:style w:type="character" w:customStyle="1" w:styleId="diff-tte-removed">
    <w:name w:val="diff-tte-removed"/>
    <w:basedOn w:val="DefaultParagraphFont"/>
    <w:rsid w:val="00C05A3E"/>
    <w:rPr>
      <w:strike/>
    </w:rPr>
  </w:style>
  <w:style w:type="paragraph" w:customStyle="1" w:styleId="ListNumber21">
    <w:name w:val="List Number 21"/>
    <w:basedOn w:val="Normal"/>
    <w:next w:val="ListNumber2"/>
    <w:unhideWhenUsed/>
    <w:rsid w:val="00C05A3E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C05A3E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frenceinterinstitutionnelle">
    <w:name w:val="Référence interinstitutionnelle"/>
    <w:basedOn w:val="Normal"/>
    <w:next w:val="Statut"/>
    <w:rsid w:val="00C05A3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C05A3E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C05A3E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C05A3E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C05A3E"/>
    <w:rPr>
      <w:lang w:val="mt-MT"/>
    </w:rPr>
  </w:style>
  <w:style w:type="character" w:styleId="Emphasis">
    <w:name w:val="Emphasis"/>
    <w:basedOn w:val="DefaultParagraphFont"/>
    <w:uiPriority w:val="20"/>
    <w:qFormat/>
    <w:rsid w:val="00C05A3E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C05A3E"/>
    <w:rPr>
      <w:color w:val="0563C1"/>
      <w:u w:val="single"/>
    </w:rPr>
  </w:style>
  <w:style w:type="character" w:customStyle="1" w:styleId="super">
    <w:name w:val="super"/>
    <w:basedOn w:val="DefaultParagraphFont"/>
    <w:rsid w:val="00C05A3E"/>
  </w:style>
  <w:style w:type="paragraph" w:customStyle="1" w:styleId="CommentText1">
    <w:name w:val="Comment Text1"/>
    <w:basedOn w:val="Normal"/>
    <w:next w:val="CommentText"/>
    <w:uiPriority w:val="99"/>
    <w:unhideWhenUsed/>
    <w:rsid w:val="00C05A3E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C05A3E"/>
    <w:pPr>
      <w:widowControl/>
      <w:spacing w:before="120" w:after="120"/>
    </w:pPr>
    <w:rPr>
      <w:rFonts w:eastAsia="Calibri"/>
      <w:b/>
      <w:bCs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C05A3E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05A3E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C05A3E"/>
    <w:rPr>
      <w:rFonts w:eastAsia="Calibri"/>
      <w:sz w:val="24"/>
      <w:szCs w:val="22"/>
      <w:lang w:val="mt-MT"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05A3E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C05A3E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C05A3E"/>
    <w:rPr>
      <w:lang w:val="mt-MT"/>
    </w:rPr>
  </w:style>
  <w:style w:type="paragraph" w:styleId="ListNumber2">
    <w:name w:val="List Number 2"/>
    <w:basedOn w:val="Normal"/>
    <w:rsid w:val="00C05A3E"/>
    <w:pPr>
      <w:tabs>
        <w:tab w:val="num" w:pos="720"/>
      </w:tabs>
      <w:ind w:left="720" w:hanging="360"/>
      <w:contextualSpacing/>
    </w:pPr>
  </w:style>
  <w:style w:type="character" w:customStyle="1" w:styleId="BalloonTextChar1">
    <w:name w:val="Balloon Text Char1"/>
    <w:basedOn w:val="DefaultParagraphFont"/>
    <w:rsid w:val="00C05A3E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rsid w:val="00C05A3E"/>
    <w:rPr>
      <w:color w:val="0563C1" w:themeColor="hyperlink"/>
      <w:u w:val="single"/>
    </w:rPr>
  </w:style>
  <w:style w:type="character" w:customStyle="1" w:styleId="CommentTextChar1">
    <w:name w:val="Comment Text Char1"/>
    <w:basedOn w:val="DefaultParagraphFont"/>
    <w:rsid w:val="00C05A3E"/>
    <w:rPr>
      <w:lang w:val="mt-MT"/>
    </w:rPr>
  </w:style>
  <w:style w:type="character" w:customStyle="1" w:styleId="CommentSubjectChar1">
    <w:name w:val="Comment Subject Char1"/>
    <w:basedOn w:val="CommentTextChar1"/>
    <w:rsid w:val="00C05A3E"/>
    <w:rPr>
      <w:b/>
      <w:bCs/>
      <w:lang w:val="mt-MT"/>
    </w:rPr>
  </w:style>
  <w:style w:type="paragraph" w:styleId="Revision">
    <w:name w:val="Revision"/>
    <w:hidden/>
    <w:uiPriority w:val="99"/>
    <w:semiHidden/>
    <w:rsid w:val="00C05A3E"/>
    <w:rPr>
      <w:sz w:val="24"/>
      <w:lang w:val="mt-MT"/>
    </w:rPr>
  </w:style>
  <w:style w:type="character" w:styleId="FollowedHyperlink">
    <w:name w:val="FollowedHyperlink"/>
    <w:basedOn w:val="DefaultParagraphFont"/>
    <w:rsid w:val="00C05A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093AD-3E8F-48AB-B260-A470D05C7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2024-07-23T09:11:00Z</dcterms:created>
  <dcterms:modified xsi:type="dcterms:W3CDTF">2024-07-23T09:11:00Z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