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221B9" w:rsidTr="0010095E">
        <w:trPr>
          <w:trHeight w:hRule="exact" w:val="1418"/>
        </w:trPr>
        <w:tc>
          <w:tcPr>
            <w:tcW w:w="6804" w:type="dxa"/>
            <w:shd w:val="clear" w:color="auto" w:fill="auto"/>
            <w:vAlign w:val="center"/>
          </w:tcPr>
          <w:p w:rsidR="00751A4A" w:rsidRPr="00D221B9" w:rsidRDefault="00B93A0A" w:rsidP="0010095E">
            <w:pPr>
              <w:pStyle w:val="EPName"/>
            </w:pPr>
            <w:r w:rsidRPr="00D221B9">
              <w:t>Europäisches Parlament</w:t>
            </w:r>
          </w:p>
          <w:p w:rsidR="00751A4A" w:rsidRPr="00D221B9" w:rsidRDefault="00817416" w:rsidP="00756632">
            <w:pPr>
              <w:pStyle w:val="EPTerm"/>
              <w:rPr>
                <w:rStyle w:val="HideTWBExt"/>
                <w:noProof w:val="0"/>
                <w:vanish w:val="0"/>
                <w:color w:val="auto"/>
              </w:rPr>
            </w:pPr>
            <w:r w:rsidRPr="00301F27">
              <w:t>2019</w:t>
            </w:r>
            <w:r w:rsidRPr="00D221B9">
              <w:t>-</w:t>
            </w:r>
            <w:r w:rsidRPr="00301F27">
              <w:t>2024</w:t>
            </w:r>
          </w:p>
        </w:tc>
        <w:tc>
          <w:tcPr>
            <w:tcW w:w="2268" w:type="dxa"/>
            <w:shd w:val="clear" w:color="auto" w:fill="auto"/>
          </w:tcPr>
          <w:p w:rsidR="00751A4A" w:rsidRPr="00D221B9" w:rsidRDefault="00187494" w:rsidP="0010095E">
            <w:pPr>
              <w:pStyle w:val="EPLogo"/>
            </w:pPr>
            <w:r w:rsidRPr="00D221B9">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221B9" w:rsidRDefault="00D058B8" w:rsidP="004C5D52">
      <w:pPr>
        <w:pStyle w:val="LineTop"/>
      </w:pPr>
    </w:p>
    <w:p w:rsidR="00680577" w:rsidRPr="00D221B9" w:rsidRDefault="00B93A0A" w:rsidP="00680577">
      <w:pPr>
        <w:pStyle w:val="EPBodyTA1"/>
      </w:pPr>
      <w:r w:rsidRPr="00D221B9">
        <w:t>ANGENOMMENE TEXTE</w:t>
      </w:r>
    </w:p>
    <w:p w:rsidR="00D058B8" w:rsidRPr="00D221B9" w:rsidRDefault="00D058B8" w:rsidP="00D058B8">
      <w:pPr>
        <w:pStyle w:val="LineBottom"/>
      </w:pPr>
    </w:p>
    <w:p w:rsidR="00B93A0A" w:rsidRPr="00D221B9" w:rsidRDefault="00B93A0A" w:rsidP="00B93A0A">
      <w:pPr>
        <w:pStyle w:val="ATHeading1"/>
      </w:pPr>
      <w:bookmarkStart w:id="0" w:name="TANumber"/>
      <w:r w:rsidRPr="00D221B9">
        <w:t>P</w:t>
      </w:r>
      <w:r w:rsidRPr="00301F27">
        <w:t>9</w:t>
      </w:r>
      <w:r w:rsidRPr="00D221B9">
        <w:t>_</w:t>
      </w:r>
      <w:proofErr w:type="gramStart"/>
      <w:r w:rsidRPr="00D221B9">
        <w:t>TA(</w:t>
      </w:r>
      <w:proofErr w:type="gramEnd"/>
      <w:r w:rsidRPr="00301F27">
        <w:t>2024</w:t>
      </w:r>
      <w:r w:rsidRPr="00D221B9">
        <w:t>)</w:t>
      </w:r>
      <w:bookmarkEnd w:id="0"/>
      <w:r w:rsidR="00EF58E4" w:rsidRPr="00301F27">
        <w:t>0180</w:t>
      </w:r>
    </w:p>
    <w:p w:rsidR="00B93A0A" w:rsidRPr="00D221B9" w:rsidRDefault="00B93A0A" w:rsidP="00B93A0A">
      <w:pPr>
        <w:pStyle w:val="ATHeading2"/>
      </w:pPr>
      <w:bookmarkStart w:id="1" w:name="title"/>
      <w:r w:rsidRPr="00D221B9">
        <w:t xml:space="preserve">Festlegung des Rückführungsverfahrens an der Grenze und Änderung der Verordnung (EU) </w:t>
      </w:r>
      <w:r w:rsidRPr="00301F27">
        <w:t>2021</w:t>
      </w:r>
      <w:r w:rsidRPr="00D221B9">
        <w:t>/</w:t>
      </w:r>
      <w:r w:rsidRPr="00301F27">
        <w:t>1148</w:t>
      </w:r>
      <w:bookmarkEnd w:id="1"/>
    </w:p>
    <w:p w:rsidR="00B93A0A" w:rsidRPr="00D221B9" w:rsidRDefault="00B93A0A" w:rsidP="00B93A0A">
      <w:pPr>
        <w:rPr>
          <w:i/>
          <w:vanish/>
        </w:rPr>
      </w:pPr>
      <w:r w:rsidRPr="00D221B9">
        <w:rPr>
          <w:i/>
        </w:rPr>
        <w:fldChar w:fldCharType="begin"/>
      </w:r>
      <w:r w:rsidRPr="00D221B9">
        <w:rPr>
          <w:i/>
        </w:rPr>
        <w:instrText xml:space="preserve"> TC"(</w:instrText>
      </w:r>
      <w:bookmarkStart w:id="2" w:name="DocNumber"/>
      <w:r w:rsidRPr="00D221B9">
        <w:rPr>
          <w:i/>
        </w:rPr>
        <w:instrText>A</w:instrText>
      </w:r>
      <w:r w:rsidRPr="00301F27">
        <w:rPr>
          <w:i/>
        </w:rPr>
        <w:instrText>9</w:instrText>
      </w:r>
      <w:r w:rsidRPr="00D221B9">
        <w:rPr>
          <w:i/>
        </w:rPr>
        <w:instrText>-</w:instrText>
      </w:r>
      <w:r w:rsidRPr="00301F27">
        <w:rPr>
          <w:i/>
        </w:rPr>
        <w:instrText>0164</w:instrText>
      </w:r>
      <w:r w:rsidRPr="00D221B9">
        <w:rPr>
          <w:i/>
        </w:rPr>
        <w:instrText>/</w:instrText>
      </w:r>
      <w:r w:rsidRPr="00301F27">
        <w:rPr>
          <w:i/>
        </w:rPr>
        <w:instrText>2024</w:instrText>
      </w:r>
      <w:bookmarkEnd w:id="2"/>
      <w:r w:rsidRPr="00D221B9">
        <w:rPr>
          <w:i/>
        </w:rPr>
        <w:instrText xml:space="preserve"> - Berichterstatterin: Fabienne Keller)"\l</w:instrText>
      </w:r>
      <w:r w:rsidRPr="00301F27">
        <w:rPr>
          <w:i/>
        </w:rPr>
        <w:instrText>3</w:instrText>
      </w:r>
      <w:r w:rsidRPr="00D221B9">
        <w:rPr>
          <w:i/>
        </w:rPr>
        <w:instrText xml:space="preserve"> \n&gt; \* MERGEFORMAT </w:instrText>
      </w:r>
      <w:r w:rsidRPr="00D221B9">
        <w:rPr>
          <w:i/>
        </w:rPr>
        <w:fldChar w:fldCharType="end"/>
      </w:r>
    </w:p>
    <w:p w:rsidR="00B93A0A" w:rsidRPr="00D221B9" w:rsidRDefault="00B93A0A" w:rsidP="00B93A0A">
      <w:pPr>
        <w:rPr>
          <w:vanish/>
        </w:rPr>
      </w:pPr>
      <w:bookmarkStart w:id="3" w:name="Commission"/>
      <w:r w:rsidRPr="00D221B9">
        <w:rPr>
          <w:vanish/>
        </w:rPr>
        <w:t>Ausschuss für bürgerliche Freiheiten, Justiz und Inneres</w:t>
      </w:r>
      <w:bookmarkEnd w:id="3"/>
    </w:p>
    <w:p w:rsidR="00B93A0A" w:rsidRPr="00D221B9" w:rsidRDefault="00B93A0A" w:rsidP="00B93A0A">
      <w:pPr>
        <w:rPr>
          <w:vanish/>
        </w:rPr>
      </w:pPr>
      <w:bookmarkStart w:id="4" w:name="PE"/>
      <w:r w:rsidRPr="00D221B9">
        <w:rPr>
          <w:vanish/>
        </w:rPr>
        <w:t>PE</w:t>
      </w:r>
      <w:r w:rsidRPr="00301F27">
        <w:rPr>
          <w:vanish/>
        </w:rPr>
        <w:t>760</w:t>
      </w:r>
      <w:r w:rsidRPr="00D221B9">
        <w:rPr>
          <w:vanish/>
        </w:rPr>
        <w:t>.</w:t>
      </w:r>
      <w:r w:rsidRPr="00301F27">
        <w:rPr>
          <w:vanish/>
        </w:rPr>
        <w:t>936</w:t>
      </w:r>
      <w:bookmarkEnd w:id="4"/>
    </w:p>
    <w:p w:rsidR="00B93A0A" w:rsidRPr="00D221B9" w:rsidRDefault="00B93A0A" w:rsidP="00B93A0A">
      <w:pPr>
        <w:pStyle w:val="ATHeading3"/>
      </w:pPr>
      <w:bookmarkStart w:id="5" w:name="Sujet"/>
      <w:r w:rsidRPr="00D221B9">
        <w:t xml:space="preserve">Legislative Entschließung des Europäischen Parlaments vom </w:t>
      </w:r>
      <w:r w:rsidRPr="00301F27">
        <w:t>10</w:t>
      </w:r>
      <w:r w:rsidRPr="00D221B9">
        <w:t xml:space="preserve">. April </w:t>
      </w:r>
      <w:r w:rsidRPr="00301F27">
        <w:t>2024</w:t>
      </w:r>
      <w:r w:rsidRPr="00D221B9">
        <w:t xml:space="preserve"> zu dem Vorschlag für eine Verordnung des Europäischen Parlaments und des Rates zur Festlegung des Rückführungsverfahrens an der Grenze und zur Änderung der Verordnung (EU) </w:t>
      </w:r>
      <w:r w:rsidRPr="00301F27">
        <w:t>2021</w:t>
      </w:r>
      <w:r w:rsidRPr="00D221B9">
        <w:t>/</w:t>
      </w:r>
      <w:r w:rsidRPr="00301F27">
        <w:t>1148</w:t>
      </w:r>
      <w:bookmarkEnd w:id="5"/>
      <w:r w:rsidRPr="00D221B9">
        <w:t xml:space="preserve"> </w:t>
      </w:r>
      <w:bookmarkStart w:id="6" w:name="References"/>
      <w:r w:rsidRPr="00D221B9">
        <w:t>(COM(</w:t>
      </w:r>
      <w:r w:rsidRPr="00301F27">
        <w:t>2016</w:t>
      </w:r>
      <w:r w:rsidRPr="00D221B9">
        <w:t>)</w:t>
      </w:r>
      <w:r w:rsidRPr="00301F27">
        <w:t>0467</w:t>
      </w:r>
      <w:r w:rsidRPr="00D221B9">
        <w:t>/</w:t>
      </w:r>
      <w:proofErr w:type="gramStart"/>
      <w:r w:rsidRPr="00D221B9">
        <w:t>COM(</w:t>
      </w:r>
      <w:proofErr w:type="gramEnd"/>
      <w:r w:rsidRPr="00301F27">
        <w:t>2020</w:t>
      </w:r>
      <w:r w:rsidRPr="00D221B9">
        <w:t>)</w:t>
      </w:r>
      <w:r w:rsidRPr="00301F27">
        <w:t>0611</w:t>
      </w:r>
      <w:r w:rsidRPr="00D221B9">
        <w:t xml:space="preserve"> – C</w:t>
      </w:r>
      <w:r w:rsidRPr="00301F27">
        <w:t>9</w:t>
      </w:r>
      <w:r w:rsidRPr="00D221B9">
        <w:t>-</w:t>
      </w:r>
      <w:r w:rsidRPr="00301F27">
        <w:t>0039</w:t>
      </w:r>
      <w:r w:rsidRPr="00D221B9">
        <w:t>/</w:t>
      </w:r>
      <w:r w:rsidRPr="00301F27">
        <w:t>2024</w:t>
      </w:r>
      <w:r w:rsidRPr="00D221B9">
        <w:t xml:space="preserve"> – </w:t>
      </w:r>
      <w:r w:rsidRPr="00301F27">
        <w:t>2016</w:t>
      </w:r>
      <w:r w:rsidRPr="00D221B9">
        <w:t>/</w:t>
      </w:r>
      <w:r w:rsidRPr="00301F27">
        <w:t>0224</w:t>
      </w:r>
      <w:r w:rsidRPr="00D221B9">
        <w:t>B(COD))</w:t>
      </w:r>
      <w:bookmarkEnd w:id="6"/>
    </w:p>
    <w:p w:rsidR="00445BD2" w:rsidRPr="00D221B9" w:rsidRDefault="00445BD2" w:rsidP="00445BD2">
      <w:pPr>
        <w:pStyle w:val="NormalBold"/>
      </w:pPr>
      <w:bookmarkStart w:id="7" w:name="TextBodyBegin"/>
      <w:bookmarkEnd w:id="7"/>
      <w:r w:rsidRPr="00D221B9">
        <w:t>(Ordentliches Gesetzgebungsverfahren: erste Lesung)</w:t>
      </w:r>
    </w:p>
    <w:p w:rsidR="00445BD2" w:rsidRPr="00D221B9" w:rsidRDefault="00445BD2" w:rsidP="00445BD2">
      <w:pPr>
        <w:pStyle w:val="EPComma"/>
      </w:pPr>
      <w:r w:rsidRPr="00D221B9">
        <w:rPr>
          <w:i/>
        </w:rPr>
        <w:t>Das Europäische Parlament</w:t>
      </w:r>
      <w:r w:rsidRPr="00D221B9">
        <w:t>,</w:t>
      </w:r>
    </w:p>
    <w:p w:rsidR="00445BD2" w:rsidRPr="00D221B9" w:rsidRDefault="00445BD2" w:rsidP="00445BD2">
      <w:pPr>
        <w:pStyle w:val="NormalHanging12a"/>
      </w:pPr>
      <w:r w:rsidRPr="00D221B9">
        <w:t>–</w:t>
      </w:r>
      <w:r w:rsidRPr="00D221B9">
        <w:tab/>
        <w:t>unter Hinweis auf den Vorschlag der Kommission an das Europäische Parlament und den Rat (</w:t>
      </w:r>
      <w:proofErr w:type="gramStart"/>
      <w:r w:rsidRPr="00D221B9">
        <w:t>COM(</w:t>
      </w:r>
      <w:proofErr w:type="gramEnd"/>
      <w:r w:rsidRPr="00301F27">
        <w:t>2016</w:t>
      </w:r>
      <w:r w:rsidRPr="00D221B9">
        <w:t>)</w:t>
      </w:r>
      <w:r w:rsidRPr="00301F27">
        <w:t>0467</w:t>
      </w:r>
      <w:r w:rsidRPr="00D221B9">
        <w:t>) und den geänderten Vorschlag (COM(</w:t>
      </w:r>
      <w:r w:rsidRPr="00301F27">
        <w:t>2020</w:t>
      </w:r>
      <w:r w:rsidRPr="00D221B9">
        <w:t>)</w:t>
      </w:r>
      <w:r w:rsidRPr="00301F27">
        <w:t>0611</w:t>
      </w:r>
      <w:r w:rsidRPr="00D221B9">
        <w:t>),</w:t>
      </w:r>
    </w:p>
    <w:p w:rsidR="00445BD2" w:rsidRPr="00D221B9" w:rsidRDefault="00445BD2" w:rsidP="00445BD2">
      <w:pPr>
        <w:pStyle w:val="NormalHanging12a"/>
      </w:pPr>
      <w:r w:rsidRPr="00D221B9">
        <w:t>–</w:t>
      </w:r>
      <w:r w:rsidRPr="00D221B9">
        <w:tab/>
        <w:t>gestützt auf Artikel </w:t>
      </w:r>
      <w:r w:rsidRPr="00301F27">
        <w:t>294</w:t>
      </w:r>
      <w:r w:rsidRPr="00D221B9">
        <w:t xml:space="preserve"> Absatz </w:t>
      </w:r>
      <w:r w:rsidRPr="00301F27">
        <w:t>2</w:t>
      </w:r>
      <w:r w:rsidRPr="00D221B9">
        <w:t xml:space="preserve"> und die Artikel </w:t>
      </w:r>
      <w:r w:rsidRPr="00301F27">
        <w:t>78</w:t>
      </w:r>
      <w:r w:rsidRPr="00D221B9">
        <w:t xml:space="preserve"> Absatz </w:t>
      </w:r>
      <w:r w:rsidRPr="00301F27">
        <w:t>2</w:t>
      </w:r>
      <w:r w:rsidRPr="00D221B9">
        <w:t xml:space="preserve"> Buchstabe d und </w:t>
      </w:r>
      <w:r w:rsidRPr="00301F27">
        <w:t>79</w:t>
      </w:r>
      <w:r w:rsidRPr="00D221B9">
        <w:t xml:space="preserve"> Absatz </w:t>
      </w:r>
      <w:r w:rsidRPr="00301F27">
        <w:t>2</w:t>
      </w:r>
      <w:r w:rsidRPr="00D221B9">
        <w:t xml:space="preserve"> Buchstabe c des Vertrags über die Arbeitsweise der Europäischen Union, auf deren Grundlage ihm der Vorschlag der Kommission unterbreitet wurde (C</w:t>
      </w:r>
      <w:r w:rsidRPr="00301F27">
        <w:t>9</w:t>
      </w:r>
      <w:r w:rsidRPr="00D221B9">
        <w:noBreakHyphen/>
      </w:r>
      <w:r w:rsidRPr="00301F27">
        <w:t>0039</w:t>
      </w:r>
      <w:r w:rsidRPr="00D221B9">
        <w:t>/</w:t>
      </w:r>
      <w:r w:rsidRPr="00301F27">
        <w:t>2024</w:t>
      </w:r>
      <w:r w:rsidRPr="00D221B9">
        <w:t>),</w:t>
      </w:r>
    </w:p>
    <w:p w:rsidR="00445BD2" w:rsidRPr="00D221B9" w:rsidRDefault="00445BD2" w:rsidP="00445BD2">
      <w:pPr>
        <w:pStyle w:val="NormalHanging12a"/>
      </w:pPr>
      <w:r w:rsidRPr="00D221B9">
        <w:t>–</w:t>
      </w:r>
      <w:r w:rsidRPr="00D221B9">
        <w:tab/>
        <w:t>unter Hinweis auf die Stellungnahme des Rechtsausschusses zu der vorgeschlagenen Rechtsgrundlage,</w:t>
      </w:r>
    </w:p>
    <w:p w:rsidR="00445BD2" w:rsidRPr="00D221B9" w:rsidRDefault="00445BD2" w:rsidP="00445BD2">
      <w:pPr>
        <w:pStyle w:val="NormalHanging12a"/>
      </w:pPr>
      <w:r w:rsidRPr="00D221B9">
        <w:t>–</w:t>
      </w:r>
      <w:r w:rsidRPr="00D221B9">
        <w:tab/>
        <w:t>gestützt auf Artikel </w:t>
      </w:r>
      <w:r w:rsidRPr="00301F27">
        <w:t>294</w:t>
      </w:r>
      <w:r w:rsidRPr="00D221B9">
        <w:t xml:space="preserve"> Absatz </w:t>
      </w:r>
      <w:r w:rsidRPr="00301F27">
        <w:t>3</w:t>
      </w:r>
      <w:r w:rsidRPr="00D221B9">
        <w:t xml:space="preserve"> und Artikel </w:t>
      </w:r>
      <w:r w:rsidRPr="00301F27">
        <w:t>79</w:t>
      </w:r>
      <w:r w:rsidRPr="00D221B9">
        <w:t xml:space="preserve"> Absatz </w:t>
      </w:r>
      <w:r w:rsidRPr="00301F27">
        <w:t>2</w:t>
      </w:r>
      <w:r w:rsidRPr="00D221B9">
        <w:t xml:space="preserve"> Buchstabe c des Vertrags über die Arbeitsweise der Europäischen Union,</w:t>
      </w:r>
    </w:p>
    <w:p w:rsidR="00445BD2" w:rsidRPr="00D221B9" w:rsidRDefault="00445BD2" w:rsidP="00445BD2">
      <w:pPr>
        <w:pStyle w:val="Normal12Hanging"/>
        <w:rPr>
          <w:noProof/>
        </w:rPr>
      </w:pPr>
      <w:r w:rsidRPr="00D221B9">
        <w:t>–</w:t>
      </w:r>
      <w:r w:rsidRPr="00D221B9">
        <w:tab/>
        <w:t xml:space="preserve">unter Hinweis auf die Stellungnahmen des Europäischen Wirtschafts- und Sozialausschusses vom </w:t>
      </w:r>
      <w:r w:rsidRPr="00301F27">
        <w:t>14</w:t>
      </w:r>
      <w:r w:rsidRPr="00D221B9">
        <w:t xml:space="preserve">. Dezember </w:t>
      </w:r>
      <w:r w:rsidRPr="00301F27">
        <w:t>2016</w:t>
      </w:r>
      <w:r w:rsidRPr="00D221B9">
        <w:rPr>
          <w:rStyle w:val="FootnoteReference"/>
          <w:noProof/>
        </w:rPr>
        <w:footnoteReference w:id="1"/>
      </w:r>
      <w:r w:rsidRPr="00D221B9">
        <w:t xml:space="preserve"> und vom </w:t>
      </w:r>
      <w:r w:rsidRPr="00301F27">
        <w:t>25</w:t>
      </w:r>
      <w:r w:rsidRPr="00D221B9">
        <w:t xml:space="preserve">. Februar </w:t>
      </w:r>
      <w:r w:rsidRPr="00301F27">
        <w:t>2021</w:t>
      </w:r>
      <w:r w:rsidRPr="00D221B9">
        <w:rPr>
          <w:rStyle w:val="FootnoteReference"/>
        </w:rPr>
        <w:footnoteReference w:id="2"/>
      </w:r>
      <w:r w:rsidRPr="00D221B9">
        <w:t>,</w:t>
      </w:r>
    </w:p>
    <w:p w:rsidR="00445BD2" w:rsidRPr="00D221B9" w:rsidRDefault="00445BD2" w:rsidP="00445BD2">
      <w:pPr>
        <w:pStyle w:val="Normal12Hanging"/>
        <w:rPr>
          <w:noProof/>
        </w:rPr>
      </w:pPr>
      <w:r w:rsidRPr="00D221B9">
        <w:t>–</w:t>
      </w:r>
      <w:r w:rsidRPr="00D221B9">
        <w:tab/>
        <w:t xml:space="preserve">unter Hinweis auf die Stellungnahmen des Ausschusses der Regionen vom </w:t>
      </w:r>
      <w:r w:rsidRPr="00301F27">
        <w:t>8</w:t>
      </w:r>
      <w:r w:rsidRPr="00D221B9">
        <w:t xml:space="preserve">. Februar </w:t>
      </w:r>
      <w:r w:rsidRPr="00301F27">
        <w:t>2017</w:t>
      </w:r>
      <w:r w:rsidRPr="00D221B9">
        <w:rPr>
          <w:rStyle w:val="FootnoteReference"/>
          <w:noProof/>
        </w:rPr>
        <w:footnoteReference w:id="3"/>
      </w:r>
      <w:r w:rsidRPr="00D221B9">
        <w:t xml:space="preserve"> und vom </w:t>
      </w:r>
      <w:r w:rsidRPr="00301F27">
        <w:t>19</w:t>
      </w:r>
      <w:r w:rsidRPr="00D221B9">
        <w:t xml:space="preserve">. März </w:t>
      </w:r>
      <w:r w:rsidRPr="00301F27">
        <w:t>2021</w:t>
      </w:r>
      <w:r w:rsidRPr="00D221B9">
        <w:rPr>
          <w:rStyle w:val="FootnoteReference"/>
        </w:rPr>
        <w:footnoteReference w:id="4"/>
      </w:r>
      <w:r w:rsidRPr="00D221B9">
        <w:t>,</w:t>
      </w:r>
    </w:p>
    <w:p w:rsidR="00445BD2" w:rsidRPr="00D221B9" w:rsidRDefault="00445BD2" w:rsidP="00445BD2">
      <w:pPr>
        <w:pStyle w:val="NormalHanging12a"/>
      </w:pPr>
      <w:r w:rsidRPr="00D221B9">
        <w:t>–</w:t>
      </w:r>
      <w:r w:rsidRPr="00D221B9">
        <w:tab/>
        <w:t>unter Hinweis auf die vorläufige Einigung, die gemäß Artikel </w:t>
      </w:r>
      <w:r w:rsidRPr="00301F27">
        <w:t>74</w:t>
      </w:r>
      <w:r w:rsidRPr="00D221B9">
        <w:t xml:space="preserve"> Absatz </w:t>
      </w:r>
      <w:r w:rsidRPr="00301F27">
        <w:t>4</w:t>
      </w:r>
      <w:r w:rsidRPr="00D221B9">
        <w:t xml:space="preserve"> seiner Geschäftsordnung vom zuständigen Ausschuss angenommen wurde, und auf die vom Vertreter des Rates mit Schreiben vom </w:t>
      </w:r>
      <w:r w:rsidRPr="00301F27">
        <w:t>8</w:t>
      </w:r>
      <w:r w:rsidRPr="00D221B9">
        <w:t xml:space="preserve">. Februar </w:t>
      </w:r>
      <w:r w:rsidRPr="00301F27">
        <w:t>2024</w:t>
      </w:r>
      <w:r w:rsidRPr="00D221B9">
        <w:t xml:space="preserve"> gemachte Zusage, den </w:t>
      </w:r>
      <w:r w:rsidRPr="00D221B9">
        <w:lastRenderedPageBreak/>
        <w:t>genannten Standpunkt gemäß Artikel </w:t>
      </w:r>
      <w:r w:rsidRPr="00301F27">
        <w:t>294</w:t>
      </w:r>
      <w:r w:rsidRPr="00D221B9">
        <w:t xml:space="preserve"> Absatz </w:t>
      </w:r>
      <w:r w:rsidRPr="00301F27">
        <w:t>4</w:t>
      </w:r>
      <w:r w:rsidRPr="00D221B9">
        <w:t xml:space="preserve"> des Vertrags über die Arbeitsweise der Europäischen Union zu billigen,</w:t>
      </w:r>
    </w:p>
    <w:p w:rsidR="00445BD2" w:rsidRPr="00D221B9" w:rsidRDefault="00445BD2" w:rsidP="00445BD2">
      <w:pPr>
        <w:pStyle w:val="Normal12Hanging"/>
      </w:pPr>
      <w:r w:rsidRPr="00D221B9">
        <w:t>–</w:t>
      </w:r>
      <w:r w:rsidRPr="00D221B9">
        <w:tab/>
        <w:t xml:space="preserve">unter Hinweis auf den Beschluss der Konferenz der Präsidenten vom </w:t>
      </w:r>
      <w:r w:rsidRPr="00301F27">
        <w:t>21</w:t>
      </w:r>
      <w:r w:rsidRPr="00D221B9">
        <w:t xml:space="preserve">. Februar </w:t>
      </w:r>
      <w:r w:rsidRPr="00301F27">
        <w:t>2024</w:t>
      </w:r>
      <w:r w:rsidRPr="00D221B9">
        <w:t>, dem Ausschuss für bürgerliche Freiheiten, Justiz und Inneres die Genehmigung dafür zu erteilen, das Gesetzgebungsverfahren aufzuteilen und in der Folge zwei separate konsolidierte Texte zur Prüfung im Plenum einzureichen,</w:t>
      </w:r>
    </w:p>
    <w:p w:rsidR="00445BD2" w:rsidRPr="00D221B9" w:rsidRDefault="00445BD2" w:rsidP="00445BD2">
      <w:pPr>
        <w:pStyle w:val="NormalHanging12a"/>
      </w:pPr>
      <w:r w:rsidRPr="00D221B9">
        <w:t>–</w:t>
      </w:r>
      <w:r w:rsidRPr="00D221B9">
        <w:tab/>
        <w:t>gestützt auf die Artikel </w:t>
      </w:r>
      <w:r w:rsidRPr="00301F27">
        <w:t>59</w:t>
      </w:r>
      <w:r w:rsidRPr="00D221B9">
        <w:t xml:space="preserve"> und </w:t>
      </w:r>
      <w:r w:rsidRPr="00301F27">
        <w:t>40</w:t>
      </w:r>
      <w:r w:rsidRPr="00D221B9">
        <w:t xml:space="preserve"> seiner Geschäftsordnung,</w:t>
      </w:r>
    </w:p>
    <w:p w:rsidR="00445BD2" w:rsidRPr="00D221B9" w:rsidRDefault="00445BD2" w:rsidP="00445BD2">
      <w:pPr>
        <w:pStyle w:val="NormalHanging12a"/>
      </w:pPr>
      <w:r w:rsidRPr="00D221B9">
        <w:t>–</w:t>
      </w:r>
      <w:r w:rsidRPr="00D221B9">
        <w:tab/>
        <w:t>unter Hinweis auf den Bericht des Ausschusses für bürgerliche Freiheiten, Justiz und Inneres (A</w:t>
      </w:r>
      <w:r w:rsidRPr="00301F27">
        <w:t>9</w:t>
      </w:r>
      <w:r w:rsidRPr="00D221B9">
        <w:t>-</w:t>
      </w:r>
      <w:r w:rsidRPr="00301F27">
        <w:t>0164</w:t>
      </w:r>
      <w:r w:rsidRPr="00D221B9">
        <w:t>/</w:t>
      </w:r>
      <w:r w:rsidRPr="00301F27">
        <w:t>2024</w:t>
      </w:r>
      <w:r w:rsidRPr="00D221B9">
        <w:t>),</w:t>
      </w:r>
    </w:p>
    <w:p w:rsidR="00445BD2" w:rsidRPr="00D221B9" w:rsidRDefault="00445BD2" w:rsidP="00445BD2">
      <w:pPr>
        <w:pStyle w:val="NormalHanging12a"/>
      </w:pPr>
      <w:r w:rsidRPr="00301F27">
        <w:t>1</w:t>
      </w:r>
      <w:r w:rsidRPr="00D221B9">
        <w:t>.</w:t>
      </w:r>
      <w:r w:rsidRPr="00D221B9">
        <w:tab/>
        <w:t>legt den folgenden Standpunkt in erster Lesung fest;</w:t>
      </w:r>
    </w:p>
    <w:p w:rsidR="00445BD2" w:rsidRPr="00D221B9" w:rsidRDefault="00445BD2" w:rsidP="00445BD2">
      <w:pPr>
        <w:pStyle w:val="Normal12Hanging"/>
        <w:rPr>
          <w:noProof/>
        </w:rPr>
      </w:pPr>
      <w:r w:rsidRPr="00301F27">
        <w:t>2</w:t>
      </w:r>
      <w:r w:rsidRPr="00D221B9">
        <w:t>.</w:t>
      </w:r>
      <w:r w:rsidRPr="00D221B9">
        <w:tab/>
        <w:t>fordert die Kommission auf, es erneut zu befassen, falls sie ihren Vorschlag ersetzt, entscheidend ändert oder beabsichtigt, ihn entscheidend zu ändern;</w:t>
      </w:r>
    </w:p>
    <w:p w:rsidR="00445BD2" w:rsidRPr="00D221B9" w:rsidRDefault="00445BD2" w:rsidP="00301F27">
      <w:pPr>
        <w:pStyle w:val="NormalHanging12a"/>
      </w:pPr>
      <w:r w:rsidRPr="00301F27">
        <w:t>3</w:t>
      </w:r>
      <w:r w:rsidRPr="00D221B9">
        <w:t>.</w:t>
      </w:r>
      <w:r w:rsidRPr="00D221B9">
        <w:tab/>
        <w:t xml:space="preserve">beauftragt seine Präsidentin, den Standpunkt des Parlaments dem Rat und der Kommission sowie den nationalen Parlamenten </w:t>
      </w:r>
      <w:r w:rsidR="00D221B9" w:rsidRPr="00D221B9">
        <w:t>zu übermitteln.</w:t>
      </w:r>
    </w:p>
    <w:p w:rsidR="0060127D" w:rsidRDefault="0060127D" w:rsidP="00445BD2">
      <w:pPr>
        <w:pStyle w:val="AmNumberTabs"/>
        <w:keepNext/>
        <w:sectPr w:rsidR="0060127D" w:rsidSect="00D221B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304AD" w:rsidRPr="001304AD" w:rsidRDefault="001304AD" w:rsidP="001304AD">
      <w:pPr>
        <w:pStyle w:val="NormalWeb"/>
        <w:rPr>
          <w:b/>
          <w:color w:val="000000"/>
          <w:lang w:val="de-DE"/>
        </w:rPr>
      </w:pPr>
      <w:bookmarkStart w:id="8" w:name="TextBodyEnd"/>
      <w:bookmarkEnd w:id="8"/>
      <w:r w:rsidRPr="001304AD">
        <w:rPr>
          <w:b/>
          <w:color w:val="000000"/>
          <w:lang w:val="de-DE"/>
        </w:rPr>
        <w:lastRenderedPageBreak/>
        <w:t>P</w:t>
      </w:r>
      <w:r w:rsidRPr="00301F27">
        <w:rPr>
          <w:b/>
          <w:color w:val="000000"/>
          <w:lang w:val="de-DE"/>
        </w:rPr>
        <w:t>9</w:t>
      </w:r>
      <w:r w:rsidRPr="001304AD">
        <w:rPr>
          <w:b/>
          <w:color w:val="000000"/>
          <w:lang w:val="de-DE"/>
        </w:rPr>
        <w:t>_TC</w:t>
      </w:r>
      <w:r w:rsidRPr="00301F27">
        <w:rPr>
          <w:b/>
          <w:color w:val="000000"/>
          <w:lang w:val="de-DE"/>
        </w:rPr>
        <w:t>1</w:t>
      </w:r>
      <w:r w:rsidRPr="001304AD">
        <w:rPr>
          <w:b/>
          <w:color w:val="000000"/>
          <w:lang w:val="de-DE"/>
        </w:rPr>
        <w:t>-</w:t>
      </w:r>
      <w:proofErr w:type="gramStart"/>
      <w:r w:rsidRPr="001304AD">
        <w:rPr>
          <w:b/>
          <w:color w:val="000000"/>
          <w:lang w:val="de-DE"/>
        </w:rPr>
        <w:t>COD(</w:t>
      </w:r>
      <w:proofErr w:type="gramEnd"/>
      <w:r w:rsidRPr="00301F27">
        <w:rPr>
          <w:b/>
          <w:color w:val="000000"/>
          <w:lang w:val="de-DE"/>
        </w:rPr>
        <w:t>2016</w:t>
      </w:r>
      <w:r w:rsidRPr="001304AD">
        <w:rPr>
          <w:b/>
          <w:color w:val="000000"/>
          <w:lang w:val="de-DE"/>
        </w:rPr>
        <w:t>)</w:t>
      </w:r>
      <w:r w:rsidRPr="00301F27">
        <w:rPr>
          <w:b/>
          <w:color w:val="000000"/>
          <w:lang w:val="de-DE"/>
        </w:rPr>
        <w:t>0224</w:t>
      </w:r>
      <w:r w:rsidRPr="001304AD">
        <w:rPr>
          <w:b/>
          <w:color w:val="000000"/>
          <w:lang w:val="de-DE"/>
        </w:rPr>
        <w:t>B</w:t>
      </w:r>
    </w:p>
    <w:p w:rsidR="001304AD" w:rsidRPr="00613525" w:rsidRDefault="001304AD" w:rsidP="001304AD">
      <w:pPr>
        <w:pStyle w:val="NormalWeb"/>
        <w:rPr>
          <w:b/>
          <w:lang w:val="de-DE"/>
        </w:rPr>
      </w:pPr>
      <w:r w:rsidRPr="00613525">
        <w:rPr>
          <w:b/>
          <w:color w:val="000000"/>
          <w:lang w:val="de-DE"/>
        </w:rPr>
        <w:t xml:space="preserve">Standpunkt des Europäischen Parlaments festgelegt in erster Lesung am 10. April 2024 im Hinblick auf den Erlass der Verordnung (EU) 2024/... des Europäischen Parlaments und des Rates </w:t>
      </w:r>
      <w:r w:rsidRPr="00613525">
        <w:rPr>
          <w:b/>
          <w:lang w:val="de-DE"/>
        </w:rPr>
        <w:t>zur Festlegung des Rückführungsverfahrens an der Grenze und zur Änderung der Verordnung (EU) 2021/1148</w:t>
      </w:r>
    </w:p>
    <w:p w:rsidR="00613525" w:rsidRPr="00613525" w:rsidRDefault="00613525" w:rsidP="001304AD">
      <w:pPr>
        <w:pStyle w:val="NormalWeb"/>
        <w:rPr>
          <w:b/>
          <w:i/>
          <w:lang w:val="de-DE"/>
        </w:rPr>
      </w:pPr>
      <w:r w:rsidRPr="00613525">
        <w:rPr>
          <w:i/>
          <w:color w:val="000000"/>
          <w:lang w:val="de-DE"/>
        </w:rPr>
        <w:t xml:space="preserve">(Da Parlament und Rat eine Einigung erzielt haben, entspricht der Standpunkt des Parlaments dem endgültigen Rechtsakt, Verordnung </w:t>
      </w:r>
      <w:r>
        <w:rPr>
          <w:i/>
          <w:color w:val="000000"/>
          <w:lang w:val="de-DE"/>
        </w:rPr>
        <w:t>(EU) 2024/1349</w:t>
      </w:r>
      <w:bookmarkStart w:id="9" w:name="_GoBack"/>
      <w:bookmarkEnd w:id="9"/>
      <w:r w:rsidRPr="00613525">
        <w:rPr>
          <w:i/>
          <w:color w:val="000000"/>
          <w:lang w:val="de-DE"/>
        </w:rPr>
        <w:t>.)</w:t>
      </w:r>
    </w:p>
    <w:sectPr w:rsidR="00613525" w:rsidRPr="00613525" w:rsidSect="00D221B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A0A" w:rsidRPr="00D221B9" w:rsidRDefault="00B93A0A">
      <w:r w:rsidRPr="00D221B9">
        <w:separator/>
      </w:r>
    </w:p>
  </w:endnote>
  <w:endnote w:type="continuationSeparator" w:id="0">
    <w:p w:rsidR="00B93A0A" w:rsidRPr="00D221B9" w:rsidRDefault="00B93A0A">
      <w:r w:rsidRPr="00D22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221B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221B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221B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A0A" w:rsidRPr="00D221B9" w:rsidRDefault="00B93A0A">
      <w:r w:rsidRPr="00D221B9">
        <w:separator/>
      </w:r>
    </w:p>
  </w:footnote>
  <w:footnote w:type="continuationSeparator" w:id="0">
    <w:p w:rsidR="00B93A0A" w:rsidRPr="00D221B9" w:rsidRDefault="00B93A0A">
      <w:r w:rsidRPr="00D221B9">
        <w:continuationSeparator/>
      </w:r>
    </w:p>
  </w:footnote>
  <w:footnote w:id="1">
    <w:p w:rsidR="00445BD2" w:rsidRPr="00D221B9" w:rsidRDefault="00445BD2" w:rsidP="00D221B9">
      <w:pPr>
        <w:pStyle w:val="FootnoteText"/>
        <w:ind w:left="567" w:hanging="567"/>
        <w:rPr>
          <w:sz w:val="24"/>
          <w:lang w:val="de-DE"/>
        </w:rPr>
      </w:pPr>
      <w:r w:rsidRPr="00D221B9">
        <w:rPr>
          <w:rStyle w:val="FootnoteReference"/>
          <w:sz w:val="24"/>
          <w:lang w:val="de-DE"/>
        </w:rPr>
        <w:footnoteRef/>
      </w:r>
      <w:r w:rsidR="00D221B9" w:rsidRPr="00D221B9">
        <w:rPr>
          <w:sz w:val="24"/>
          <w:lang w:val="de-DE"/>
        </w:rPr>
        <w:t xml:space="preserve"> </w:t>
      </w:r>
      <w:r w:rsidR="00D221B9" w:rsidRPr="00D221B9">
        <w:rPr>
          <w:sz w:val="24"/>
          <w:lang w:val="de-DE"/>
        </w:rPr>
        <w:tab/>
      </w:r>
      <w:r w:rsidRPr="00D221B9">
        <w:rPr>
          <w:sz w:val="24"/>
          <w:lang w:val="de-DE"/>
        </w:rPr>
        <w:t>ABl. C </w:t>
      </w:r>
      <w:r w:rsidRPr="00301F27">
        <w:rPr>
          <w:sz w:val="24"/>
          <w:lang w:val="de-DE"/>
        </w:rPr>
        <w:t>75</w:t>
      </w:r>
      <w:r w:rsidRPr="00D221B9">
        <w:rPr>
          <w:sz w:val="24"/>
          <w:lang w:val="de-DE"/>
        </w:rPr>
        <w:t xml:space="preserve"> vom </w:t>
      </w:r>
      <w:r w:rsidRPr="00301F27">
        <w:rPr>
          <w:sz w:val="24"/>
          <w:lang w:val="de-DE"/>
        </w:rPr>
        <w:t>10</w:t>
      </w:r>
      <w:r w:rsidRPr="00D221B9">
        <w:rPr>
          <w:sz w:val="24"/>
          <w:lang w:val="de-DE"/>
        </w:rPr>
        <w:t>.</w:t>
      </w:r>
      <w:r w:rsidRPr="00301F27">
        <w:rPr>
          <w:sz w:val="24"/>
          <w:lang w:val="de-DE"/>
        </w:rPr>
        <w:t>3</w:t>
      </w:r>
      <w:r w:rsidRPr="00D221B9">
        <w:rPr>
          <w:sz w:val="24"/>
          <w:lang w:val="de-DE"/>
        </w:rPr>
        <w:t>.</w:t>
      </w:r>
      <w:r w:rsidRPr="00301F27">
        <w:rPr>
          <w:sz w:val="24"/>
          <w:lang w:val="de-DE"/>
        </w:rPr>
        <w:t>2017</w:t>
      </w:r>
      <w:r w:rsidRPr="00D221B9">
        <w:rPr>
          <w:sz w:val="24"/>
          <w:lang w:val="de-DE"/>
        </w:rPr>
        <w:t>, S. </w:t>
      </w:r>
      <w:r w:rsidRPr="00301F27">
        <w:rPr>
          <w:sz w:val="24"/>
          <w:lang w:val="de-DE"/>
        </w:rPr>
        <w:t>97</w:t>
      </w:r>
      <w:r w:rsidRPr="00D221B9">
        <w:rPr>
          <w:sz w:val="24"/>
          <w:lang w:val="de-DE"/>
        </w:rPr>
        <w:t>.</w:t>
      </w:r>
    </w:p>
  </w:footnote>
  <w:footnote w:id="2">
    <w:p w:rsidR="00445BD2" w:rsidRPr="00D221B9" w:rsidRDefault="00445BD2" w:rsidP="00D221B9">
      <w:pPr>
        <w:pStyle w:val="FootnoteText"/>
        <w:ind w:left="567" w:hanging="567"/>
        <w:rPr>
          <w:sz w:val="24"/>
          <w:szCs w:val="24"/>
          <w:lang w:val="de-DE"/>
        </w:rPr>
      </w:pPr>
      <w:r w:rsidRPr="00D221B9">
        <w:rPr>
          <w:rStyle w:val="FootnoteReference"/>
          <w:sz w:val="24"/>
          <w:szCs w:val="24"/>
          <w:lang w:val="de-DE"/>
        </w:rPr>
        <w:footnoteRef/>
      </w:r>
      <w:r w:rsidR="00D221B9" w:rsidRPr="00D221B9">
        <w:rPr>
          <w:sz w:val="24"/>
          <w:lang w:val="de-DE"/>
        </w:rPr>
        <w:t xml:space="preserve"> </w:t>
      </w:r>
      <w:r w:rsidR="00D221B9" w:rsidRPr="00D221B9">
        <w:rPr>
          <w:sz w:val="24"/>
          <w:lang w:val="de-DE"/>
        </w:rPr>
        <w:tab/>
      </w:r>
      <w:r w:rsidRPr="00D221B9">
        <w:rPr>
          <w:sz w:val="24"/>
          <w:lang w:val="de-DE"/>
        </w:rPr>
        <w:t>ABl. C </w:t>
      </w:r>
      <w:r w:rsidRPr="00301F27">
        <w:rPr>
          <w:sz w:val="24"/>
          <w:lang w:val="de-DE"/>
        </w:rPr>
        <w:t>155</w:t>
      </w:r>
      <w:r w:rsidRPr="00D221B9">
        <w:rPr>
          <w:sz w:val="24"/>
          <w:lang w:val="de-DE"/>
        </w:rPr>
        <w:t xml:space="preserve"> vom </w:t>
      </w:r>
      <w:r w:rsidRPr="00301F27">
        <w:rPr>
          <w:sz w:val="24"/>
          <w:lang w:val="de-DE"/>
        </w:rPr>
        <w:t>30</w:t>
      </w:r>
      <w:r w:rsidRPr="00D221B9">
        <w:rPr>
          <w:sz w:val="24"/>
          <w:lang w:val="de-DE"/>
        </w:rPr>
        <w:t>.</w:t>
      </w:r>
      <w:r w:rsidRPr="00301F27">
        <w:rPr>
          <w:sz w:val="24"/>
          <w:lang w:val="de-DE"/>
        </w:rPr>
        <w:t>4</w:t>
      </w:r>
      <w:r w:rsidRPr="00D221B9">
        <w:rPr>
          <w:sz w:val="24"/>
          <w:lang w:val="de-DE"/>
        </w:rPr>
        <w:t>.</w:t>
      </w:r>
      <w:r w:rsidRPr="00301F27">
        <w:rPr>
          <w:sz w:val="24"/>
          <w:lang w:val="de-DE"/>
        </w:rPr>
        <w:t>2021</w:t>
      </w:r>
      <w:r w:rsidRPr="00D221B9">
        <w:rPr>
          <w:sz w:val="24"/>
          <w:lang w:val="de-DE"/>
        </w:rPr>
        <w:t>, S. </w:t>
      </w:r>
      <w:r w:rsidRPr="00301F27">
        <w:rPr>
          <w:sz w:val="24"/>
          <w:lang w:val="de-DE"/>
        </w:rPr>
        <w:t>64</w:t>
      </w:r>
      <w:r w:rsidRPr="00D221B9">
        <w:rPr>
          <w:sz w:val="24"/>
          <w:lang w:val="de-DE"/>
        </w:rPr>
        <w:t>.</w:t>
      </w:r>
    </w:p>
  </w:footnote>
  <w:footnote w:id="3">
    <w:p w:rsidR="00445BD2" w:rsidRPr="00D221B9" w:rsidRDefault="00445BD2" w:rsidP="00D221B9">
      <w:pPr>
        <w:pStyle w:val="FootnoteText"/>
        <w:ind w:left="567" w:hanging="567"/>
        <w:rPr>
          <w:sz w:val="24"/>
          <w:lang w:val="de-DE"/>
        </w:rPr>
      </w:pPr>
      <w:r w:rsidRPr="00D221B9">
        <w:rPr>
          <w:rStyle w:val="FootnoteReference"/>
          <w:sz w:val="24"/>
          <w:lang w:val="de-DE"/>
        </w:rPr>
        <w:footnoteRef/>
      </w:r>
      <w:r w:rsidR="00D221B9" w:rsidRPr="00D221B9">
        <w:rPr>
          <w:sz w:val="24"/>
          <w:lang w:val="de-DE"/>
        </w:rPr>
        <w:t xml:space="preserve"> </w:t>
      </w:r>
      <w:r w:rsidR="00D221B9" w:rsidRPr="00D221B9">
        <w:rPr>
          <w:sz w:val="24"/>
          <w:lang w:val="de-DE"/>
        </w:rPr>
        <w:tab/>
      </w:r>
      <w:r w:rsidRPr="00D221B9">
        <w:rPr>
          <w:sz w:val="24"/>
          <w:lang w:val="de-DE"/>
        </w:rPr>
        <w:t>ABl. C </w:t>
      </w:r>
      <w:r w:rsidRPr="00301F27">
        <w:rPr>
          <w:sz w:val="24"/>
          <w:lang w:val="de-DE"/>
        </w:rPr>
        <w:t>207</w:t>
      </w:r>
      <w:r w:rsidRPr="00D221B9">
        <w:rPr>
          <w:sz w:val="24"/>
          <w:lang w:val="de-DE"/>
        </w:rPr>
        <w:t xml:space="preserve"> vom </w:t>
      </w:r>
      <w:r w:rsidRPr="00301F27">
        <w:rPr>
          <w:sz w:val="24"/>
          <w:lang w:val="de-DE"/>
        </w:rPr>
        <w:t>30</w:t>
      </w:r>
      <w:r w:rsidRPr="00D221B9">
        <w:rPr>
          <w:sz w:val="24"/>
          <w:lang w:val="de-DE"/>
        </w:rPr>
        <w:t>.</w:t>
      </w:r>
      <w:r w:rsidRPr="00301F27">
        <w:rPr>
          <w:sz w:val="24"/>
          <w:lang w:val="de-DE"/>
        </w:rPr>
        <w:t>6</w:t>
      </w:r>
      <w:r w:rsidRPr="00D221B9">
        <w:rPr>
          <w:sz w:val="24"/>
          <w:lang w:val="de-DE"/>
        </w:rPr>
        <w:t>.</w:t>
      </w:r>
      <w:r w:rsidRPr="00301F27">
        <w:rPr>
          <w:sz w:val="24"/>
          <w:lang w:val="de-DE"/>
        </w:rPr>
        <w:t>2017</w:t>
      </w:r>
      <w:r w:rsidRPr="00D221B9">
        <w:rPr>
          <w:sz w:val="24"/>
          <w:lang w:val="de-DE"/>
        </w:rPr>
        <w:t>, S. </w:t>
      </w:r>
      <w:r w:rsidRPr="00301F27">
        <w:rPr>
          <w:sz w:val="24"/>
          <w:lang w:val="de-DE"/>
        </w:rPr>
        <w:t>67</w:t>
      </w:r>
      <w:r w:rsidRPr="00D221B9">
        <w:rPr>
          <w:sz w:val="24"/>
          <w:lang w:val="de-DE"/>
        </w:rPr>
        <w:t>.</w:t>
      </w:r>
    </w:p>
  </w:footnote>
  <w:footnote w:id="4">
    <w:p w:rsidR="00445BD2" w:rsidRPr="00D221B9" w:rsidRDefault="00445BD2" w:rsidP="00D221B9">
      <w:pPr>
        <w:pStyle w:val="FootnoteText"/>
        <w:ind w:left="567" w:hanging="567"/>
        <w:rPr>
          <w:sz w:val="24"/>
          <w:szCs w:val="24"/>
          <w:lang w:val="de-DE"/>
        </w:rPr>
      </w:pPr>
      <w:r w:rsidRPr="00D221B9">
        <w:rPr>
          <w:rStyle w:val="FootnoteReference"/>
          <w:sz w:val="24"/>
          <w:szCs w:val="24"/>
          <w:lang w:val="de-DE"/>
        </w:rPr>
        <w:footnoteRef/>
      </w:r>
      <w:r w:rsidR="00D221B9" w:rsidRPr="00D221B9">
        <w:rPr>
          <w:sz w:val="24"/>
          <w:lang w:val="de-DE"/>
        </w:rPr>
        <w:t xml:space="preserve"> </w:t>
      </w:r>
      <w:r w:rsidR="00D221B9" w:rsidRPr="00D221B9">
        <w:rPr>
          <w:sz w:val="24"/>
          <w:lang w:val="de-DE"/>
        </w:rPr>
        <w:tab/>
      </w:r>
      <w:r w:rsidRPr="00D221B9">
        <w:rPr>
          <w:sz w:val="24"/>
          <w:lang w:val="de-DE"/>
        </w:rPr>
        <w:t>ABl. C </w:t>
      </w:r>
      <w:r w:rsidRPr="00301F27">
        <w:rPr>
          <w:sz w:val="24"/>
          <w:lang w:val="de-DE"/>
        </w:rPr>
        <w:t>175</w:t>
      </w:r>
      <w:r w:rsidRPr="00D221B9">
        <w:rPr>
          <w:sz w:val="24"/>
          <w:lang w:val="de-DE"/>
        </w:rPr>
        <w:t xml:space="preserve"> vom </w:t>
      </w:r>
      <w:r w:rsidRPr="00301F27">
        <w:rPr>
          <w:sz w:val="24"/>
          <w:lang w:val="de-DE"/>
        </w:rPr>
        <w:t>7</w:t>
      </w:r>
      <w:r w:rsidRPr="00D221B9">
        <w:rPr>
          <w:sz w:val="24"/>
          <w:lang w:val="de-DE"/>
        </w:rPr>
        <w:t>.</w:t>
      </w:r>
      <w:r w:rsidRPr="00301F27">
        <w:rPr>
          <w:sz w:val="24"/>
          <w:lang w:val="de-DE"/>
        </w:rPr>
        <w:t>5</w:t>
      </w:r>
      <w:r w:rsidRPr="00D221B9">
        <w:rPr>
          <w:sz w:val="24"/>
          <w:lang w:val="de-DE"/>
        </w:rPr>
        <w:t>.</w:t>
      </w:r>
      <w:r w:rsidRPr="00301F27">
        <w:rPr>
          <w:sz w:val="24"/>
          <w:lang w:val="de-DE"/>
        </w:rPr>
        <w:t>2021</w:t>
      </w:r>
      <w:r w:rsidRPr="00D221B9">
        <w:rPr>
          <w:sz w:val="24"/>
          <w:lang w:val="de-DE"/>
        </w:rPr>
        <w:t>, S. </w:t>
      </w:r>
      <w:r w:rsidRPr="00301F27">
        <w:rPr>
          <w:sz w:val="24"/>
          <w:lang w:val="de-DE"/>
        </w:rPr>
        <w:t>32</w:t>
      </w:r>
      <w:r w:rsidRPr="00D221B9">
        <w:rPr>
          <w:sz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221B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221B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221B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4/2024"/>
    <w:docVar w:name="dvlangue" w:val="DE"/>
    <w:docVar w:name="dvnumam" w:val="0"/>
    <w:docVar w:name="dvpe" w:val="760.936"/>
    <w:docVar w:name="dvrapporteur" w:val="Berichterstatterin: "/>
    <w:docVar w:name="dvstar" w:val="***I"/>
    <w:docVar w:name="dvtitre" w:val="Legislative Entschließung des Europäischen Parlaments vom 10. April 2024 zu dem Vorschlag für eine Verordnung des Europäischen Parlaments und des Rates zur Festlegung des Rückführungsverfahrens an der Grenze und zur Änderung der Verordnung (EU) 2021/1148(COM(2016)0467/COM(2020)0611) – C9-0039/2024 – 2016/0224B(COD))"/>
  </w:docVars>
  <w:rsids>
    <w:rsidRoot w:val="00B93A0A"/>
    <w:rsid w:val="00002272"/>
    <w:rsid w:val="00064002"/>
    <w:rsid w:val="000677B9"/>
    <w:rsid w:val="000831BA"/>
    <w:rsid w:val="000A42CC"/>
    <w:rsid w:val="000E7DD9"/>
    <w:rsid w:val="0010095E"/>
    <w:rsid w:val="00125B37"/>
    <w:rsid w:val="001304AD"/>
    <w:rsid w:val="0016027E"/>
    <w:rsid w:val="00187494"/>
    <w:rsid w:val="001F32AE"/>
    <w:rsid w:val="002767FF"/>
    <w:rsid w:val="002B18FE"/>
    <w:rsid w:val="002B5493"/>
    <w:rsid w:val="00301F27"/>
    <w:rsid w:val="00343214"/>
    <w:rsid w:val="00361C00"/>
    <w:rsid w:val="00395FA1"/>
    <w:rsid w:val="003E15D4"/>
    <w:rsid w:val="00411CCE"/>
    <w:rsid w:val="0041666E"/>
    <w:rsid w:val="00421060"/>
    <w:rsid w:val="00445BD2"/>
    <w:rsid w:val="00471C19"/>
    <w:rsid w:val="004867E3"/>
    <w:rsid w:val="00494A28"/>
    <w:rsid w:val="004C0004"/>
    <w:rsid w:val="004C5D52"/>
    <w:rsid w:val="004E0DC2"/>
    <w:rsid w:val="0050519A"/>
    <w:rsid w:val="005072A1"/>
    <w:rsid w:val="00514517"/>
    <w:rsid w:val="00545827"/>
    <w:rsid w:val="00560270"/>
    <w:rsid w:val="005C2568"/>
    <w:rsid w:val="0060127D"/>
    <w:rsid w:val="006037C0"/>
    <w:rsid w:val="00613525"/>
    <w:rsid w:val="006631B6"/>
    <w:rsid w:val="00680577"/>
    <w:rsid w:val="006F74FA"/>
    <w:rsid w:val="00731ADD"/>
    <w:rsid w:val="00734777"/>
    <w:rsid w:val="00747932"/>
    <w:rsid w:val="00751A4A"/>
    <w:rsid w:val="00756632"/>
    <w:rsid w:val="00762C74"/>
    <w:rsid w:val="00786EC0"/>
    <w:rsid w:val="007B73FA"/>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93A0A"/>
    <w:rsid w:val="00BD48FE"/>
    <w:rsid w:val="00BD7BD8"/>
    <w:rsid w:val="00BE6ADC"/>
    <w:rsid w:val="00C05BFE"/>
    <w:rsid w:val="00C23CD4"/>
    <w:rsid w:val="00C61C0C"/>
    <w:rsid w:val="00C941CB"/>
    <w:rsid w:val="00CC2357"/>
    <w:rsid w:val="00CF071A"/>
    <w:rsid w:val="00D058B8"/>
    <w:rsid w:val="00D221B9"/>
    <w:rsid w:val="00D56C11"/>
    <w:rsid w:val="00D834A0"/>
    <w:rsid w:val="00D872DF"/>
    <w:rsid w:val="00D91E21"/>
    <w:rsid w:val="00DA7FCD"/>
    <w:rsid w:val="00E365E1"/>
    <w:rsid w:val="00E820A4"/>
    <w:rsid w:val="00EB006A"/>
    <w:rsid w:val="00EB4772"/>
    <w:rsid w:val="00ED169E"/>
    <w:rsid w:val="00ED4235"/>
    <w:rsid w:val="00EF58E4"/>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B8E35"/>
  <w15:chartTrackingRefBased/>
  <w15:docId w15:val="{873BE4FD-6D40-414A-97A5-21F189BE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45BD2"/>
    <w:pPr>
      <w:spacing w:before="480" w:after="240"/>
    </w:pPr>
  </w:style>
  <w:style w:type="paragraph" w:customStyle="1" w:styleId="NormalBold">
    <w:name w:val="NormalBold"/>
    <w:basedOn w:val="Normal"/>
    <w:rsid w:val="00445BD2"/>
    <w:rPr>
      <w:b/>
    </w:rPr>
  </w:style>
  <w:style w:type="paragraph" w:customStyle="1" w:styleId="NormalHanging12a">
    <w:name w:val="NormalHanging12a"/>
    <w:basedOn w:val="Normal"/>
    <w:rsid w:val="00445BD2"/>
    <w:pPr>
      <w:spacing w:after="240"/>
      <w:ind w:left="567" w:hanging="567"/>
    </w:pPr>
  </w:style>
  <w:style w:type="paragraph" w:customStyle="1" w:styleId="NormalCenter12a">
    <w:name w:val="NormalCenter12a"/>
    <w:basedOn w:val="Normal"/>
    <w:rsid w:val="00445BD2"/>
    <w:pPr>
      <w:spacing w:after="240"/>
      <w:jc w:val="center"/>
    </w:pPr>
  </w:style>
  <w:style w:type="paragraph" w:customStyle="1" w:styleId="AmNumberTabs">
    <w:name w:val="AmNumberTabs"/>
    <w:basedOn w:val="Normal"/>
    <w:rsid w:val="00445B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445BD2"/>
    <w:pPr>
      <w:spacing w:before="720" w:after="240"/>
      <w:jc w:val="center"/>
    </w:pPr>
  </w:style>
  <w:style w:type="paragraph" w:customStyle="1" w:styleId="Normal12Hanging">
    <w:name w:val="Normal12Hanging"/>
    <w:basedOn w:val="Normal"/>
    <w:rsid w:val="00445BD2"/>
    <w:pPr>
      <w:spacing w:after="240"/>
      <w:ind w:left="567" w:hanging="567"/>
    </w:pPr>
  </w:style>
  <w:style w:type="paragraph" w:styleId="NormalWeb">
    <w:name w:val="Normal (Web)"/>
    <w:basedOn w:val="Normal"/>
    <w:uiPriority w:val="99"/>
    <w:unhideWhenUsed/>
    <w:rsid w:val="001304AD"/>
    <w:pPr>
      <w:widowControl/>
      <w:spacing w:before="100" w:beforeAutospacing="1" w:after="100" w:afterAutospacing="1"/>
    </w:pPr>
    <w:rPr>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95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687F0-38ED-41F5-A596-6919D91B7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421</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LL_Relfinale</dc:creator>
  <cp:keywords/>
  <cp:lastModifiedBy>LL_Relfinale</cp:lastModifiedBy>
  <cp:revision>2</cp:revision>
  <cp:lastPrinted>2004-11-19T15:42:00Z</cp:lastPrinted>
  <dcterms:created xsi:type="dcterms:W3CDTF">2024-07-31T09:23:00Z</dcterms:created>
  <dcterms:modified xsi:type="dcterms:W3CDTF">2024-07-31T09:23:00Z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P9_TA(2024)0180_</vt:lpwstr>
  </property>
  <property fmtid="{D5CDD505-2E9C-101B-9397-08002B2CF9AE}" pid="4" name="&lt;Type&gt;">
    <vt:lpwstr>RR</vt:lpwstr>
  </property>
</Properties>
</file>