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81490" w14:paraId="244C501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3B97140" w14:textId="77777777" w:rsidR="00751A4A" w:rsidRPr="00B81490" w:rsidRDefault="00A6744C" w:rsidP="0010095E">
            <w:pPr>
              <w:pStyle w:val="EPName"/>
            </w:pPr>
            <w:r w:rsidRPr="00B81490">
              <w:t>European Parliament</w:t>
            </w:r>
          </w:p>
          <w:p w14:paraId="4C3A7300" w14:textId="77777777" w:rsidR="00751A4A" w:rsidRPr="00B8149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81490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95A9D2A" w14:textId="77777777" w:rsidR="00751A4A" w:rsidRPr="00B81490" w:rsidRDefault="00187494" w:rsidP="0010095E">
            <w:pPr>
              <w:pStyle w:val="EPLogo"/>
            </w:pPr>
            <w:r w:rsidRPr="00B81490">
              <w:rPr>
                <w:noProof/>
              </w:rPr>
              <w:drawing>
                <wp:inline distT="0" distB="0" distL="0" distR="0" wp14:anchorId="6EC16169" wp14:editId="0BC2E7D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AA4C1E" w14:textId="77777777" w:rsidR="00D058B8" w:rsidRPr="00B81490" w:rsidRDefault="00D058B8" w:rsidP="004C5D52">
      <w:pPr>
        <w:pStyle w:val="LineTop"/>
      </w:pPr>
    </w:p>
    <w:p w14:paraId="0636DDBD" w14:textId="77777777" w:rsidR="00680577" w:rsidRPr="00B81490" w:rsidRDefault="00A6744C" w:rsidP="00680577">
      <w:pPr>
        <w:pStyle w:val="EPBodyTA1"/>
      </w:pPr>
      <w:r w:rsidRPr="00B81490">
        <w:t>TEXTS ADOPTED</w:t>
      </w:r>
    </w:p>
    <w:p w14:paraId="01E5500A" w14:textId="77777777" w:rsidR="00D058B8" w:rsidRPr="00B81490" w:rsidRDefault="00D058B8" w:rsidP="00D058B8">
      <w:pPr>
        <w:pStyle w:val="LineBottom"/>
      </w:pPr>
    </w:p>
    <w:p w14:paraId="553C41D5" w14:textId="68D8837D" w:rsidR="00A6744C" w:rsidRPr="00B81490" w:rsidRDefault="00A6744C" w:rsidP="00A6744C">
      <w:pPr>
        <w:pStyle w:val="ATHeading1"/>
      </w:pPr>
      <w:bookmarkStart w:id="0" w:name="TANumber"/>
      <w:r w:rsidRPr="00B81490">
        <w:t>P9_</w:t>
      </w:r>
      <w:proofErr w:type="gramStart"/>
      <w:r w:rsidRPr="00B81490">
        <w:t>TA(</w:t>
      </w:r>
      <w:proofErr w:type="gramEnd"/>
      <w:r w:rsidRPr="00B81490">
        <w:t>2024)</w:t>
      </w:r>
      <w:bookmarkEnd w:id="0"/>
      <w:r w:rsidR="00F129C0" w:rsidRPr="00B81490">
        <w:t>0180</w:t>
      </w:r>
    </w:p>
    <w:p w14:paraId="03B67D0C" w14:textId="77777777" w:rsidR="00A6744C" w:rsidRPr="00B81490" w:rsidRDefault="0076442A" w:rsidP="00A6744C">
      <w:pPr>
        <w:pStyle w:val="ATHeading2"/>
      </w:pPr>
      <w:bookmarkStart w:id="1" w:name="title"/>
      <w:r w:rsidRPr="00B81490">
        <w:t>Establishing a return border procedure, and amending Regulation (EU) 2021/1148</w:t>
      </w:r>
      <w:bookmarkEnd w:id="1"/>
    </w:p>
    <w:p w14:paraId="0AE7F8B9" w14:textId="77777777" w:rsidR="00A6744C" w:rsidRPr="00B81490" w:rsidRDefault="00A6744C" w:rsidP="00A6744C">
      <w:pPr>
        <w:rPr>
          <w:i/>
          <w:vanish/>
        </w:rPr>
      </w:pPr>
      <w:r w:rsidRPr="00B81490">
        <w:rPr>
          <w:i/>
        </w:rPr>
        <w:fldChar w:fldCharType="begin"/>
      </w:r>
      <w:r w:rsidRPr="00B81490">
        <w:rPr>
          <w:i/>
        </w:rPr>
        <w:instrText xml:space="preserve"> TC"(</w:instrText>
      </w:r>
      <w:bookmarkStart w:id="2" w:name="DocNumber"/>
      <w:r w:rsidRPr="00B81490">
        <w:rPr>
          <w:i/>
        </w:rPr>
        <w:instrText>A9-0164/2024</w:instrText>
      </w:r>
      <w:bookmarkEnd w:id="2"/>
      <w:r w:rsidRPr="00B81490">
        <w:rPr>
          <w:i/>
        </w:rPr>
        <w:instrText xml:space="preserve"> - Rapporteur: Fabienne Keller)"\l3 \n&gt; \* MERGEFORMAT </w:instrText>
      </w:r>
      <w:r w:rsidRPr="00B81490">
        <w:rPr>
          <w:i/>
        </w:rPr>
        <w:fldChar w:fldCharType="end"/>
      </w:r>
    </w:p>
    <w:p w14:paraId="003D9000" w14:textId="77777777" w:rsidR="00A6744C" w:rsidRPr="00B81490" w:rsidRDefault="00A6744C" w:rsidP="00A6744C">
      <w:pPr>
        <w:rPr>
          <w:vanish/>
        </w:rPr>
      </w:pPr>
      <w:bookmarkStart w:id="3" w:name="Commission"/>
      <w:r w:rsidRPr="00B81490">
        <w:rPr>
          <w:vanish/>
        </w:rPr>
        <w:t>Committee on Civil Liberties, Justice and Home Affairs</w:t>
      </w:r>
      <w:bookmarkEnd w:id="3"/>
    </w:p>
    <w:p w14:paraId="54CA0BB8" w14:textId="77777777" w:rsidR="00A6744C" w:rsidRPr="00B81490" w:rsidRDefault="00A6744C" w:rsidP="00A6744C">
      <w:pPr>
        <w:rPr>
          <w:vanish/>
        </w:rPr>
      </w:pPr>
      <w:bookmarkStart w:id="4" w:name="PE"/>
      <w:r w:rsidRPr="00B81490">
        <w:rPr>
          <w:vanish/>
        </w:rPr>
        <w:t>PE760.936</w:t>
      </w:r>
      <w:bookmarkEnd w:id="4"/>
    </w:p>
    <w:p w14:paraId="663062C4" w14:textId="0989ACFD" w:rsidR="00A6744C" w:rsidRPr="00B81490" w:rsidRDefault="00A6744C" w:rsidP="00A6744C">
      <w:pPr>
        <w:pStyle w:val="ATHeading3"/>
      </w:pPr>
      <w:bookmarkStart w:id="5" w:name="Sujet"/>
      <w:r w:rsidRPr="00B81490">
        <w:t xml:space="preserve">European Parliament legislative resolution of </w:t>
      </w:r>
      <w:r w:rsidR="0076442A" w:rsidRPr="00B81490">
        <w:t xml:space="preserve">10 April </w:t>
      </w:r>
      <w:r w:rsidRPr="00B81490">
        <w:t>2024 on the proposal for a regulation of the European Parliament and of the Council establishing a return border procedure, and amending Regulation (EU) 2021/1148</w:t>
      </w:r>
      <w:bookmarkEnd w:id="5"/>
      <w:r w:rsidRPr="00B81490">
        <w:t xml:space="preserve"> </w:t>
      </w:r>
      <w:bookmarkStart w:id="6" w:name="References"/>
      <w:r w:rsidRPr="00B81490">
        <w:t>COM(2016)0467/COM(2020)0611 – C9-0039/2024 – 2016/0224B(COD))</w:t>
      </w:r>
      <w:bookmarkEnd w:id="6"/>
    </w:p>
    <w:p w14:paraId="5356FA75" w14:textId="77777777" w:rsidR="00D004D1" w:rsidRPr="00B81490" w:rsidRDefault="00D004D1" w:rsidP="00D004D1">
      <w:pPr>
        <w:pStyle w:val="NormalBold"/>
      </w:pPr>
      <w:bookmarkStart w:id="7" w:name="TextBodyBegin"/>
      <w:bookmarkEnd w:id="7"/>
      <w:r w:rsidRPr="00B81490">
        <w:t>(Ordinary legislative procedure: first reading)</w:t>
      </w:r>
    </w:p>
    <w:p w14:paraId="4AD330E5" w14:textId="77777777" w:rsidR="00D004D1" w:rsidRPr="00B81490" w:rsidRDefault="00D004D1" w:rsidP="00D004D1">
      <w:pPr>
        <w:pStyle w:val="EPComma"/>
      </w:pPr>
      <w:r w:rsidRPr="00B81490">
        <w:rPr>
          <w:i/>
        </w:rPr>
        <w:t>The European Parliament</w:t>
      </w:r>
      <w:r w:rsidRPr="00B81490">
        <w:t>,</w:t>
      </w:r>
    </w:p>
    <w:p w14:paraId="2307AB97" w14:textId="77777777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the Commission proposal to Parliament and the Council (</w:t>
      </w:r>
      <w:proofErr w:type="gramStart"/>
      <w:r w:rsidRPr="00B81490">
        <w:t>COM(</w:t>
      </w:r>
      <w:proofErr w:type="gramEnd"/>
      <w:r w:rsidRPr="00B81490">
        <w:t>2016)0467</w:t>
      </w:r>
      <w:r w:rsidR="00945129" w:rsidRPr="00B81490">
        <w:t>)</w:t>
      </w:r>
      <w:r w:rsidRPr="00B81490">
        <w:t xml:space="preserve"> and the amended proposal </w:t>
      </w:r>
      <w:r w:rsidR="00945129" w:rsidRPr="00B81490">
        <w:t>(</w:t>
      </w:r>
      <w:r w:rsidRPr="00B81490">
        <w:t>COM(2020)0611),</w:t>
      </w:r>
    </w:p>
    <w:p w14:paraId="784E96FE" w14:textId="1DA86C16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Article 294(2) and Articles 78(2</w:t>
      </w:r>
      <w:proofErr w:type="gramStart"/>
      <w:r w:rsidRPr="00B81490">
        <w:t>)(</w:t>
      </w:r>
      <w:proofErr w:type="gramEnd"/>
      <w:r w:rsidRPr="00B81490">
        <w:t>d) and 79(2)(c) of the Treaty on the Functioning of the European Union, pursuant to which the Commission submitted the proposal to Parliament (C9</w:t>
      </w:r>
      <w:r w:rsidRPr="00B81490">
        <w:noBreakHyphen/>
        <w:t>0039/2024),</w:t>
      </w:r>
    </w:p>
    <w:p w14:paraId="7A0397FD" w14:textId="77777777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the opinion of the Committee on Legal Affairs on the proposed legal basis,</w:t>
      </w:r>
    </w:p>
    <w:p w14:paraId="76EABFB7" w14:textId="77777777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Article 294(3) and Article 79(2</w:t>
      </w:r>
      <w:proofErr w:type="gramStart"/>
      <w:r w:rsidRPr="00B81490">
        <w:t>)(</w:t>
      </w:r>
      <w:proofErr w:type="gramEnd"/>
      <w:r w:rsidRPr="00B81490">
        <w:t>c) of the Treaty on the Functioning of the European Union,</w:t>
      </w:r>
    </w:p>
    <w:p w14:paraId="26C9C498" w14:textId="77777777" w:rsidR="00D004D1" w:rsidRPr="00B81490" w:rsidRDefault="00D004D1" w:rsidP="00D004D1">
      <w:pPr>
        <w:pStyle w:val="Normal12Hanging"/>
        <w:rPr>
          <w:noProof/>
        </w:rPr>
      </w:pPr>
      <w:r w:rsidRPr="00B81490">
        <w:t>–</w:t>
      </w:r>
      <w:r w:rsidRPr="00B81490">
        <w:tab/>
        <w:t>having regard to the opinions of the European Economic and Social Committee of 14 December 2016</w:t>
      </w:r>
      <w:r w:rsidRPr="00B81490">
        <w:rPr>
          <w:rStyle w:val="FootnoteReference"/>
          <w:noProof/>
        </w:rPr>
        <w:footnoteReference w:id="1"/>
      </w:r>
      <w:r w:rsidRPr="00B81490">
        <w:t xml:space="preserve"> and of 25 February 2021</w:t>
      </w:r>
      <w:r w:rsidRPr="00B81490">
        <w:rPr>
          <w:rStyle w:val="FootnoteReference"/>
        </w:rPr>
        <w:footnoteReference w:id="2"/>
      </w:r>
      <w:r w:rsidRPr="00B81490">
        <w:t>,</w:t>
      </w:r>
    </w:p>
    <w:p w14:paraId="2587D177" w14:textId="77777777" w:rsidR="00D004D1" w:rsidRPr="00B81490" w:rsidRDefault="00D004D1" w:rsidP="00D004D1">
      <w:pPr>
        <w:pStyle w:val="Normal12Hanging"/>
        <w:rPr>
          <w:noProof/>
        </w:rPr>
      </w:pPr>
      <w:r w:rsidRPr="00B81490">
        <w:t>–</w:t>
      </w:r>
      <w:r w:rsidRPr="00B81490">
        <w:tab/>
        <w:t>having regard to the opinions of the Committee of the Regions of 8 February 2017</w:t>
      </w:r>
      <w:r w:rsidRPr="00B81490">
        <w:rPr>
          <w:rStyle w:val="FootnoteReference"/>
          <w:noProof/>
        </w:rPr>
        <w:footnoteReference w:id="3"/>
      </w:r>
      <w:r w:rsidRPr="00B81490">
        <w:t xml:space="preserve"> and of 19 March 2021</w:t>
      </w:r>
      <w:r w:rsidRPr="00B81490">
        <w:rPr>
          <w:rStyle w:val="FootnoteReference"/>
        </w:rPr>
        <w:footnoteReference w:id="4"/>
      </w:r>
      <w:r w:rsidRPr="00B81490">
        <w:t>,</w:t>
      </w:r>
    </w:p>
    <w:p w14:paraId="667B7854" w14:textId="77777777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the provisional agreement approved by the committee responsible under Rule 74(4) of its Rules of Procedure and the undertaking given by the Council representative by letter of 8 February 2024 to approve that position, in accordance with Article 294(4) of the Treaty on the Functioning of the European Union,</w:t>
      </w:r>
    </w:p>
    <w:p w14:paraId="29C40DE7" w14:textId="1CA81761" w:rsidR="00D004D1" w:rsidRPr="00B81490" w:rsidRDefault="00D004D1" w:rsidP="00D004D1">
      <w:pPr>
        <w:pStyle w:val="Normal12Hanging"/>
      </w:pPr>
      <w:r w:rsidRPr="00B81490">
        <w:lastRenderedPageBreak/>
        <w:t>–</w:t>
      </w:r>
      <w:r w:rsidRPr="00B81490">
        <w:tab/>
        <w:t xml:space="preserve">having regard to the decision by the Conference of Presidents of 21 February 2024 to authorise the Committee on </w:t>
      </w:r>
      <w:r w:rsidR="0017402A" w:rsidRPr="00B81490">
        <w:t>Civil Liberties, Justice and Home Affairs</w:t>
      </w:r>
      <w:r w:rsidRPr="00B81490">
        <w:t xml:space="preserve"> to split the legislative procedure and to proceed with the tabling of two separate consolidated texts for consideration in plenary;</w:t>
      </w:r>
    </w:p>
    <w:p w14:paraId="61561329" w14:textId="77777777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Rules 59 and 40 of its Rules of Procedure,</w:t>
      </w:r>
    </w:p>
    <w:p w14:paraId="3E29E73C" w14:textId="77777777" w:rsidR="00D004D1" w:rsidRPr="00B81490" w:rsidRDefault="00D004D1" w:rsidP="00D004D1">
      <w:pPr>
        <w:pStyle w:val="NormalHanging12a"/>
      </w:pPr>
      <w:r w:rsidRPr="00B81490">
        <w:t>–</w:t>
      </w:r>
      <w:r w:rsidRPr="00B81490">
        <w:tab/>
        <w:t>having regard to the report of the Committee on Civil Liberties, Justice and Home Affairs (A9-0164/2024),</w:t>
      </w:r>
    </w:p>
    <w:p w14:paraId="6898AC61" w14:textId="77777777" w:rsidR="00D004D1" w:rsidRPr="00B81490" w:rsidRDefault="00D004D1" w:rsidP="00D004D1">
      <w:pPr>
        <w:pStyle w:val="NormalHanging12a"/>
      </w:pPr>
      <w:r w:rsidRPr="00B81490">
        <w:t>1.</w:t>
      </w:r>
      <w:r w:rsidRPr="00B81490">
        <w:tab/>
      </w:r>
      <w:proofErr w:type="gramStart"/>
      <w:r w:rsidRPr="00B81490">
        <w:t>Adopts</w:t>
      </w:r>
      <w:proofErr w:type="gramEnd"/>
      <w:r w:rsidRPr="00B81490">
        <w:t xml:space="preserve"> its position at first reading hereinafter set out;</w:t>
      </w:r>
    </w:p>
    <w:p w14:paraId="4419FF4C" w14:textId="77777777" w:rsidR="00D004D1" w:rsidRPr="00B81490" w:rsidRDefault="00D004D1" w:rsidP="00D004D1">
      <w:pPr>
        <w:pStyle w:val="Normal12Hanging"/>
        <w:rPr>
          <w:noProof/>
        </w:rPr>
      </w:pPr>
      <w:r w:rsidRPr="00B81490">
        <w:t>2.</w:t>
      </w:r>
      <w:r w:rsidRPr="00B81490">
        <w:tab/>
        <w:t>Calls on the Commission to refer the matter to Parliament again if it replaces, substantially amends or intends to substantially amend its proposal</w:t>
      </w:r>
      <w:proofErr w:type="gramStart"/>
      <w:r w:rsidRPr="00B81490">
        <w:t>;</w:t>
      </w:r>
      <w:proofErr w:type="gramEnd"/>
    </w:p>
    <w:p w14:paraId="3463DC54" w14:textId="77777777" w:rsidR="0076442A" w:rsidRPr="00B81490" w:rsidRDefault="00D004D1" w:rsidP="00D004D1">
      <w:pPr>
        <w:pStyle w:val="NormalHanging12a"/>
        <w:sectPr w:rsidR="0076442A" w:rsidRPr="00B81490" w:rsidSect="00B5665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81490">
        <w:t>3.</w:t>
      </w:r>
      <w:r w:rsidRPr="00B81490">
        <w:tab/>
        <w:t>Instructs its President to forward its position to the Council, the Commission and the national parliaments.</w:t>
      </w:r>
    </w:p>
    <w:p w14:paraId="1D3C488B" w14:textId="73F73300" w:rsidR="006C5D27" w:rsidRPr="00B81490" w:rsidRDefault="006C5D27" w:rsidP="006C5D2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81490">
        <w:rPr>
          <w:rFonts w:eastAsia="Calibri"/>
          <w:b/>
          <w:bCs/>
          <w:color w:val="000000"/>
          <w:szCs w:val="24"/>
        </w:rPr>
        <w:lastRenderedPageBreak/>
        <w:t>P9_TC1-</w:t>
      </w:r>
      <w:proofErr w:type="gramStart"/>
      <w:r w:rsidRPr="00B81490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B81490">
        <w:rPr>
          <w:rFonts w:eastAsia="Calibri"/>
          <w:b/>
          <w:bCs/>
          <w:color w:val="000000"/>
          <w:szCs w:val="24"/>
        </w:rPr>
        <w:t>2016)0224B</w:t>
      </w:r>
    </w:p>
    <w:p w14:paraId="7DCABE6A" w14:textId="20BD4761" w:rsidR="003F5CDA" w:rsidRPr="00B81490" w:rsidRDefault="006C5D27" w:rsidP="006C5D27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2"/>
          <w:lang w:val="en-IE" w:eastAsia="en-US"/>
        </w:rPr>
      </w:pPr>
      <w:r w:rsidRPr="00B81490">
        <w:rPr>
          <w:rFonts w:eastAsia="Calibri"/>
          <w:b/>
          <w:bCs/>
          <w:szCs w:val="24"/>
        </w:rPr>
        <w:t xml:space="preserve">Position of the European Parliament adopted at first reading on 10 April 2024 with a view to the adoption of Regulation (EU) 2024/… of the European Parliament and of the Council </w:t>
      </w:r>
      <w:bookmarkStart w:id="8" w:name="_DV_M1"/>
      <w:bookmarkStart w:id="9" w:name="_DV_M2"/>
      <w:bookmarkEnd w:id="8"/>
      <w:bookmarkEnd w:id="9"/>
      <w:r w:rsidR="003F5CDA" w:rsidRPr="00B81490">
        <w:rPr>
          <w:rFonts w:eastAsia="Calibri"/>
          <w:b/>
          <w:bCs/>
          <w:szCs w:val="22"/>
          <w:lang w:val="en-IE" w:eastAsia="en-US"/>
        </w:rPr>
        <w:t>establishing</w:t>
      </w:r>
      <w:r w:rsidR="003F5CDA" w:rsidRPr="00B81490">
        <w:rPr>
          <w:rFonts w:eastAsia="Calibri"/>
          <w:b/>
          <w:bCs/>
          <w:spacing w:val="-4"/>
          <w:szCs w:val="22"/>
          <w:lang w:val="en-IE" w:eastAsia="en-US"/>
        </w:rPr>
        <w:t xml:space="preserve"> </w:t>
      </w:r>
      <w:r w:rsidR="003F5CDA" w:rsidRPr="00B81490">
        <w:rPr>
          <w:rFonts w:eastAsia="Calibri"/>
          <w:b/>
          <w:bCs/>
          <w:szCs w:val="22"/>
          <w:lang w:val="en-IE" w:eastAsia="en-US"/>
        </w:rPr>
        <w:t>a</w:t>
      </w:r>
      <w:r w:rsidR="003F5CDA" w:rsidRPr="00B81490">
        <w:rPr>
          <w:rFonts w:eastAsia="Calibri"/>
          <w:b/>
          <w:bCs/>
          <w:spacing w:val="-4"/>
          <w:szCs w:val="22"/>
          <w:lang w:val="en-IE" w:eastAsia="en-US"/>
        </w:rPr>
        <w:t xml:space="preserve"> return </w:t>
      </w:r>
      <w:r w:rsidR="003F5CDA" w:rsidRPr="00B81490">
        <w:rPr>
          <w:rFonts w:eastAsia="Calibri"/>
          <w:b/>
          <w:bCs/>
          <w:szCs w:val="22"/>
          <w:lang w:val="en-IE" w:eastAsia="en-US"/>
        </w:rPr>
        <w:t>bord</w:t>
      </w:r>
      <w:bookmarkStart w:id="10" w:name="_GoBack"/>
      <w:bookmarkEnd w:id="10"/>
      <w:r w:rsidR="003F5CDA" w:rsidRPr="00B81490">
        <w:rPr>
          <w:rFonts w:eastAsia="Calibri"/>
          <w:b/>
          <w:bCs/>
          <w:szCs w:val="22"/>
          <w:lang w:val="en-IE" w:eastAsia="en-US"/>
        </w:rPr>
        <w:t>er</w:t>
      </w:r>
      <w:r w:rsidR="003F5CDA" w:rsidRPr="00B81490">
        <w:rPr>
          <w:rFonts w:eastAsia="Calibri"/>
          <w:b/>
          <w:bCs/>
          <w:spacing w:val="-4"/>
          <w:szCs w:val="22"/>
          <w:lang w:val="en-IE" w:eastAsia="en-US"/>
        </w:rPr>
        <w:t xml:space="preserve"> </w:t>
      </w:r>
      <w:r w:rsidR="003F5CDA" w:rsidRPr="00B81490">
        <w:rPr>
          <w:rFonts w:eastAsia="Calibri"/>
          <w:b/>
          <w:bCs/>
          <w:szCs w:val="22"/>
          <w:lang w:val="en-IE" w:eastAsia="en-US"/>
        </w:rPr>
        <w:t>procedure, and amending Regulation (EU) 2021/1148</w:t>
      </w:r>
    </w:p>
    <w:p w14:paraId="74D11BFE" w14:textId="4FD0A9FF" w:rsidR="00D612E9" w:rsidRPr="00D753C3" w:rsidRDefault="00D612E9" w:rsidP="00D612E9">
      <w:pPr>
        <w:widowControl/>
        <w:autoSpaceDE w:val="0"/>
        <w:autoSpaceDN w:val="0"/>
        <w:adjustRightInd w:val="0"/>
        <w:spacing w:before="360" w:after="120"/>
        <w:rPr>
          <w:i/>
        </w:rPr>
      </w:pPr>
      <w:r w:rsidRPr="00B81490">
        <w:rPr>
          <w:i/>
        </w:rPr>
        <w:t xml:space="preserve">(As an agreement </w:t>
      </w:r>
      <w:proofErr w:type="gramStart"/>
      <w:r w:rsidRPr="00B81490">
        <w:rPr>
          <w:i/>
        </w:rPr>
        <w:t>was reached</w:t>
      </w:r>
      <w:proofErr w:type="gramEnd"/>
      <w:r w:rsidRPr="00B81490">
        <w:rPr>
          <w:i/>
        </w:rPr>
        <w:t xml:space="preserve"> between Parliament and Council, Parliament's position corresponds to the final legislative act, Regulation (EU) 2024/1349.)</w:t>
      </w:r>
    </w:p>
    <w:p w14:paraId="1868143B" w14:textId="77777777" w:rsidR="00D612E9" w:rsidRPr="00D612E9" w:rsidRDefault="00D612E9" w:rsidP="006C5D27">
      <w:pPr>
        <w:widowControl/>
        <w:autoSpaceDE w:val="0"/>
        <w:autoSpaceDN w:val="0"/>
        <w:adjustRightInd w:val="0"/>
        <w:spacing w:before="120" w:after="120"/>
        <w:rPr>
          <w:rFonts w:eastAsia="Calibri"/>
          <w:i/>
          <w:szCs w:val="22"/>
          <w:lang w:eastAsia="en-US"/>
        </w:rPr>
      </w:pPr>
    </w:p>
    <w:sectPr w:rsidR="00D612E9" w:rsidRPr="00D612E9" w:rsidSect="00B5665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660E4" w14:textId="77777777" w:rsidR="00A6744C" w:rsidRPr="00B56655" w:rsidRDefault="00A6744C">
      <w:r w:rsidRPr="00B56655">
        <w:separator/>
      </w:r>
    </w:p>
  </w:endnote>
  <w:endnote w:type="continuationSeparator" w:id="0">
    <w:p w14:paraId="5BDD513B" w14:textId="77777777" w:rsidR="00A6744C" w:rsidRPr="00B56655" w:rsidRDefault="00A6744C">
      <w:r w:rsidRPr="00B566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DFB14" w14:textId="77777777" w:rsidR="00064002" w:rsidRPr="00B5665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FD3F8" w14:textId="77777777" w:rsidR="00064002" w:rsidRPr="00B5665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064B3" w14:textId="77777777" w:rsidR="00064002" w:rsidRPr="00B5665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836EF" w14:textId="77777777" w:rsidR="00A6744C" w:rsidRPr="00B56655" w:rsidRDefault="00A6744C">
      <w:r w:rsidRPr="00B56655">
        <w:separator/>
      </w:r>
    </w:p>
  </w:footnote>
  <w:footnote w:type="continuationSeparator" w:id="0">
    <w:p w14:paraId="4BE468EA" w14:textId="77777777" w:rsidR="00A6744C" w:rsidRPr="00B56655" w:rsidRDefault="00A6744C">
      <w:r w:rsidRPr="00B56655">
        <w:continuationSeparator/>
      </w:r>
    </w:p>
  </w:footnote>
  <w:footnote w:id="1">
    <w:p w14:paraId="10185B0B" w14:textId="77777777" w:rsidR="00D004D1" w:rsidRPr="009A742E" w:rsidRDefault="00D004D1" w:rsidP="003F5CDA">
      <w:pPr>
        <w:pStyle w:val="FootnoteText"/>
        <w:ind w:left="709" w:hanging="709"/>
        <w:rPr>
          <w:sz w:val="24"/>
          <w:szCs w:val="24"/>
          <w:lang w:val="pl-PL"/>
        </w:rPr>
      </w:pPr>
      <w:r w:rsidRPr="009A742E">
        <w:rPr>
          <w:rStyle w:val="FootnoteReference"/>
          <w:sz w:val="24"/>
          <w:szCs w:val="24"/>
          <w:lang w:val="en-GB"/>
        </w:rPr>
        <w:footnoteRef/>
      </w:r>
      <w:r w:rsidR="00B56655" w:rsidRPr="009A742E">
        <w:rPr>
          <w:sz w:val="24"/>
          <w:szCs w:val="24"/>
          <w:lang w:val="pl-PL"/>
        </w:rPr>
        <w:t xml:space="preserve"> </w:t>
      </w:r>
      <w:r w:rsidR="00B56655" w:rsidRPr="009A742E">
        <w:rPr>
          <w:sz w:val="24"/>
          <w:szCs w:val="24"/>
          <w:lang w:val="pl-PL"/>
        </w:rPr>
        <w:tab/>
      </w:r>
      <w:r w:rsidRPr="009A742E">
        <w:rPr>
          <w:sz w:val="24"/>
          <w:szCs w:val="24"/>
          <w:lang w:val="pl-PL"/>
        </w:rPr>
        <w:t xml:space="preserve">OJ C </w:t>
      </w:r>
      <w:r w:rsidRPr="0038158A">
        <w:rPr>
          <w:sz w:val="24"/>
          <w:szCs w:val="24"/>
          <w:lang w:val="pl-PL"/>
        </w:rPr>
        <w:t>75</w:t>
      </w:r>
      <w:r w:rsidRPr="009A742E">
        <w:rPr>
          <w:sz w:val="24"/>
          <w:szCs w:val="24"/>
          <w:lang w:val="pl-PL"/>
        </w:rPr>
        <w:t xml:space="preserve">, </w:t>
      </w:r>
      <w:r w:rsidRPr="0038158A">
        <w:rPr>
          <w:sz w:val="24"/>
          <w:szCs w:val="24"/>
          <w:lang w:val="pl-PL"/>
        </w:rPr>
        <w:t>10</w:t>
      </w:r>
      <w:r w:rsidRPr="009A742E">
        <w:rPr>
          <w:sz w:val="24"/>
          <w:szCs w:val="24"/>
          <w:lang w:val="pl-PL"/>
        </w:rPr>
        <w:t>.</w:t>
      </w:r>
      <w:r w:rsidRPr="0038158A">
        <w:rPr>
          <w:sz w:val="24"/>
          <w:szCs w:val="24"/>
          <w:lang w:val="pl-PL"/>
        </w:rPr>
        <w:t>3</w:t>
      </w:r>
      <w:r w:rsidRPr="009A742E">
        <w:rPr>
          <w:sz w:val="24"/>
          <w:szCs w:val="24"/>
          <w:lang w:val="pl-PL"/>
        </w:rPr>
        <w:t>.</w:t>
      </w:r>
      <w:r w:rsidRPr="0038158A">
        <w:rPr>
          <w:sz w:val="24"/>
          <w:szCs w:val="24"/>
          <w:lang w:val="pl-PL"/>
        </w:rPr>
        <w:t>2017</w:t>
      </w:r>
      <w:r w:rsidRPr="009A742E">
        <w:rPr>
          <w:sz w:val="24"/>
          <w:szCs w:val="24"/>
          <w:lang w:val="pl-PL"/>
        </w:rPr>
        <w:t xml:space="preserve">, </w:t>
      </w:r>
      <w:proofErr w:type="gramStart"/>
      <w:r w:rsidRPr="009A742E">
        <w:rPr>
          <w:sz w:val="24"/>
          <w:szCs w:val="24"/>
          <w:lang w:val="pl-PL"/>
        </w:rPr>
        <w:t>p</w:t>
      </w:r>
      <w:proofErr w:type="gramEnd"/>
      <w:r w:rsidRPr="009A742E">
        <w:rPr>
          <w:sz w:val="24"/>
          <w:szCs w:val="24"/>
          <w:lang w:val="pl-PL"/>
        </w:rPr>
        <w:t xml:space="preserve">. </w:t>
      </w:r>
      <w:r w:rsidRPr="0038158A">
        <w:rPr>
          <w:sz w:val="24"/>
          <w:szCs w:val="24"/>
          <w:lang w:val="pl-PL"/>
        </w:rPr>
        <w:t>97</w:t>
      </w:r>
      <w:r w:rsidRPr="009A742E">
        <w:rPr>
          <w:sz w:val="24"/>
          <w:szCs w:val="24"/>
          <w:lang w:val="pl-PL"/>
        </w:rPr>
        <w:t>.</w:t>
      </w:r>
    </w:p>
  </w:footnote>
  <w:footnote w:id="2">
    <w:p w14:paraId="1169676D" w14:textId="77777777" w:rsidR="00D004D1" w:rsidRPr="009A742E" w:rsidRDefault="00D004D1" w:rsidP="003F5CDA">
      <w:pPr>
        <w:pStyle w:val="FootnoteText"/>
        <w:ind w:left="709" w:hanging="709"/>
        <w:rPr>
          <w:sz w:val="24"/>
          <w:szCs w:val="24"/>
          <w:lang w:val="pl-PL"/>
        </w:rPr>
      </w:pPr>
      <w:r w:rsidRPr="009A742E">
        <w:rPr>
          <w:rStyle w:val="FootnoteReference"/>
          <w:sz w:val="24"/>
          <w:szCs w:val="24"/>
          <w:lang w:val="en-GB"/>
        </w:rPr>
        <w:footnoteRef/>
      </w:r>
      <w:r w:rsidR="00B56655" w:rsidRPr="009A742E">
        <w:rPr>
          <w:sz w:val="24"/>
          <w:szCs w:val="24"/>
          <w:lang w:val="pl-PL"/>
        </w:rPr>
        <w:t xml:space="preserve"> </w:t>
      </w:r>
      <w:r w:rsidR="00B56655" w:rsidRPr="009A742E">
        <w:rPr>
          <w:sz w:val="24"/>
          <w:szCs w:val="24"/>
          <w:lang w:val="pl-PL"/>
        </w:rPr>
        <w:tab/>
      </w:r>
      <w:r w:rsidRPr="009A742E">
        <w:rPr>
          <w:sz w:val="24"/>
          <w:szCs w:val="24"/>
          <w:lang w:val="pl-PL"/>
        </w:rPr>
        <w:t xml:space="preserve">OJ C </w:t>
      </w:r>
      <w:r w:rsidRPr="0038158A">
        <w:rPr>
          <w:sz w:val="24"/>
          <w:szCs w:val="24"/>
          <w:lang w:val="pl-PL"/>
        </w:rPr>
        <w:t>155</w:t>
      </w:r>
      <w:r w:rsidRPr="009A742E">
        <w:rPr>
          <w:sz w:val="24"/>
          <w:szCs w:val="24"/>
          <w:lang w:val="pl-PL"/>
        </w:rPr>
        <w:t xml:space="preserve">, </w:t>
      </w:r>
      <w:r w:rsidRPr="0038158A">
        <w:rPr>
          <w:sz w:val="24"/>
          <w:szCs w:val="24"/>
          <w:lang w:val="pl-PL"/>
        </w:rPr>
        <w:t>30</w:t>
      </w:r>
      <w:r w:rsidRPr="009A742E">
        <w:rPr>
          <w:sz w:val="24"/>
          <w:szCs w:val="24"/>
          <w:lang w:val="pl-PL"/>
        </w:rPr>
        <w:t>.</w:t>
      </w:r>
      <w:r w:rsidRPr="0038158A">
        <w:rPr>
          <w:sz w:val="24"/>
          <w:szCs w:val="24"/>
          <w:lang w:val="pl-PL"/>
        </w:rPr>
        <w:t>4</w:t>
      </w:r>
      <w:r w:rsidRPr="009A742E">
        <w:rPr>
          <w:sz w:val="24"/>
          <w:szCs w:val="24"/>
          <w:lang w:val="pl-PL"/>
        </w:rPr>
        <w:t>.</w:t>
      </w:r>
      <w:r w:rsidRPr="0038158A">
        <w:rPr>
          <w:sz w:val="24"/>
          <w:szCs w:val="24"/>
          <w:lang w:val="pl-PL"/>
        </w:rPr>
        <w:t>2021</w:t>
      </w:r>
      <w:r w:rsidRPr="009A742E">
        <w:rPr>
          <w:sz w:val="24"/>
          <w:szCs w:val="24"/>
          <w:lang w:val="pl-PL"/>
        </w:rPr>
        <w:t xml:space="preserve">, </w:t>
      </w:r>
      <w:proofErr w:type="gramStart"/>
      <w:r w:rsidRPr="009A742E">
        <w:rPr>
          <w:sz w:val="24"/>
          <w:szCs w:val="24"/>
          <w:lang w:val="pl-PL"/>
        </w:rPr>
        <w:t>p</w:t>
      </w:r>
      <w:proofErr w:type="gramEnd"/>
      <w:r w:rsidRPr="009A742E">
        <w:rPr>
          <w:sz w:val="24"/>
          <w:szCs w:val="24"/>
          <w:lang w:val="pl-PL"/>
        </w:rPr>
        <w:t xml:space="preserve">. </w:t>
      </w:r>
      <w:r w:rsidRPr="0038158A">
        <w:rPr>
          <w:sz w:val="24"/>
          <w:szCs w:val="24"/>
          <w:lang w:val="pl-PL"/>
        </w:rPr>
        <w:t>64</w:t>
      </w:r>
      <w:r w:rsidRPr="009A742E">
        <w:rPr>
          <w:sz w:val="24"/>
          <w:szCs w:val="24"/>
          <w:lang w:val="pl-PL"/>
        </w:rPr>
        <w:t>.</w:t>
      </w:r>
    </w:p>
  </w:footnote>
  <w:footnote w:id="3">
    <w:p w14:paraId="13B17D71" w14:textId="77777777" w:rsidR="00D004D1" w:rsidRPr="009A742E" w:rsidRDefault="00D004D1" w:rsidP="003F5CDA">
      <w:pPr>
        <w:pStyle w:val="FootnoteText"/>
        <w:ind w:left="709" w:hanging="709"/>
        <w:rPr>
          <w:sz w:val="24"/>
          <w:szCs w:val="24"/>
          <w:lang w:val="pl-PL"/>
        </w:rPr>
      </w:pPr>
      <w:r w:rsidRPr="009A742E">
        <w:rPr>
          <w:rStyle w:val="FootnoteReference"/>
          <w:sz w:val="24"/>
          <w:szCs w:val="24"/>
          <w:lang w:val="en-GB"/>
        </w:rPr>
        <w:footnoteRef/>
      </w:r>
      <w:r w:rsidR="00B56655" w:rsidRPr="009A742E">
        <w:rPr>
          <w:sz w:val="24"/>
          <w:szCs w:val="24"/>
          <w:lang w:val="pl-PL"/>
        </w:rPr>
        <w:t xml:space="preserve"> </w:t>
      </w:r>
      <w:r w:rsidR="00B56655" w:rsidRPr="009A742E">
        <w:rPr>
          <w:sz w:val="24"/>
          <w:szCs w:val="24"/>
          <w:lang w:val="pl-PL"/>
        </w:rPr>
        <w:tab/>
      </w:r>
      <w:r w:rsidRPr="009A742E">
        <w:rPr>
          <w:sz w:val="24"/>
          <w:szCs w:val="24"/>
          <w:lang w:val="pl-PL"/>
        </w:rPr>
        <w:t xml:space="preserve">OJ C </w:t>
      </w:r>
      <w:r w:rsidRPr="0038158A">
        <w:rPr>
          <w:sz w:val="24"/>
          <w:szCs w:val="24"/>
          <w:lang w:val="pl-PL"/>
        </w:rPr>
        <w:t>207</w:t>
      </w:r>
      <w:r w:rsidRPr="009A742E">
        <w:rPr>
          <w:sz w:val="24"/>
          <w:szCs w:val="24"/>
          <w:lang w:val="pl-PL"/>
        </w:rPr>
        <w:t xml:space="preserve">, </w:t>
      </w:r>
      <w:r w:rsidRPr="0038158A">
        <w:rPr>
          <w:sz w:val="24"/>
          <w:szCs w:val="24"/>
          <w:lang w:val="pl-PL"/>
        </w:rPr>
        <w:t>30</w:t>
      </w:r>
      <w:r w:rsidRPr="009A742E">
        <w:rPr>
          <w:sz w:val="24"/>
          <w:szCs w:val="24"/>
          <w:lang w:val="pl-PL"/>
        </w:rPr>
        <w:t>.</w:t>
      </w:r>
      <w:r w:rsidRPr="0038158A">
        <w:rPr>
          <w:sz w:val="24"/>
          <w:szCs w:val="24"/>
          <w:lang w:val="pl-PL"/>
        </w:rPr>
        <w:t>6</w:t>
      </w:r>
      <w:r w:rsidRPr="009A742E">
        <w:rPr>
          <w:sz w:val="24"/>
          <w:szCs w:val="24"/>
          <w:lang w:val="pl-PL"/>
        </w:rPr>
        <w:t>.</w:t>
      </w:r>
      <w:r w:rsidRPr="0038158A">
        <w:rPr>
          <w:sz w:val="24"/>
          <w:szCs w:val="24"/>
          <w:lang w:val="pl-PL"/>
        </w:rPr>
        <w:t>2017</w:t>
      </w:r>
      <w:r w:rsidRPr="009A742E">
        <w:rPr>
          <w:sz w:val="24"/>
          <w:szCs w:val="24"/>
          <w:lang w:val="pl-PL"/>
        </w:rPr>
        <w:t xml:space="preserve">, </w:t>
      </w:r>
      <w:proofErr w:type="gramStart"/>
      <w:r w:rsidRPr="009A742E">
        <w:rPr>
          <w:sz w:val="24"/>
          <w:szCs w:val="24"/>
          <w:lang w:val="pl-PL"/>
        </w:rPr>
        <w:t>p</w:t>
      </w:r>
      <w:proofErr w:type="gramEnd"/>
      <w:r w:rsidRPr="009A742E">
        <w:rPr>
          <w:sz w:val="24"/>
          <w:szCs w:val="24"/>
          <w:lang w:val="pl-PL"/>
        </w:rPr>
        <w:t xml:space="preserve">. </w:t>
      </w:r>
      <w:r w:rsidRPr="0038158A">
        <w:rPr>
          <w:sz w:val="24"/>
          <w:szCs w:val="24"/>
          <w:lang w:val="pl-PL"/>
        </w:rPr>
        <w:t>67</w:t>
      </w:r>
      <w:r w:rsidRPr="009A742E">
        <w:rPr>
          <w:sz w:val="24"/>
          <w:szCs w:val="24"/>
          <w:lang w:val="pl-PL"/>
        </w:rPr>
        <w:t>.</w:t>
      </w:r>
    </w:p>
  </w:footnote>
  <w:footnote w:id="4">
    <w:p w14:paraId="1B261E69" w14:textId="77777777" w:rsidR="00D004D1" w:rsidRPr="009A742E" w:rsidRDefault="00D004D1" w:rsidP="003F5CDA">
      <w:pPr>
        <w:pStyle w:val="FootnoteText"/>
        <w:ind w:left="709" w:hanging="709"/>
        <w:rPr>
          <w:sz w:val="24"/>
          <w:szCs w:val="24"/>
          <w:lang w:val="en-GB"/>
        </w:rPr>
      </w:pPr>
      <w:r w:rsidRPr="009A742E">
        <w:rPr>
          <w:rStyle w:val="FootnoteReference"/>
          <w:sz w:val="24"/>
          <w:szCs w:val="24"/>
          <w:lang w:val="en-GB"/>
        </w:rPr>
        <w:footnoteRef/>
      </w:r>
      <w:r w:rsidR="00B56655" w:rsidRPr="009A742E">
        <w:rPr>
          <w:sz w:val="24"/>
          <w:szCs w:val="24"/>
          <w:lang w:val="en-GB"/>
        </w:rPr>
        <w:t xml:space="preserve"> </w:t>
      </w:r>
      <w:r w:rsidR="00B56655" w:rsidRPr="009A742E">
        <w:rPr>
          <w:sz w:val="24"/>
          <w:szCs w:val="24"/>
          <w:lang w:val="en-GB"/>
        </w:rPr>
        <w:tab/>
      </w:r>
      <w:r w:rsidRPr="009A742E">
        <w:rPr>
          <w:sz w:val="24"/>
          <w:szCs w:val="24"/>
          <w:lang w:val="en-GB"/>
        </w:rPr>
        <w:t xml:space="preserve">OJ C </w:t>
      </w:r>
      <w:r w:rsidRPr="0038158A">
        <w:rPr>
          <w:sz w:val="24"/>
          <w:szCs w:val="24"/>
          <w:lang w:val="en-GB"/>
        </w:rPr>
        <w:t>175</w:t>
      </w:r>
      <w:r w:rsidRPr="009A742E">
        <w:rPr>
          <w:sz w:val="24"/>
          <w:szCs w:val="24"/>
          <w:lang w:val="en-GB"/>
        </w:rPr>
        <w:t xml:space="preserve">, </w:t>
      </w:r>
      <w:r w:rsidRPr="0038158A">
        <w:rPr>
          <w:sz w:val="24"/>
          <w:szCs w:val="24"/>
          <w:lang w:val="en-GB"/>
        </w:rPr>
        <w:t>7</w:t>
      </w:r>
      <w:r w:rsidRPr="009A742E">
        <w:rPr>
          <w:sz w:val="24"/>
          <w:szCs w:val="24"/>
          <w:lang w:val="en-GB"/>
        </w:rPr>
        <w:t>.</w:t>
      </w:r>
      <w:r w:rsidRPr="0038158A">
        <w:rPr>
          <w:sz w:val="24"/>
          <w:szCs w:val="24"/>
          <w:lang w:val="en-GB"/>
        </w:rPr>
        <w:t>5</w:t>
      </w:r>
      <w:r w:rsidRPr="009A742E">
        <w:rPr>
          <w:sz w:val="24"/>
          <w:szCs w:val="24"/>
          <w:lang w:val="en-GB"/>
        </w:rPr>
        <w:t>.</w:t>
      </w:r>
      <w:r w:rsidRPr="0038158A">
        <w:rPr>
          <w:sz w:val="24"/>
          <w:szCs w:val="24"/>
          <w:lang w:val="en-GB"/>
        </w:rPr>
        <w:t>2021</w:t>
      </w:r>
      <w:r w:rsidRPr="009A742E">
        <w:rPr>
          <w:sz w:val="24"/>
          <w:szCs w:val="24"/>
          <w:lang w:val="en-GB"/>
        </w:rPr>
        <w:t xml:space="preserve">, p. </w:t>
      </w:r>
      <w:r w:rsidRPr="0038158A">
        <w:rPr>
          <w:sz w:val="24"/>
          <w:szCs w:val="24"/>
          <w:lang w:val="en-GB"/>
        </w:rPr>
        <w:t>32</w:t>
      </w:r>
      <w:r w:rsidRPr="009A742E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91B2F" w14:textId="77777777" w:rsidR="00064002" w:rsidRPr="00B5665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DC970" w14:textId="77777777" w:rsidR="00064002" w:rsidRPr="00B5665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42528" w14:textId="77777777" w:rsidR="00064002" w:rsidRPr="00B5665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858DDFC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i w:val="0"/>
        <w:i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"/>
  </w:num>
  <w:num w:numId="5">
    <w:abstractNumId w:val="17"/>
  </w:num>
  <w:num w:numId="6">
    <w:abstractNumId w:val="13"/>
  </w:num>
  <w:num w:numId="7">
    <w:abstractNumId w:val="3"/>
  </w:num>
  <w:num w:numId="8">
    <w:abstractNumId w:val="19"/>
  </w:num>
  <w:num w:numId="9">
    <w:abstractNumId w:val="21"/>
  </w:num>
  <w:num w:numId="10">
    <w:abstractNumId w:val="11"/>
  </w:num>
  <w:num w:numId="11">
    <w:abstractNumId w:val="18"/>
  </w:num>
  <w:num w:numId="12">
    <w:abstractNumId w:val="14"/>
  </w:num>
  <w:num w:numId="13">
    <w:abstractNumId w:val="10"/>
  </w:num>
  <w:num w:numId="14">
    <w:abstractNumId w:val="6"/>
  </w:num>
  <w:num w:numId="15">
    <w:abstractNumId w:val="5"/>
  </w:num>
  <w:num w:numId="16">
    <w:abstractNumId w:val="15"/>
  </w:num>
  <w:num w:numId="17">
    <w:abstractNumId w:val="20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EN"/>
    <w:docVar w:name="dvnumam" w:val="0"/>
    <w:docVar w:name="dvpe" w:val="760.936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establishing a return border procedure, and amending Regulation (EU) 2021/1148(COM(2016)0467/COM(2020)0611) – C9- 0039/2024  – 2016/0224B(COD))"/>
  </w:docVars>
  <w:rsids>
    <w:rsidRoot w:val="00A6744C"/>
    <w:rsid w:val="00002272"/>
    <w:rsid w:val="00064002"/>
    <w:rsid w:val="000677B9"/>
    <w:rsid w:val="000831BA"/>
    <w:rsid w:val="000A42CC"/>
    <w:rsid w:val="000C4A57"/>
    <w:rsid w:val="000E7DD9"/>
    <w:rsid w:val="0010095E"/>
    <w:rsid w:val="00125B37"/>
    <w:rsid w:val="0014364C"/>
    <w:rsid w:val="0017402A"/>
    <w:rsid w:val="00187494"/>
    <w:rsid w:val="001F32AE"/>
    <w:rsid w:val="002103E2"/>
    <w:rsid w:val="002767FF"/>
    <w:rsid w:val="002B18FE"/>
    <w:rsid w:val="002B5493"/>
    <w:rsid w:val="003233A3"/>
    <w:rsid w:val="00343214"/>
    <w:rsid w:val="00347430"/>
    <w:rsid w:val="00361C00"/>
    <w:rsid w:val="0038158A"/>
    <w:rsid w:val="00395FA1"/>
    <w:rsid w:val="003E15D4"/>
    <w:rsid w:val="003F5CDA"/>
    <w:rsid w:val="00411CCE"/>
    <w:rsid w:val="0041666E"/>
    <w:rsid w:val="00421060"/>
    <w:rsid w:val="00471C19"/>
    <w:rsid w:val="004867E3"/>
    <w:rsid w:val="00494A28"/>
    <w:rsid w:val="004C0004"/>
    <w:rsid w:val="004C5D52"/>
    <w:rsid w:val="004E2CB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5D27"/>
    <w:rsid w:val="006F74FA"/>
    <w:rsid w:val="00731ADD"/>
    <w:rsid w:val="00734777"/>
    <w:rsid w:val="00747932"/>
    <w:rsid w:val="00751A4A"/>
    <w:rsid w:val="00756632"/>
    <w:rsid w:val="00762C74"/>
    <w:rsid w:val="0076442A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5129"/>
    <w:rsid w:val="009509D8"/>
    <w:rsid w:val="00950B64"/>
    <w:rsid w:val="00981893"/>
    <w:rsid w:val="009A742E"/>
    <w:rsid w:val="00A1687D"/>
    <w:rsid w:val="00A43E52"/>
    <w:rsid w:val="00A4678D"/>
    <w:rsid w:val="00A55DA3"/>
    <w:rsid w:val="00A6744C"/>
    <w:rsid w:val="00A778C7"/>
    <w:rsid w:val="00AB441E"/>
    <w:rsid w:val="00AB6293"/>
    <w:rsid w:val="00AE0928"/>
    <w:rsid w:val="00AF3B82"/>
    <w:rsid w:val="00B12E95"/>
    <w:rsid w:val="00B22876"/>
    <w:rsid w:val="00B558F0"/>
    <w:rsid w:val="00B56655"/>
    <w:rsid w:val="00B63DDA"/>
    <w:rsid w:val="00B81490"/>
    <w:rsid w:val="00BD48FE"/>
    <w:rsid w:val="00BD7BD8"/>
    <w:rsid w:val="00BE6ADC"/>
    <w:rsid w:val="00C05BFE"/>
    <w:rsid w:val="00C23CD4"/>
    <w:rsid w:val="00C61C0C"/>
    <w:rsid w:val="00C70B04"/>
    <w:rsid w:val="00C941CB"/>
    <w:rsid w:val="00CC2357"/>
    <w:rsid w:val="00CF071A"/>
    <w:rsid w:val="00D004D1"/>
    <w:rsid w:val="00D058B8"/>
    <w:rsid w:val="00D56C11"/>
    <w:rsid w:val="00D612E9"/>
    <w:rsid w:val="00D834A0"/>
    <w:rsid w:val="00D872DF"/>
    <w:rsid w:val="00D91E21"/>
    <w:rsid w:val="00DA7FCD"/>
    <w:rsid w:val="00E14649"/>
    <w:rsid w:val="00E365E1"/>
    <w:rsid w:val="00E820A4"/>
    <w:rsid w:val="00EB006A"/>
    <w:rsid w:val="00EB4772"/>
    <w:rsid w:val="00ED169E"/>
    <w:rsid w:val="00ED4235"/>
    <w:rsid w:val="00F04346"/>
    <w:rsid w:val="00F075DC"/>
    <w:rsid w:val="00F129C0"/>
    <w:rsid w:val="00F149E9"/>
    <w:rsid w:val="00F5134D"/>
    <w:rsid w:val="00F74202"/>
    <w:rsid w:val="00F87713"/>
    <w:rsid w:val="00FB4360"/>
    <w:rsid w:val="00FD0C70"/>
    <w:rsid w:val="00FF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F8766"/>
  <w15:chartTrackingRefBased/>
  <w15:docId w15:val="{85E47E6F-DDFE-4564-AD45-3F40E3D1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004D1"/>
    <w:pPr>
      <w:spacing w:before="480" w:after="240"/>
    </w:pPr>
  </w:style>
  <w:style w:type="paragraph" w:customStyle="1" w:styleId="NormalBold">
    <w:name w:val="NormalBold"/>
    <w:basedOn w:val="Normal"/>
    <w:rsid w:val="00D004D1"/>
    <w:rPr>
      <w:b/>
    </w:rPr>
  </w:style>
  <w:style w:type="paragraph" w:customStyle="1" w:styleId="NormalHanging12a">
    <w:name w:val="NormalHanging12a"/>
    <w:basedOn w:val="Normal"/>
    <w:rsid w:val="00D004D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D004D1"/>
    <w:pPr>
      <w:spacing w:after="240"/>
      <w:jc w:val="center"/>
    </w:pPr>
  </w:style>
  <w:style w:type="paragraph" w:customStyle="1" w:styleId="AmNumberTabs">
    <w:name w:val="AmNumberTabs"/>
    <w:basedOn w:val="Normal"/>
    <w:rsid w:val="00D004D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004D1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D004D1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uiPriority w:val="99"/>
    <w:rsid w:val="007644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644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945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512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129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5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5129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3F5CDA"/>
  </w:style>
  <w:style w:type="paragraph" w:styleId="Header">
    <w:name w:val="header"/>
    <w:basedOn w:val="Normal"/>
    <w:link w:val="HeaderChar"/>
    <w:uiPriority w:val="99"/>
    <w:unhideWhenUsed/>
    <w:rsid w:val="003F5CDA"/>
    <w:pPr>
      <w:widowControl/>
      <w:tabs>
        <w:tab w:val="right" w:pos="9638"/>
      </w:tabs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F5CD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5CDA"/>
    <w:pPr>
      <w:widowControl/>
      <w:tabs>
        <w:tab w:val="center" w:pos="4819"/>
        <w:tab w:val="center" w:pos="7370"/>
        <w:tab w:val="right" w:pos="9638"/>
      </w:tabs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F5CDA"/>
    <w:rPr>
      <w:rFonts w:eastAsia="Calibri"/>
      <w:sz w:val="24"/>
      <w:szCs w:val="22"/>
      <w:lang w:eastAsia="en-US"/>
    </w:rPr>
  </w:style>
  <w:style w:type="paragraph" w:customStyle="1" w:styleId="NormalCentered">
    <w:name w:val="Normal Centered"/>
    <w:basedOn w:val="Normal"/>
    <w:rsid w:val="003F5CDA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F5CDA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3F5CD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F5CD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F5CD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F5CD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F5CD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F5CD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F5CD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F5CD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3F5CDA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F5CDA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F5CDA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F5CDA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F5CDA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F5CDA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F5CD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F5CD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F5CD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F5CD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F5CD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F5CD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F5CD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F5CD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F5CD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F5CD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F5CDA"/>
    <w:pPr>
      <w:widowControl/>
      <w:numPr>
        <w:ilvl w:val="1"/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F5CDA"/>
    <w:pPr>
      <w:widowControl/>
      <w:numPr>
        <w:ilvl w:val="3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F5CDA"/>
    <w:pPr>
      <w:widowControl/>
      <w:numPr>
        <w:ilvl w:val="5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F5CDA"/>
    <w:pPr>
      <w:widowControl/>
      <w:numPr>
        <w:ilvl w:val="7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F5CDA"/>
    <w:pPr>
      <w:widowControl/>
      <w:numPr>
        <w:ilvl w:val="8"/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F5CDA"/>
    <w:pPr>
      <w:widowControl/>
      <w:numPr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F5CDA"/>
    <w:pPr>
      <w:widowControl/>
      <w:numPr>
        <w:ilvl w:val="2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F5CDA"/>
    <w:pPr>
      <w:widowControl/>
      <w:numPr>
        <w:ilvl w:val="4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F5CDA"/>
    <w:pPr>
      <w:widowControl/>
      <w:numPr>
        <w:ilvl w:val="6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F5CDA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F5CDA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F5CDA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F5CDA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F5CDA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F5CDA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F5CDA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F5CDA"/>
    <w:pPr>
      <w:widowControl/>
      <w:numPr>
        <w:numId w:val="15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F5CDA"/>
    <w:pPr>
      <w:widowControl/>
      <w:numPr>
        <w:numId w:val="16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F5CDA"/>
    <w:pPr>
      <w:widowControl/>
      <w:numPr>
        <w:numId w:val="17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F5CDA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F5CDA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F5CDA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F5CDA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F5CDA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F5CDA"/>
    <w:pPr>
      <w:numPr>
        <w:numId w:val="8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3F5CDA"/>
    <w:pPr>
      <w:numPr>
        <w:numId w:val="9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3F5CDA"/>
    <w:pPr>
      <w:numPr>
        <w:numId w:val="10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3F5CDA"/>
    <w:pPr>
      <w:numPr>
        <w:numId w:val="11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3F5CDA"/>
    <w:pPr>
      <w:numPr>
        <w:numId w:val="12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3F5CD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F5CD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F5CD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F5CDA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3F5CDA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3F5CDA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3F5CDA"/>
    <w:pPr>
      <w:jc w:val="center"/>
    </w:pPr>
  </w:style>
  <w:style w:type="paragraph" w:customStyle="1" w:styleId="Jardin">
    <w:name w:val="Jardin"/>
    <w:basedOn w:val="Normal"/>
    <w:rsid w:val="003F5CD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F5CD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F5CD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F5CD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F5CDA"/>
    <w:rPr>
      <w:b/>
    </w:rPr>
  </w:style>
  <w:style w:type="paragraph" w:customStyle="1" w:styleId="Annex">
    <w:name w:val="Annex"/>
    <w:basedOn w:val="Normal"/>
    <w:next w:val="Normal"/>
    <w:rsid w:val="003F5CD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F5CD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F5CD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F5CD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F5CDA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F5CD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F5CDA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3F5CDA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F5CD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F5CDA"/>
    <w:rPr>
      <w:rFonts w:eastAsia="Calibri"/>
      <w:sz w:val="24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F5CDA"/>
    <w:rPr>
      <w:rFonts w:eastAsia="Calibri"/>
      <w:sz w:val="2"/>
      <w:szCs w:val="22"/>
      <w:lang w:eastAsia="en-US"/>
    </w:rPr>
  </w:style>
  <w:style w:type="paragraph" w:customStyle="1" w:styleId="FooterText">
    <w:name w:val="Footer Text"/>
    <w:basedOn w:val="Normal"/>
    <w:rsid w:val="003F5CD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F5CDA"/>
    <w:rPr>
      <w:color w:val="808080"/>
    </w:rPr>
  </w:style>
  <w:style w:type="paragraph" w:styleId="ListParagraph">
    <w:name w:val="List Paragraph"/>
    <w:basedOn w:val="Normal"/>
    <w:uiPriority w:val="34"/>
    <w:qFormat/>
    <w:rsid w:val="003F5CDA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F5CDA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F5CDA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F5CDA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F5CDA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styleId="Revision">
    <w:name w:val="Revision"/>
    <w:hidden/>
    <w:uiPriority w:val="99"/>
    <w:semiHidden/>
    <w:rsid w:val="003F5CDA"/>
    <w:rPr>
      <w:rFonts w:eastAsia="Calibri"/>
      <w:sz w:val="24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F5CD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F5CD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3F5CDA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Considrant">
    <w:name w:val="Manual Considérant"/>
    <w:basedOn w:val="Normal"/>
    <w:rsid w:val="003F5CD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3F5CDA"/>
    <w:rPr>
      <w:b/>
      <w:i/>
    </w:rPr>
  </w:style>
  <w:style w:type="character" w:styleId="Hyperlink">
    <w:name w:val="Hyperlink"/>
    <w:uiPriority w:val="99"/>
    <w:rsid w:val="00C70B04"/>
    <w:rPr>
      <w:color w:val="0000FF"/>
      <w:u w:val="single"/>
      <w:shd w:val="clear" w:color="auto" w:fill="auto"/>
    </w:rPr>
  </w:style>
  <w:style w:type="character" w:styleId="FollowedHyperlink">
    <w:name w:val="FollowedHyperlink"/>
    <w:basedOn w:val="DefaultParagraphFont"/>
    <w:rsid w:val="00C70B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4636-A97C-4EF2-98C9-5667B79A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CROSSFIELD Clare</cp:lastModifiedBy>
  <cp:revision>2</cp:revision>
  <cp:lastPrinted>2004-11-19T15:42:00Z</cp:lastPrinted>
  <dcterms:created xsi:type="dcterms:W3CDTF">2024-07-23T08:02:00Z</dcterms:created>
  <dcterms:modified xsi:type="dcterms:W3CDTF">2024-07-23T08:02:00Z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A9-0164/2024</vt:lpwstr>
  </property>
  <property fmtid="{D5CDD505-2E9C-101B-9397-08002B2CF9AE}" pid="4" name="&lt;Type&gt;">
    <vt:lpwstr>RR</vt:lpwstr>
  </property>
</Properties>
</file>