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1117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11172" w:rsidRDefault="008F09B0" w:rsidP="0010095E">
            <w:pPr>
              <w:pStyle w:val="EPName"/>
            </w:pPr>
            <w:r w:rsidRPr="00411172">
              <w:t>Parlament Europejski</w:t>
            </w:r>
          </w:p>
          <w:p w:rsidR="00751A4A" w:rsidRPr="0041117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D0A81">
              <w:t>2019</w:t>
            </w:r>
            <w:r w:rsidRPr="00411172">
              <w:t>-</w:t>
            </w:r>
            <w:r w:rsidRPr="00CD0A8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11172" w:rsidRDefault="00187494" w:rsidP="0010095E">
            <w:pPr>
              <w:pStyle w:val="EPLogo"/>
            </w:pPr>
            <w:r w:rsidRPr="0041117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11172" w:rsidRDefault="00D058B8" w:rsidP="004C5D52">
      <w:pPr>
        <w:pStyle w:val="LineTop"/>
      </w:pPr>
    </w:p>
    <w:p w:rsidR="00680577" w:rsidRPr="00411172" w:rsidRDefault="008F09B0" w:rsidP="00680577">
      <w:pPr>
        <w:pStyle w:val="EPBodyTA1"/>
      </w:pPr>
      <w:r w:rsidRPr="00411172">
        <w:t>TEKSTY PRZYJĘTE</w:t>
      </w:r>
    </w:p>
    <w:p w:rsidR="00D058B8" w:rsidRPr="00411172" w:rsidRDefault="00D058B8" w:rsidP="00D058B8">
      <w:pPr>
        <w:pStyle w:val="LineBottom"/>
      </w:pPr>
    </w:p>
    <w:p w:rsidR="008F09B0" w:rsidRPr="00411172" w:rsidRDefault="008F09B0" w:rsidP="008F09B0">
      <w:pPr>
        <w:pStyle w:val="ATHeading1"/>
      </w:pPr>
      <w:bookmarkStart w:id="0" w:name="TANumber"/>
      <w:r w:rsidRPr="00411172">
        <w:t>P</w:t>
      </w:r>
      <w:r w:rsidRPr="00CD0A81">
        <w:t>9</w:t>
      </w:r>
      <w:r w:rsidRPr="00411172">
        <w:t>_TA(</w:t>
      </w:r>
      <w:r w:rsidRPr="00CD0A81">
        <w:t>2024</w:t>
      </w:r>
      <w:r w:rsidRPr="00411172">
        <w:t>)</w:t>
      </w:r>
      <w:r w:rsidRPr="00CD0A81">
        <w:t>0</w:t>
      </w:r>
      <w:bookmarkEnd w:id="0"/>
      <w:r w:rsidR="00E33455" w:rsidRPr="00CD0A81">
        <w:t>180</w:t>
      </w:r>
    </w:p>
    <w:p w:rsidR="008F09B0" w:rsidRPr="00411172" w:rsidRDefault="008F09B0" w:rsidP="008F09B0">
      <w:pPr>
        <w:pStyle w:val="ATHeading2"/>
      </w:pPr>
      <w:bookmarkStart w:id="1" w:name="title"/>
      <w:r w:rsidRPr="00411172">
        <w:t xml:space="preserve">Ustanowienie procedury powrotowej na granicy i zmiana rozporządzenia (UE) </w:t>
      </w:r>
      <w:r w:rsidRPr="00CD0A81">
        <w:t>2021</w:t>
      </w:r>
      <w:r w:rsidRPr="00411172">
        <w:t>/</w:t>
      </w:r>
      <w:r w:rsidRPr="00CD0A81">
        <w:t>1148</w:t>
      </w:r>
      <w:bookmarkEnd w:id="1"/>
    </w:p>
    <w:p w:rsidR="008F09B0" w:rsidRPr="00411172" w:rsidRDefault="008F09B0" w:rsidP="008F09B0">
      <w:pPr>
        <w:rPr>
          <w:i/>
          <w:vanish/>
        </w:rPr>
      </w:pPr>
      <w:r w:rsidRPr="00411172">
        <w:rPr>
          <w:i/>
        </w:rPr>
        <w:fldChar w:fldCharType="begin"/>
      </w:r>
      <w:r w:rsidRPr="00411172">
        <w:rPr>
          <w:i/>
        </w:rPr>
        <w:instrText xml:space="preserve"> TC"(</w:instrText>
      </w:r>
      <w:bookmarkStart w:id="2" w:name="DocNumber"/>
      <w:r w:rsidRPr="00411172">
        <w:rPr>
          <w:i/>
        </w:rPr>
        <w:instrText>A</w:instrText>
      </w:r>
      <w:r w:rsidRPr="00CD0A81">
        <w:rPr>
          <w:i/>
        </w:rPr>
        <w:instrText>9</w:instrText>
      </w:r>
      <w:r w:rsidRPr="00411172">
        <w:rPr>
          <w:i/>
        </w:rPr>
        <w:instrText>-</w:instrText>
      </w:r>
      <w:r w:rsidRPr="00CD0A81">
        <w:rPr>
          <w:i/>
        </w:rPr>
        <w:instrText>0164</w:instrText>
      </w:r>
      <w:r w:rsidRPr="00411172">
        <w:rPr>
          <w:i/>
        </w:rPr>
        <w:instrText>/</w:instrText>
      </w:r>
      <w:r w:rsidRPr="00CD0A81">
        <w:rPr>
          <w:i/>
        </w:rPr>
        <w:instrText>2024</w:instrText>
      </w:r>
      <w:bookmarkEnd w:id="2"/>
      <w:r w:rsidRPr="00411172">
        <w:rPr>
          <w:i/>
        </w:rPr>
        <w:instrText xml:space="preserve"> - Sprawozdawca: Fabienne Keller)"\l</w:instrText>
      </w:r>
      <w:r w:rsidRPr="00CD0A81">
        <w:rPr>
          <w:i/>
        </w:rPr>
        <w:instrText>3</w:instrText>
      </w:r>
      <w:r w:rsidRPr="00411172">
        <w:rPr>
          <w:i/>
        </w:rPr>
        <w:instrText xml:space="preserve"> \n&gt; \* MERGEFORMAT </w:instrText>
      </w:r>
      <w:r w:rsidRPr="00411172">
        <w:rPr>
          <w:i/>
        </w:rPr>
        <w:fldChar w:fldCharType="end"/>
      </w:r>
    </w:p>
    <w:p w:rsidR="008F09B0" w:rsidRPr="00411172" w:rsidRDefault="008F09B0" w:rsidP="008F09B0">
      <w:pPr>
        <w:rPr>
          <w:vanish/>
        </w:rPr>
      </w:pPr>
      <w:bookmarkStart w:id="3" w:name="Commission"/>
      <w:r w:rsidRPr="00411172">
        <w:rPr>
          <w:vanish/>
        </w:rPr>
        <w:t>Komisja Wolności Obywatelskich, Sprawiedliwości i Spraw Wewnętrznych</w:t>
      </w:r>
      <w:bookmarkEnd w:id="3"/>
    </w:p>
    <w:p w:rsidR="008F09B0" w:rsidRPr="00411172" w:rsidRDefault="008F09B0" w:rsidP="008F09B0">
      <w:pPr>
        <w:rPr>
          <w:vanish/>
        </w:rPr>
      </w:pPr>
      <w:bookmarkStart w:id="4" w:name="PE"/>
      <w:r w:rsidRPr="00411172">
        <w:rPr>
          <w:vanish/>
        </w:rPr>
        <w:t>PE</w:t>
      </w:r>
      <w:r w:rsidRPr="00CD0A81">
        <w:rPr>
          <w:vanish/>
        </w:rPr>
        <w:t>760</w:t>
      </w:r>
      <w:r w:rsidRPr="00411172">
        <w:rPr>
          <w:vanish/>
        </w:rPr>
        <w:t>.</w:t>
      </w:r>
      <w:r w:rsidRPr="00CD0A81">
        <w:rPr>
          <w:vanish/>
        </w:rPr>
        <w:t>936</w:t>
      </w:r>
      <w:bookmarkEnd w:id="4"/>
    </w:p>
    <w:p w:rsidR="008F09B0" w:rsidRPr="00411172" w:rsidRDefault="008F09B0" w:rsidP="008F09B0">
      <w:pPr>
        <w:pStyle w:val="ATHeading3"/>
      </w:pPr>
      <w:bookmarkStart w:id="5" w:name="Sujet"/>
      <w:r w:rsidRPr="00411172">
        <w:t xml:space="preserve">Rezolucja ustawodawcza Parlamentu Europejskiego z dnia </w:t>
      </w:r>
      <w:r w:rsidR="0052488D" w:rsidRPr="00CD0A81">
        <w:t>10</w:t>
      </w:r>
      <w:r w:rsidR="0052488D">
        <w:t xml:space="preserve"> kwietnia</w:t>
      </w:r>
      <w:r w:rsidRPr="00411172">
        <w:t xml:space="preserve"> </w:t>
      </w:r>
      <w:r w:rsidRPr="00CD0A81">
        <w:t>2024</w:t>
      </w:r>
      <w:r w:rsidRPr="00411172">
        <w:t xml:space="preserve"> r. w sprawie wniosku dotyczącego rozporządzenia Parlamentu Europejskiego i Rady w sprawie ustanowienia powrotowej procedury granicznej i zmiany rozporządzenia (UE) </w:t>
      </w:r>
      <w:r w:rsidRPr="00CD0A81">
        <w:t>2021</w:t>
      </w:r>
      <w:r w:rsidRPr="00411172">
        <w:t>/</w:t>
      </w:r>
      <w:r w:rsidRPr="00CD0A81">
        <w:t>1148</w:t>
      </w:r>
      <w:bookmarkEnd w:id="5"/>
      <w:r w:rsidRPr="00411172">
        <w:t xml:space="preserve"> </w:t>
      </w:r>
      <w:bookmarkStart w:id="6" w:name="References"/>
      <w:r w:rsidR="00C32618">
        <w:t>(COM(</w:t>
      </w:r>
      <w:r w:rsidR="00C32618" w:rsidRPr="00CD0A81">
        <w:t>2016</w:t>
      </w:r>
      <w:r w:rsidR="00C32618">
        <w:t>)</w:t>
      </w:r>
      <w:r w:rsidR="00C32618" w:rsidRPr="00CD0A81">
        <w:t>0467</w:t>
      </w:r>
      <w:r w:rsidR="00C32618">
        <w:t>/COM(</w:t>
      </w:r>
      <w:r w:rsidR="00C32618" w:rsidRPr="00CD0A81">
        <w:t>2020</w:t>
      </w:r>
      <w:r w:rsidR="00C32618">
        <w:t>)</w:t>
      </w:r>
      <w:r w:rsidR="00C32618" w:rsidRPr="00CD0A81">
        <w:t>0611</w:t>
      </w:r>
      <w:r w:rsidRPr="00411172">
        <w:t xml:space="preserve"> – C</w:t>
      </w:r>
      <w:r w:rsidRPr="00CD0A81">
        <w:t>9</w:t>
      </w:r>
      <w:r w:rsidRPr="00411172">
        <w:t>-</w:t>
      </w:r>
      <w:r w:rsidRPr="00CD0A81">
        <w:t>0039</w:t>
      </w:r>
      <w:r w:rsidRPr="00411172">
        <w:t>/</w:t>
      </w:r>
      <w:r w:rsidRPr="00CD0A81">
        <w:t>2024</w:t>
      </w:r>
      <w:r w:rsidRPr="00411172">
        <w:t xml:space="preserve"> – </w:t>
      </w:r>
      <w:r w:rsidRPr="00CD0A81">
        <w:t>2016</w:t>
      </w:r>
      <w:r w:rsidRPr="00411172">
        <w:t>/</w:t>
      </w:r>
      <w:r w:rsidRPr="00CD0A81">
        <w:t>0224</w:t>
      </w:r>
      <w:r w:rsidRPr="00411172">
        <w:t>B(COD))</w:t>
      </w:r>
      <w:bookmarkEnd w:id="6"/>
    </w:p>
    <w:p w:rsidR="00066263" w:rsidRPr="00411172" w:rsidRDefault="00066263" w:rsidP="00066263">
      <w:pPr>
        <w:pStyle w:val="NormalBold"/>
      </w:pPr>
      <w:bookmarkStart w:id="7" w:name="TextBodyBegin"/>
      <w:bookmarkEnd w:id="7"/>
      <w:r w:rsidRPr="00411172">
        <w:t>(Zwykła procedura ustawodawcza: pierwsze czytanie)</w:t>
      </w:r>
    </w:p>
    <w:p w:rsidR="00066263" w:rsidRPr="00411172" w:rsidRDefault="00066263" w:rsidP="00066263">
      <w:pPr>
        <w:pStyle w:val="EPComma"/>
      </w:pPr>
      <w:r w:rsidRPr="00411172">
        <w:rPr>
          <w:i/>
        </w:rPr>
        <w:t>Parlament Europejski</w:t>
      </w:r>
      <w:r w:rsidRPr="00411172">
        <w:t>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>uwzględniając wniosek Komisji przedstawiony Parlamentowi Europejskiemu i Radzie (COM(</w:t>
      </w:r>
      <w:r w:rsidRPr="00CD0A81">
        <w:t>2016</w:t>
      </w:r>
      <w:r w:rsidRPr="00411172">
        <w:t>)</w:t>
      </w:r>
      <w:r w:rsidRPr="00CD0A81">
        <w:t>0467</w:t>
      </w:r>
      <w:r w:rsidR="0052488D">
        <w:t>)</w:t>
      </w:r>
      <w:r w:rsidRPr="00411172">
        <w:t xml:space="preserve"> oraz zmieniony wniosek </w:t>
      </w:r>
      <w:r w:rsidR="0052488D">
        <w:t>(</w:t>
      </w:r>
      <w:r w:rsidRPr="00411172">
        <w:t>COM(</w:t>
      </w:r>
      <w:r w:rsidRPr="00CD0A81">
        <w:t>2020</w:t>
      </w:r>
      <w:r w:rsidRPr="00411172">
        <w:t>)</w:t>
      </w:r>
      <w:r w:rsidRPr="00CD0A81">
        <w:t>0611</w:t>
      </w:r>
      <w:r w:rsidRPr="00411172">
        <w:t>),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art. </w:t>
      </w:r>
      <w:r w:rsidRPr="00CD0A81">
        <w:t>294</w:t>
      </w:r>
      <w:r w:rsidRPr="00411172">
        <w:t xml:space="preserve"> ust. </w:t>
      </w:r>
      <w:r w:rsidRPr="00CD0A81">
        <w:t>2</w:t>
      </w:r>
      <w:r w:rsidRPr="00411172">
        <w:t xml:space="preserve"> oraz art. </w:t>
      </w:r>
      <w:r w:rsidRPr="00CD0A81">
        <w:t>78</w:t>
      </w:r>
      <w:r w:rsidRPr="00411172">
        <w:t xml:space="preserve"> ust. </w:t>
      </w:r>
      <w:r w:rsidRPr="00CD0A81">
        <w:t>2</w:t>
      </w:r>
      <w:r w:rsidRPr="00411172">
        <w:t xml:space="preserve"> lit. d) i art. </w:t>
      </w:r>
      <w:r w:rsidRPr="00CD0A81">
        <w:t>79</w:t>
      </w:r>
      <w:r w:rsidRPr="00411172">
        <w:t xml:space="preserve"> ust. </w:t>
      </w:r>
      <w:r w:rsidRPr="00CD0A81">
        <w:t>2</w:t>
      </w:r>
      <w:r w:rsidRPr="00411172">
        <w:t xml:space="preserve"> lit. c) Traktatu o funkcjonowaniu Unii Europejskiej, zgodnie z którymi wniosek został przedstawiony Parlamentowi przez Komisję (C</w:t>
      </w:r>
      <w:r w:rsidRPr="00CD0A81">
        <w:t>9</w:t>
      </w:r>
      <w:r w:rsidRPr="00411172">
        <w:noBreakHyphen/>
      </w:r>
      <w:r w:rsidRPr="00CD0A81">
        <w:t>0039</w:t>
      </w:r>
      <w:r w:rsidRPr="00411172">
        <w:t>/</w:t>
      </w:r>
      <w:r w:rsidRPr="00CD0A81">
        <w:t>2024</w:t>
      </w:r>
      <w:r w:rsidRPr="00411172">
        <w:t>),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>uwzględniając opinię Komisji Prawnej w sprawie proponowanej podstawy prawnej,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art. </w:t>
      </w:r>
      <w:r w:rsidRPr="00CD0A81">
        <w:t>294</w:t>
      </w:r>
      <w:r w:rsidRPr="00411172">
        <w:t xml:space="preserve"> ust. </w:t>
      </w:r>
      <w:r w:rsidRPr="00CD0A81">
        <w:t>3</w:t>
      </w:r>
      <w:r w:rsidRPr="00411172">
        <w:t xml:space="preserve"> i art. </w:t>
      </w:r>
      <w:r w:rsidRPr="00CD0A81">
        <w:t>79</w:t>
      </w:r>
      <w:r w:rsidRPr="00411172">
        <w:t xml:space="preserve"> ust. </w:t>
      </w:r>
      <w:r w:rsidRPr="00CD0A81">
        <w:t>2</w:t>
      </w:r>
      <w:r w:rsidRPr="00411172">
        <w:t xml:space="preserve"> lit. c) Traktatu o funkcjonowaniu Unii Europejskiej,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opinie Europejskiego Komitetu Ekonomiczno-Społecznego z dnia </w:t>
      </w:r>
      <w:r w:rsidRPr="00CD0A81">
        <w:t>14</w:t>
      </w:r>
      <w:r w:rsidRPr="00411172">
        <w:t xml:space="preserve"> grudnia </w:t>
      </w:r>
      <w:r w:rsidRPr="00CD0A81">
        <w:t>2016</w:t>
      </w:r>
      <w:r w:rsidRPr="00411172">
        <w:t xml:space="preserve"> r.</w:t>
      </w:r>
      <w:r w:rsidRPr="00411172">
        <w:rPr>
          <w:rStyle w:val="FootnoteReference"/>
        </w:rPr>
        <w:footnoteReference w:id="1"/>
      </w:r>
      <w:r w:rsidRPr="00411172">
        <w:t xml:space="preserve"> i z dnia </w:t>
      </w:r>
      <w:r w:rsidRPr="00CD0A81">
        <w:t>25</w:t>
      </w:r>
      <w:r w:rsidRPr="00411172">
        <w:t xml:space="preserve"> lutego </w:t>
      </w:r>
      <w:r w:rsidRPr="00CD0A81">
        <w:t>2021</w:t>
      </w:r>
      <w:r w:rsidRPr="00411172">
        <w:t xml:space="preserve"> r.</w:t>
      </w:r>
      <w:r w:rsidRPr="00411172">
        <w:rPr>
          <w:rStyle w:val="FootnoteReference"/>
        </w:rPr>
        <w:footnoteReference w:id="2"/>
      </w:r>
      <w:r w:rsidRPr="00411172">
        <w:t>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opinie Komitetu Regionów z dnia </w:t>
      </w:r>
      <w:r w:rsidRPr="00CD0A81">
        <w:t>8</w:t>
      </w:r>
      <w:r w:rsidRPr="00411172">
        <w:t xml:space="preserve"> lutego </w:t>
      </w:r>
      <w:r w:rsidRPr="00CD0A81">
        <w:t>2017</w:t>
      </w:r>
      <w:r w:rsidRPr="00411172">
        <w:t xml:space="preserve"> r.</w:t>
      </w:r>
      <w:r w:rsidRPr="00411172">
        <w:rPr>
          <w:rStyle w:val="FootnoteReference"/>
        </w:rPr>
        <w:footnoteReference w:id="3"/>
      </w:r>
      <w:r w:rsidRPr="00411172">
        <w:t xml:space="preserve"> i z dnia </w:t>
      </w:r>
      <w:r w:rsidRPr="00CD0A81">
        <w:t>19</w:t>
      </w:r>
      <w:r w:rsidRPr="00411172">
        <w:t xml:space="preserve"> marca </w:t>
      </w:r>
      <w:r w:rsidRPr="00CD0A81">
        <w:t>2021</w:t>
      </w:r>
      <w:r w:rsidRPr="00411172">
        <w:t xml:space="preserve"> r.</w:t>
      </w:r>
      <w:r w:rsidRPr="00411172">
        <w:rPr>
          <w:rStyle w:val="FootnoteReference"/>
        </w:rPr>
        <w:footnoteReference w:id="4"/>
      </w:r>
      <w:r w:rsidRPr="00411172">
        <w:t>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wstępne porozumienie zatwierdzone przez komisję przedmiotowo właściwą na podstawie art. </w:t>
      </w:r>
      <w:r w:rsidRPr="00CD0A81">
        <w:t>74</w:t>
      </w:r>
      <w:r w:rsidRPr="00411172">
        <w:t xml:space="preserve"> ust. </w:t>
      </w:r>
      <w:r w:rsidRPr="00CD0A81">
        <w:t>4</w:t>
      </w:r>
      <w:r w:rsidRPr="00411172">
        <w:t xml:space="preserve"> oraz przekazane pismem z dnia </w:t>
      </w:r>
      <w:r w:rsidRPr="00CD0A81">
        <w:t>8</w:t>
      </w:r>
      <w:r w:rsidRPr="00411172">
        <w:t xml:space="preserve"> lutego </w:t>
      </w:r>
      <w:r w:rsidRPr="00CD0A81">
        <w:t>2024</w:t>
      </w:r>
      <w:r w:rsidRPr="00411172">
        <w:t xml:space="preserve"> r. zobowiązanie przedstawiciela Rady do zatwierdzenia tego stanowiska, zgodnie z art. </w:t>
      </w:r>
      <w:r w:rsidRPr="00CD0A81">
        <w:t>294</w:t>
      </w:r>
      <w:r w:rsidRPr="00411172">
        <w:t xml:space="preserve"> ust. </w:t>
      </w:r>
      <w:r w:rsidRPr="00CD0A81">
        <w:t>4</w:t>
      </w:r>
      <w:r w:rsidRPr="00411172">
        <w:t xml:space="preserve"> Traktatu o funkcjonowaniu Unii Europejskiej,</w:t>
      </w:r>
    </w:p>
    <w:p w:rsidR="00066263" w:rsidRPr="00411172" w:rsidRDefault="00066263" w:rsidP="00066263">
      <w:pPr>
        <w:pStyle w:val="Normal12Hanging"/>
      </w:pPr>
      <w:r w:rsidRPr="00411172">
        <w:t>–</w:t>
      </w:r>
      <w:r w:rsidRPr="00411172">
        <w:tab/>
        <w:t xml:space="preserve">uwzględniając decyzję Konferencji Przewodniczących z </w:t>
      </w:r>
      <w:r w:rsidR="00A64B94">
        <w:t xml:space="preserve">dnia </w:t>
      </w:r>
      <w:r w:rsidRPr="00CD0A81">
        <w:t>21</w:t>
      </w:r>
      <w:r w:rsidRPr="00411172">
        <w:t xml:space="preserve"> lutego </w:t>
      </w:r>
      <w:r w:rsidRPr="00CD0A81">
        <w:t>2024</w:t>
      </w:r>
      <w:r w:rsidRPr="00411172">
        <w:t xml:space="preserve"> r. zezwalającą Komisji Wolności Obywatelskich, Sprawiedliwości i Spraw </w:t>
      </w:r>
      <w:r w:rsidRPr="00411172">
        <w:lastRenderedPageBreak/>
        <w:t>Wewnętrznych na podzielenie tej procedury ustawodawczej i złożenie dwóch odrębnych tekstów skonsolidowanych do rozpatrzenia na posiedzeniu plenarnym,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 xml:space="preserve">uwzględniając art. </w:t>
      </w:r>
      <w:r w:rsidRPr="00CD0A81">
        <w:t>59</w:t>
      </w:r>
      <w:r w:rsidRPr="00411172">
        <w:t xml:space="preserve"> i </w:t>
      </w:r>
      <w:r w:rsidRPr="00CD0A81">
        <w:t>40</w:t>
      </w:r>
      <w:r w:rsidRPr="00411172">
        <w:t xml:space="preserve"> Regulaminu,</w:t>
      </w:r>
    </w:p>
    <w:p w:rsidR="00066263" w:rsidRPr="00411172" w:rsidRDefault="00066263" w:rsidP="00066263">
      <w:pPr>
        <w:pStyle w:val="NormalHanging12a"/>
      </w:pPr>
      <w:r w:rsidRPr="00411172">
        <w:t>–</w:t>
      </w:r>
      <w:r w:rsidRPr="00411172">
        <w:tab/>
        <w:t>uwzględniając sprawozdanie Komisji Wolności Obywatelskich, Sprawiedliwości i Spraw Wewnętrznych (A</w:t>
      </w:r>
      <w:r w:rsidRPr="00CD0A81">
        <w:t>9</w:t>
      </w:r>
      <w:r w:rsidRPr="00411172">
        <w:noBreakHyphen/>
      </w:r>
      <w:r w:rsidRPr="00CD0A81">
        <w:t>0164</w:t>
      </w:r>
      <w:r w:rsidRPr="00411172">
        <w:t>/</w:t>
      </w:r>
      <w:r w:rsidRPr="00CD0A81">
        <w:t>2024</w:t>
      </w:r>
      <w:r w:rsidRPr="00411172">
        <w:t>),</w:t>
      </w:r>
    </w:p>
    <w:p w:rsidR="00066263" w:rsidRPr="00411172" w:rsidRDefault="00066263" w:rsidP="00066263">
      <w:pPr>
        <w:pStyle w:val="NormalHanging12a"/>
      </w:pPr>
      <w:r w:rsidRPr="00CD0A81">
        <w:t>1</w:t>
      </w:r>
      <w:r w:rsidRPr="00411172">
        <w:t>.</w:t>
      </w:r>
      <w:r w:rsidRPr="00411172">
        <w:tab/>
        <w:t>przyjmuje poniższe stanowisko w pierwszym czytaniu;</w:t>
      </w:r>
    </w:p>
    <w:p w:rsidR="00066263" w:rsidRPr="00411172" w:rsidRDefault="00066263" w:rsidP="00066263">
      <w:pPr>
        <w:pStyle w:val="NormalHanging12a"/>
      </w:pPr>
      <w:r w:rsidRPr="00CD0A81">
        <w:t>2</w:t>
      </w:r>
      <w:r w:rsidRPr="00411172">
        <w:t>.</w:t>
      </w:r>
      <w:r w:rsidRPr="00411172">
        <w:tab/>
        <w:t>zwraca się do Komisji o ponowne przekazanie mu sprawy, jeśli zastąpi ona pierwotny wniosek, wprowadzi w nim istotne zmiany lub planuje ich wprowadzenie;</w:t>
      </w:r>
    </w:p>
    <w:p w:rsidR="0052488D" w:rsidRDefault="00066263" w:rsidP="00066263">
      <w:pPr>
        <w:pStyle w:val="NormalHanging12a"/>
        <w:sectPr w:rsidR="0052488D" w:rsidSect="00411172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CD0A81">
        <w:t>3</w:t>
      </w:r>
      <w:r w:rsidRPr="00411172">
        <w:t>.</w:t>
      </w:r>
      <w:r w:rsidRPr="00411172">
        <w:tab/>
        <w:t>zobowiązuje swoją przewodniczącą do przekazania stanowiska Parlamentu Radzie i Komisji oraz parlamentom narodowym.</w:t>
      </w:r>
    </w:p>
    <w:p w:rsidR="0017081E" w:rsidRPr="006C5D27" w:rsidRDefault="0017081E" w:rsidP="0017081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C5D27">
        <w:rPr>
          <w:rFonts w:eastAsia="Calibri"/>
          <w:b/>
          <w:bCs/>
          <w:color w:val="000000"/>
          <w:szCs w:val="24"/>
        </w:rPr>
        <w:lastRenderedPageBreak/>
        <w:t>P</w:t>
      </w:r>
      <w:r w:rsidRPr="00CD0A81">
        <w:rPr>
          <w:rFonts w:eastAsia="Calibri"/>
          <w:b/>
          <w:bCs/>
          <w:color w:val="000000"/>
          <w:szCs w:val="24"/>
        </w:rPr>
        <w:t>9</w:t>
      </w:r>
      <w:r w:rsidRPr="006C5D27">
        <w:rPr>
          <w:rFonts w:eastAsia="Calibri"/>
          <w:b/>
          <w:bCs/>
          <w:color w:val="000000"/>
          <w:szCs w:val="24"/>
        </w:rPr>
        <w:t>_TC</w:t>
      </w:r>
      <w:r w:rsidRPr="00CD0A81">
        <w:rPr>
          <w:rFonts w:eastAsia="Calibri"/>
          <w:b/>
          <w:bCs/>
          <w:color w:val="000000"/>
          <w:szCs w:val="24"/>
        </w:rPr>
        <w:t>1</w:t>
      </w:r>
      <w:r w:rsidRPr="006C5D27">
        <w:rPr>
          <w:rFonts w:eastAsia="Calibri"/>
          <w:b/>
          <w:bCs/>
          <w:color w:val="000000"/>
          <w:szCs w:val="24"/>
        </w:rPr>
        <w:t>-COD(</w:t>
      </w:r>
      <w:r w:rsidRPr="00CD0A81">
        <w:rPr>
          <w:rFonts w:eastAsia="Calibri"/>
          <w:b/>
          <w:bCs/>
          <w:color w:val="000000"/>
          <w:szCs w:val="24"/>
        </w:rPr>
        <w:t>2016</w:t>
      </w:r>
      <w:r w:rsidRPr="006C5D27">
        <w:rPr>
          <w:rFonts w:eastAsia="Calibri"/>
          <w:b/>
          <w:bCs/>
          <w:color w:val="000000"/>
          <w:szCs w:val="24"/>
        </w:rPr>
        <w:t>)</w:t>
      </w:r>
      <w:r w:rsidRPr="00CD0A81">
        <w:rPr>
          <w:rFonts w:eastAsia="Calibri"/>
          <w:b/>
          <w:bCs/>
          <w:color w:val="000000"/>
          <w:szCs w:val="24"/>
        </w:rPr>
        <w:t>0224</w:t>
      </w:r>
      <w:r w:rsidRPr="006C5D27">
        <w:rPr>
          <w:rFonts w:eastAsia="Calibri"/>
          <w:b/>
          <w:bCs/>
          <w:color w:val="000000"/>
          <w:szCs w:val="24"/>
        </w:rPr>
        <w:t>B</w:t>
      </w:r>
    </w:p>
    <w:p w:rsidR="0017081E" w:rsidRDefault="0017081E" w:rsidP="0017081E">
      <w:pPr>
        <w:spacing w:before="240"/>
        <w:rPr>
          <w:b/>
          <w:i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CD0A81">
        <w:rPr>
          <w:b/>
        </w:rPr>
        <w:t>10</w:t>
      </w:r>
      <w:r>
        <w:rPr>
          <w:b/>
        </w:rPr>
        <w:t xml:space="preserve"> kwietnia </w:t>
      </w:r>
      <w:r w:rsidRPr="00CD0A81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CD0A81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114B73">
        <w:rPr>
          <w:b/>
        </w:rPr>
        <w:t>w sprawie ustanowienia powrotowej procedury granicznej i zmiany rozporządzenia (UE) 2021/1148</w:t>
      </w:r>
    </w:p>
    <w:p w:rsidR="00114B73" w:rsidRDefault="00114B73" w:rsidP="0017081E">
      <w:pPr>
        <w:spacing w:before="240"/>
        <w:rPr>
          <w:b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2024/1349</w:t>
      </w:r>
      <w:bookmarkStart w:id="8" w:name="_GoBack"/>
      <w:bookmarkEnd w:id="8"/>
      <w:r>
        <w:rPr>
          <w:i/>
        </w:rPr>
        <w:t>.)</w:t>
      </w:r>
    </w:p>
    <w:sectPr w:rsidR="00114B73" w:rsidSect="004111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B0" w:rsidRPr="00411172" w:rsidRDefault="008F09B0">
      <w:r w:rsidRPr="00411172">
        <w:separator/>
      </w:r>
    </w:p>
  </w:endnote>
  <w:endnote w:type="continuationSeparator" w:id="0">
    <w:p w:rsidR="008F09B0" w:rsidRPr="00411172" w:rsidRDefault="008F09B0">
      <w:r w:rsidRPr="004111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63" w:rsidRPr="00411172" w:rsidRDefault="00066263" w:rsidP="001A67FF">
    <w:pPr>
      <w:pStyle w:val="EPFooter"/>
    </w:pPr>
    <w:r w:rsidRPr="00411172">
      <w:t>PE</w:t>
    </w:r>
    <w:r w:rsidRPr="00411172">
      <w:rPr>
        <w:rStyle w:val="HideTWBExt"/>
      </w:rPr>
      <w:t>&lt;NoPE&gt;</w:t>
    </w:r>
    <w:r w:rsidRPr="00411172">
      <w:t>760.936</w:t>
    </w:r>
    <w:r w:rsidRPr="00411172">
      <w:rPr>
        <w:rStyle w:val="HideTWBExt"/>
      </w:rPr>
      <w:t>&lt;/NoPE&gt;&lt;Version&gt;</w:t>
    </w:r>
    <w:r w:rsidRPr="00411172">
      <w:t>v01-00</w:t>
    </w:r>
    <w:r w:rsidRPr="00411172">
      <w:rPr>
        <w:rStyle w:val="HideTWBExt"/>
      </w:rPr>
      <w:t>&lt;/Version&gt;</w:t>
    </w:r>
    <w:r w:rsidRPr="00411172">
      <w:tab/>
    </w:r>
    <w:r w:rsidRPr="00411172">
      <w:fldChar w:fldCharType="begin"/>
    </w:r>
    <w:r w:rsidRPr="00411172">
      <w:instrText xml:space="preserve"> PAGE  \* MERGEFORMAT </w:instrText>
    </w:r>
    <w:r w:rsidRPr="00411172">
      <w:fldChar w:fldCharType="separate"/>
    </w:r>
    <w:r w:rsidR="00411172" w:rsidRPr="00411172">
      <w:rPr>
        <w:noProof/>
      </w:rPr>
      <w:t>2</w:t>
    </w:r>
    <w:r w:rsidRPr="00411172">
      <w:fldChar w:fldCharType="end"/>
    </w:r>
    <w:r w:rsidRPr="00411172">
      <w:t>/</w:t>
    </w:r>
    <w:r w:rsidR="00114B73">
      <w:fldChar w:fldCharType="begin"/>
    </w:r>
    <w:r w:rsidR="00114B73">
      <w:instrText xml:space="preserve"> NUMPAGES  \* MERGEFORMAT </w:instrText>
    </w:r>
    <w:r w:rsidR="00114B73">
      <w:fldChar w:fldCharType="separate"/>
    </w:r>
    <w:r w:rsidR="00411172" w:rsidRPr="00411172">
      <w:rPr>
        <w:noProof/>
      </w:rPr>
      <w:t>3</w:t>
    </w:r>
    <w:r w:rsidR="00114B73">
      <w:rPr>
        <w:noProof/>
      </w:rPr>
      <w:fldChar w:fldCharType="end"/>
    </w:r>
    <w:r w:rsidRPr="00411172">
      <w:tab/>
    </w:r>
    <w:r w:rsidRPr="00411172">
      <w:rPr>
        <w:rStyle w:val="HideTWBExt"/>
      </w:rPr>
      <w:t>&lt;PathFdR&gt;</w:t>
    </w:r>
    <w:r w:rsidRPr="00411172">
      <w:t>RR\1300384PL.docx</w:t>
    </w:r>
    <w:r w:rsidRPr="00411172">
      <w:rPr>
        <w:rStyle w:val="HideTWBExt"/>
      </w:rPr>
      <w:t>&lt;/PathFdR&gt;</w:t>
    </w:r>
  </w:p>
  <w:p w:rsidR="00066263" w:rsidRPr="00411172" w:rsidRDefault="00066263" w:rsidP="001A67FF">
    <w:pPr>
      <w:pStyle w:val="EPFooter2"/>
    </w:pPr>
    <w:r w:rsidRPr="00411172"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63" w:rsidRPr="00411172" w:rsidRDefault="00066263" w:rsidP="001A67FF">
    <w:pPr>
      <w:pStyle w:val="EPFooter"/>
    </w:pPr>
    <w:r w:rsidRPr="00411172">
      <w:rPr>
        <w:rStyle w:val="HideTWBExt"/>
      </w:rPr>
      <w:t>&lt;PathFdR&gt;</w:t>
    </w:r>
    <w:r w:rsidRPr="00411172">
      <w:t>RR\1300384PL.docx</w:t>
    </w:r>
    <w:r w:rsidRPr="00411172">
      <w:rPr>
        <w:rStyle w:val="HideTWBExt"/>
      </w:rPr>
      <w:t>&lt;/PathFdR&gt;</w:t>
    </w:r>
    <w:r w:rsidRPr="00411172">
      <w:tab/>
    </w:r>
    <w:r w:rsidRPr="00411172">
      <w:tab/>
      <w:t>PE</w:t>
    </w:r>
    <w:r w:rsidRPr="00411172">
      <w:rPr>
        <w:rStyle w:val="HideTWBExt"/>
      </w:rPr>
      <w:t>&lt;NoPE&gt;</w:t>
    </w:r>
    <w:r w:rsidRPr="00411172">
      <w:t>760.936</w:t>
    </w:r>
    <w:r w:rsidRPr="00411172">
      <w:rPr>
        <w:rStyle w:val="HideTWBExt"/>
      </w:rPr>
      <w:t>&lt;/NoPE&gt;&lt;Version&gt;</w:t>
    </w:r>
    <w:r w:rsidRPr="00411172">
      <w:t>v01-00</w:t>
    </w:r>
    <w:r w:rsidRPr="00411172">
      <w:rPr>
        <w:rStyle w:val="HideTWBExt"/>
      </w:rPr>
      <w:t>&lt;/Version&gt;</w:t>
    </w:r>
  </w:p>
  <w:p w:rsidR="00066263" w:rsidRPr="00411172" w:rsidRDefault="00066263" w:rsidP="001A67FF">
    <w:pPr>
      <w:pStyle w:val="EPFooter2"/>
    </w:pPr>
    <w:r w:rsidRPr="00411172">
      <w:t>PL</w:t>
    </w:r>
    <w:r w:rsidRPr="00411172">
      <w:tab/>
    </w:r>
    <w:r w:rsidRPr="00411172">
      <w:rPr>
        <w:b w:val="0"/>
        <w:i/>
        <w:color w:val="C0C0C0"/>
        <w:sz w:val="22"/>
      </w:rPr>
      <w:t>Zjednoczona w różnorodności</w:t>
    </w:r>
    <w:r w:rsidRPr="00411172">
      <w:tab/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B0" w:rsidRPr="00411172" w:rsidRDefault="008F09B0">
      <w:r w:rsidRPr="00411172">
        <w:separator/>
      </w:r>
    </w:p>
  </w:footnote>
  <w:footnote w:type="continuationSeparator" w:id="0">
    <w:p w:rsidR="008F09B0" w:rsidRPr="00411172" w:rsidRDefault="008F09B0">
      <w:r w:rsidRPr="00411172">
        <w:continuationSeparator/>
      </w:r>
    </w:p>
  </w:footnote>
  <w:footnote w:id="1">
    <w:p w:rsidR="00066263" w:rsidRPr="004D2092" w:rsidRDefault="00066263" w:rsidP="004D2092">
      <w:pPr>
        <w:pStyle w:val="FootnoteText"/>
        <w:ind w:left="567" w:hanging="567"/>
        <w:rPr>
          <w:sz w:val="24"/>
          <w:szCs w:val="24"/>
          <w:lang w:val="pl-PL"/>
        </w:rPr>
      </w:pPr>
      <w:r w:rsidRPr="004D2092">
        <w:rPr>
          <w:rStyle w:val="FootnoteReference"/>
          <w:sz w:val="24"/>
          <w:szCs w:val="24"/>
          <w:lang w:val="pl-PL"/>
        </w:rPr>
        <w:footnoteRef/>
      </w:r>
      <w:r w:rsidR="00411172" w:rsidRPr="004D2092">
        <w:rPr>
          <w:sz w:val="24"/>
          <w:szCs w:val="24"/>
          <w:lang w:val="pl-PL"/>
        </w:rPr>
        <w:t xml:space="preserve"> </w:t>
      </w:r>
      <w:r w:rsidR="00411172" w:rsidRPr="004D2092">
        <w:rPr>
          <w:sz w:val="24"/>
          <w:szCs w:val="24"/>
          <w:lang w:val="pl-PL"/>
        </w:rPr>
        <w:tab/>
      </w:r>
      <w:r w:rsidRPr="004D2092">
        <w:rPr>
          <w:sz w:val="24"/>
          <w:szCs w:val="24"/>
          <w:lang w:val="pl-PL"/>
        </w:rPr>
        <w:t xml:space="preserve">Dz.U. C </w:t>
      </w:r>
      <w:r w:rsidRPr="00CD0A81">
        <w:rPr>
          <w:sz w:val="24"/>
          <w:szCs w:val="24"/>
          <w:lang w:val="pl-PL"/>
        </w:rPr>
        <w:t>75</w:t>
      </w:r>
      <w:r w:rsidRPr="004D2092">
        <w:rPr>
          <w:sz w:val="24"/>
          <w:szCs w:val="24"/>
          <w:lang w:val="pl-PL"/>
        </w:rPr>
        <w:t xml:space="preserve"> z </w:t>
      </w:r>
      <w:r w:rsidRPr="00CD0A81">
        <w:rPr>
          <w:sz w:val="24"/>
          <w:szCs w:val="24"/>
          <w:lang w:val="pl-PL"/>
        </w:rPr>
        <w:t>10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3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2017</w:t>
      </w:r>
      <w:r w:rsidRPr="004D2092">
        <w:rPr>
          <w:sz w:val="24"/>
          <w:szCs w:val="24"/>
          <w:lang w:val="pl-PL"/>
        </w:rPr>
        <w:t xml:space="preserve">, s. </w:t>
      </w:r>
      <w:r w:rsidRPr="00CD0A81">
        <w:rPr>
          <w:sz w:val="24"/>
          <w:szCs w:val="24"/>
          <w:lang w:val="pl-PL"/>
        </w:rPr>
        <w:t>97</w:t>
      </w:r>
      <w:r w:rsidRPr="004D2092">
        <w:rPr>
          <w:sz w:val="24"/>
          <w:szCs w:val="24"/>
          <w:lang w:val="pl-PL"/>
        </w:rPr>
        <w:t>.</w:t>
      </w:r>
    </w:p>
  </w:footnote>
  <w:footnote w:id="2">
    <w:p w:rsidR="00066263" w:rsidRPr="004D2092" w:rsidRDefault="00066263" w:rsidP="004D2092">
      <w:pPr>
        <w:pStyle w:val="FootnoteText"/>
        <w:ind w:left="567" w:hanging="567"/>
        <w:rPr>
          <w:sz w:val="24"/>
          <w:szCs w:val="24"/>
          <w:lang w:val="pl-PL"/>
        </w:rPr>
      </w:pPr>
      <w:r w:rsidRPr="004D2092">
        <w:rPr>
          <w:rStyle w:val="FootnoteReference"/>
          <w:sz w:val="24"/>
          <w:szCs w:val="24"/>
          <w:lang w:val="pl-PL"/>
        </w:rPr>
        <w:footnoteRef/>
      </w:r>
      <w:r w:rsidR="00411172" w:rsidRPr="004D2092">
        <w:rPr>
          <w:sz w:val="24"/>
          <w:szCs w:val="24"/>
          <w:lang w:val="pl-PL"/>
        </w:rPr>
        <w:t xml:space="preserve"> </w:t>
      </w:r>
      <w:r w:rsidR="00411172" w:rsidRPr="004D2092">
        <w:rPr>
          <w:sz w:val="24"/>
          <w:szCs w:val="24"/>
          <w:lang w:val="pl-PL"/>
        </w:rPr>
        <w:tab/>
      </w:r>
      <w:r w:rsidRPr="004D2092">
        <w:rPr>
          <w:sz w:val="24"/>
          <w:szCs w:val="24"/>
          <w:lang w:val="pl-PL"/>
        </w:rPr>
        <w:t xml:space="preserve">Dz.U. C </w:t>
      </w:r>
      <w:r w:rsidRPr="00CD0A81">
        <w:rPr>
          <w:sz w:val="24"/>
          <w:szCs w:val="24"/>
          <w:lang w:val="pl-PL"/>
        </w:rPr>
        <w:t>155</w:t>
      </w:r>
      <w:r w:rsidRPr="004D2092">
        <w:rPr>
          <w:sz w:val="24"/>
          <w:szCs w:val="24"/>
          <w:lang w:val="pl-PL"/>
        </w:rPr>
        <w:t xml:space="preserve"> z </w:t>
      </w:r>
      <w:r w:rsidRPr="00CD0A81">
        <w:rPr>
          <w:sz w:val="24"/>
          <w:szCs w:val="24"/>
          <w:lang w:val="pl-PL"/>
        </w:rPr>
        <w:t>30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4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2021</w:t>
      </w:r>
      <w:r w:rsidRPr="004D2092">
        <w:rPr>
          <w:sz w:val="24"/>
          <w:szCs w:val="24"/>
          <w:lang w:val="pl-PL"/>
        </w:rPr>
        <w:t xml:space="preserve">, s. </w:t>
      </w:r>
      <w:r w:rsidRPr="00CD0A81">
        <w:rPr>
          <w:sz w:val="24"/>
          <w:szCs w:val="24"/>
          <w:lang w:val="pl-PL"/>
        </w:rPr>
        <w:t>64</w:t>
      </w:r>
      <w:r w:rsidRPr="004D2092">
        <w:rPr>
          <w:sz w:val="24"/>
          <w:szCs w:val="24"/>
          <w:lang w:val="pl-PL"/>
        </w:rPr>
        <w:t>.</w:t>
      </w:r>
    </w:p>
  </w:footnote>
  <w:footnote w:id="3">
    <w:p w:rsidR="00066263" w:rsidRPr="004D2092" w:rsidRDefault="00066263" w:rsidP="004D2092">
      <w:pPr>
        <w:pStyle w:val="FootnoteText"/>
        <w:ind w:left="567" w:hanging="567"/>
        <w:rPr>
          <w:sz w:val="24"/>
          <w:szCs w:val="24"/>
          <w:lang w:val="pl-PL"/>
        </w:rPr>
      </w:pPr>
      <w:r w:rsidRPr="004D2092">
        <w:rPr>
          <w:rStyle w:val="FootnoteReference"/>
          <w:sz w:val="24"/>
          <w:szCs w:val="24"/>
          <w:lang w:val="pl-PL"/>
        </w:rPr>
        <w:footnoteRef/>
      </w:r>
      <w:r w:rsidR="00411172" w:rsidRPr="004D2092">
        <w:rPr>
          <w:sz w:val="24"/>
          <w:szCs w:val="24"/>
          <w:lang w:val="pl-PL"/>
        </w:rPr>
        <w:t xml:space="preserve"> </w:t>
      </w:r>
      <w:r w:rsidR="00411172" w:rsidRPr="004D2092">
        <w:rPr>
          <w:sz w:val="24"/>
          <w:szCs w:val="24"/>
          <w:lang w:val="pl-PL"/>
        </w:rPr>
        <w:tab/>
      </w:r>
      <w:r w:rsidRPr="004D2092">
        <w:rPr>
          <w:sz w:val="24"/>
          <w:szCs w:val="24"/>
          <w:lang w:val="pl-PL"/>
        </w:rPr>
        <w:t xml:space="preserve">Dz.U. C </w:t>
      </w:r>
      <w:r w:rsidRPr="00CD0A81">
        <w:rPr>
          <w:sz w:val="24"/>
          <w:szCs w:val="24"/>
          <w:lang w:val="pl-PL"/>
        </w:rPr>
        <w:t>207</w:t>
      </w:r>
      <w:r w:rsidRPr="004D2092">
        <w:rPr>
          <w:sz w:val="24"/>
          <w:szCs w:val="24"/>
          <w:lang w:val="pl-PL"/>
        </w:rPr>
        <w:t xml:space="preserve"> z </w:t>
      </w:r>
      <w:r w:rsidRPr="00CD0A81">
        <w:rPr>
          <w:sz w:val="24"/>
          <w:szCs w:val="24"/>
          <w:lang w:val="pl-PL"/>
        </w:rPr>
        <w:t>30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6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2017</w:t>
      </w:r>
      <w:r w:rsidRPr="004D2092">
        <w:rPr>
          <w:sz w:val="24"/>
          <w:szCs w:val="24"/>
          <w:lang w:val="pl-PL"/>
        </w:rPr>
        <w:t xml:space="preserve">, s. </w:t>
      </w:r>
      <w:r w:rsidRPr="00CD0A81">
        <w:rPr>
          <w:sz w:val="24"/>
          <w:szCs w:val="24"/>
          <w:lang w:val="pl-PL"/>
        </w:rPr>
        <w:t>67</w:t>
      </w:r>
      <w:r w:rsidRPr="004D2092">
        <w:rPr>
          <w:sz w:val="24"/>
          <w:szCs w:val="24"/>
          <w:lang w:val="pl-PL"/>
        </w:rPr>
        <w:t>.</w:t>
      </w:r>
    </w:p>
  </w:footnote>
  <w:footnote w:id="4">
    <w:p w:rsidR="00066263" w:rsidRPr="004D2092" w:rsidRDefault="00066263" w:rsidP="004D2092">
      <w:pPr>
        <w:pStyle w:val="FootnoteText"/>
        <w:ind w:left="567" w:hanging="567"/>
        <w:rPr>
          <w:sz w:val="24"/>
          <w:szCs w:val="24"/>
          <w:lang w:val="pl-PL"/>
        </w:rPr>
      </w:pPr>
      <w:r w:rsidRPr="004D2092">
        <w:rPr>
          <w:rStyle w:val="FootnoteReference"/>
          <w:sz w:val="24"/>
          <w:szCs w:val="24"/>
          <w:lang w:val="pl-PL"/>
        </w:rPr>
        <w:footnoteRef/>
      </w:r>
      <w:r w:rsidR="00411172" w:rsidRPr="004D2092">
        <w:rPr>
          <w:sz w:val="24"/>
          <w:szCs w:val="24"/>
          <w:lang w:val="pl-PL"/>
        </w:rPr>
        <w:t xml:space="preserve"> </w:t>
      </w:r>
      <w:r w:rsidR="00411172" w:rsidRPr="004D2092">
        <w:rPr>
          <w:sz w:val="24"/>
          <w:szCs w:val="24"/>
          <w:lang w:val="pl-PL"/>
        </w:rPr>
        <w:tab/>
      </w:r>
      <w:r w:rsidRPr="004D2092">
        <w:rPr>
          <w:sz w:val="24"/>
          <w:szCs w:val="24"/>
          <w:lang w:val="pl-PL"/>
        </w:rPr>
        <w:t xml:space="preserve">Dz.U. C </w:t>
      </w:r>
      <w:r w:rsidRPr="00CD0A81">
        <w:rPr>
          <w:sz w:val="24"/>
          <w:szCs w:val="24"/>
          <w:lang w:val="pl-PL"/>
        </w:rPr>
        <w:t>175</w:t>
      </w:r>
      <w:r w:rsidRPr="004D2092">
        <w:rPr>
          <w:sz w:val="24"/>
          <w:szCs w:val="24"/>
          <w:lang w:val="pl-PL"/>
        </w:rPr>
        <w:t xml:space="preserve"> z </w:t>
      </w:r>
      <w:r w:rsidRPr="00CD0A81">
        <w:rPr>
          <w:sz w:val="24"/>
          <w:szCs w:val="24"/>
          <w:lang w:val="pl-PL"/>
        </w:rPr>
        <w:t>7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5</w:t>
      </w:r>
      <w:r w:rsidRPr="004D2092">
        <w:rPr>
          <w:sz w:val="24"/>
          <w:szCs w:val="24"/>
          <w:lang w:val="pl-PL"/>
        </w:rPr>
        <w:t>.</w:t>
      </w:r>
      <w:r w:rsidRPr="00CD0A81">
        <w:rPr>
          <w:sz w:val="24"/>
          <w:szCs w:val="24"/>
          <w:lang w:val="pl-PL"/>
        </w:rPr>
        <w:t>2021</w:t>
      </w:r>
      <w:r w:rsidRPr="004D2092">
        <w:rPr>
          <w:sz w:val="24"/>
          <w:szCs w:val="24"/>
          <w:lang w:val="pl-PL"/>
        </w:rPr>
        <w:t xml:space="preserve">, s. </w:t>
      </w:r>
      <w:r w:rsidRPr="00CD0A81">
        <w:rPr>
          <w:sz w:val="24"/>
          <w:szCs w:val="24"/>
          <w:lang w:val="pl-PL"/>
        </w:rPr>
        <w:t>32</w:t>
      </w:r>
      <w:r w:rsidRPr="004D2092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117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858DDFC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6"/>
  </w:num>
  <w:num w:numId="5">
    <w:abstractNumId w:val="1"/>
  </w:num>
  <w:num w:numId="6">
    <w:abstractNumId w:val="17"/>
  </w:num>
  <w:num w:numId="7">
    <w:abstractNumId w:val="13"/>
  </w:num>
  <w:num w:numId="8">
    <w:abstractNumId w:val="3"/>
  </w:num>
  <w:num w:numId="9">
    <w:abstractNumId w:val="19"/>
  </w:num>
  <w:num w:numId="10">
    <w:abstractNumId w:val="21"/>
  </w:num>
  <w:num w:numId="11">
    <w:abstractNumId w:val="11"/>
  </w:num>
  <w:num w:numId="12">
    <w:abstractNumId w:val="18"/>
  </w:num>
  <w:num w:numId="13">
    <w:abstractNumId w:val="14"/>
  </w:num>
  <w:num w:numId="14">
    <w:abstractNumId w:val="10"/>
  </w:num>
  <w:num w:numId="15">
    <w:abstractNumId w:val="6"/>
  </w:num>
  <w:num w:numId="16">
    <w:abstractNumId w:val="5"/>
  </w:num>
  <w:num w:numId="17">
    <w:abstractNumId w:val="15"/>
  </w:num>
  <w:num w:numId="18">
    <w:abstractNumId w:val="20"/>
  </w:num>
  <w:num w:numId="19">
    <w:abstractNumId w:val="7"/>
  </w:num>
  <w:num w:numId="20">
    <w:abstractNumId w:val="4"/>
  </w:num>
  <w:num w:numId="21">
    <w:abstractNumId w:val="8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PL"/>
    <w:docVar w:name="dvnumam" w:val="0"/>
    <w:docVar w:name="dvpe" w:val="760.936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w sprawie ustanowienia powrotowej procedury granicznej i zmiany rozporządzenia (UE) 2021/1148(COM(2016)0467/COM(2020)0611) – C9-0039/2024 – 2016/0224B(COD))"/>
  </w:docVars>
  <w:rsids>
    <w:rsidRoot w:val="008F09B0"/>
    <w:rsid w:val="00002272"/>
    <w:rsid w:val="00064002"/>
    <w:rsid w:val="00066263"/>
    <w:rsid w:val="000677B9"/>
    <w:rsid w:val="000831BA"/>
    <w:rsid w:val="000A42CC"/>
    <w:rsid w:val="000E7DD9"/>
    <w:rsid w:val="0010095E"/>
    <w:rsid w:val="00114B73"/>
    <w:rsid w:val="00125B37"/>
    <w:rsid w:val="0017081E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172"/>
    <w:rsid w:val="00411CCE"/>
    <w:rsid w:val="0041666E"/>
    <w:rsid w:val="00421060"/>
    <w:rsid w:val="00471C19"/>
    <w:rsid w:val="004867E3"/>
    <w:rsid w:val="00494A28"/>
    <w:rsid w:val="004C0004"/>
    <w:rsid w:val="004C5D52"/>
    <w:rsid w:val="004D2092"/>
    <w:rsid w:val="0050519A"/>
    <w:rsid w:val="005072A1"/>
    <w:rsid w:val="00514517"/>
    <w:rsid w:val="0052488D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4D8"/>
    <w:rsid w:val="008C2AC6"/>
    <w:rsid w:val="008F09B0"/>
    <w:rsid w:val="00930C23"/>
    <w:rsid w:val="0093193B"/>
    <w:rsid w:val="009509D8"/>
    <w:rsid w:val="00950B64"/>
    <w:rsid w:val="00981893"/>
    <w:rsid w:val="00A1687D"/>
    <w:rsid w:val="00A43E52"/>
    <w:rsid w:val="00A4678D"/>
    <w:rsid w:val="00A64B94"/>
    <w:rsid w:val="00A73F0A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2618"/>
    <w:rsid w:val="00C61C0C"/>
    <w:rsid w:val="00C941CB"/>
    <w:rsid w:val="00CC2357"/>
    <w:rsid w:val="00CD0A81"/>
    <w:rsid w:val="00CF071A"/>
    <w:rsid w:val="00D058B8"/>
    <w:rsid w:val="00D56C11"/>
    <w:rsid w:val="00D834A0"/>
    <w:rsid w:val="00D872DF"/>
    <w:rsid w:val="00D91E21"/>
    <w:rsid w:val="00DA3532"/>
    <w:rsid w:val="00DA7FCD"/>
    <w:rsid w:val="00E3345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3B072"/>
  <w15:chartTrackingRefBased/>
  <w15:docId w15:val="{A14C5BA4-77CF-45DD-9DA0-277A5604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06626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066263"/>
    <w:pPr>
      <w:spacing w:before="480" w:after="240"/>
    </w:pPr>
  </w:style>
  <w:style w:type="paragraph" w:customStyle="1" w:styleId="PageHeading">
    <w:name w:val="PageHeading"/>
    <w:basedOn w:val="Normal"/>
    <w:link w:val="PageHeadingChar"/>
    <w:rsid w:val="0006626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066263"/>
    <w:rPr>
      <w:b/>
    </w:rPr>
  </w:style>
  <w:style w:type="paragraph" w:customStyle="1" w:styleId="NormalHanging12a">
    <w:name w:val="NormalHanging12a"/>
    <w:basedOn w:val="Normal"/>
    <w:rsid w:val="0006626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066263"/>
    <w:pPr>
      <w:spacing w:after="240"/>
      <w:jc w:val="center"/>
    </w:pPr>
  </w:style>
  <w:style w:type="paragraph" w:styleId="Header">
    <w:name w:val="header"/>
    <w:basedOn w:val="Normal"/>
    <w:link w:val="HeaderChar"/>
    <w:uiPriority w:val="99"/>
    <w:rsid w:val="000662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263"/>
    <w:rPr>
      <w:sz w:val="24"/>
      <w:lang w:val="pl-PL"/>
    </w:rPr>
  </w:style>
  <w:style w:type="paragraph" w:customStyle="1" w:styleId="AmNumberTabs">
    <w:name w:val="AmNumberTabs"/>
    <w:basedOn w:val="Normal"/>
    <w:rsid w:val="0006626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66263"/>
    <w:pPr>
      <w:spacing w:before="720" w:after="240"/>
      <w:jc w:val="center"/>
    </w:pPr>
  </w:style>
  <w:style w:type="paragraph" w:customStyle="1" w:styleId="EPFooter">
    <w:name w:val="EPFooter"/>
    <w:basedOn w:val="Normal"/>
    <w:rsid w:val="0006626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Pointabc">
    <w:name w:val="Point abc"/>
    <w:basedOn w:val="Normal"/>
    <w:rsid w:val="00066263"/>
    <w:pPr>
      <w:widowControl/>
      <w:numPr>
        <w:ilvl w:val="1"/>
        <w:numId w:val="3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066263"/>
    <w:pPr>
      <w:widowControl/>
      <w:numPr>
        <w:ilvl w:val="3"/>
        <w:numId w:val="3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066263"/>
    <w:pPr>
      <w:widowControl/>
      <w:numPr>
        <w:ilvl w:val="5"/>
        <w:numId w:val="3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066263"/>
    <w:pPr>
      <w:widowControl/>
      <w:numPr>
        <w:ilvl w:val="7"/>
        <w:numId w:val="3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066263"/>
    <w:pPr>
      <w:widowControl/>
      <w:numPr>
        <w:ilvl w:val="8"/>
        <w:numId w:val="3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066263"/>
    <w:pPr>
      <w:widowControl/>
      <w:numPr>
        <w:numId w:val="3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066263"/>
    <w:pPr>
      <w:widowControl/>
      <w:numPr>
        <w:ilvl w:val="2"/>
        <w:numId w:val="3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066263"/>
    <w:pPr>
      <w:widowControl/>
      <w:numPr>
        <w:ilvl w:val="4"/>
        <w:numId w:val="3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066263"/>
    <w:pPr>
      <w:widowControl/>
      <w:numPr>
        <w:ilvl w:val="6"/>
        <w:numId w:val="3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Normal24a">
    <w:name w:val="Normal24a"/>
    <w:basedOn w:val="Normal"/>
    <w:rsid w:val="00066263"/>
    <w:pPr>
      <w:spacing w:after="480"/>
    </w:pPr>
  </w:style>
  <w:style w:type="paragraph" w:customStyle="1" w:styleId="Normal12a">
    <w:name w:val="Normal12a"/>
    <w:basedOn w:val="Normal"/>
    <w:rsid w:val="00066263"/>
    <w:pPr>
      <w:spacing w:after="240"/>
    </w:pPr>
  </w:style>
  <w:style w:type="paragraph" w:customStyle="1" w:styleId="Normal12Hanging">
    <w:name w:val="Normal12Hanging"/>
    <w:basedOn w:val="Normal"/>
    <w:rsid w:val="00066263"/>
    <w:pPr>
      <w:spacing w:after="240"/>
      <w:ind w:left="567" w:hanging="567"/>
    </w:pPr>
  </w:style>
  <w:style w:type="paragraph" w:customStyle="1" w:styleId="LetterSubject">
    <w:name w:val="LetterSubject"/>
    <w:basedOn w:val="Normal"/>
    <w:rsid w:val="0006626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066263"/>
    <w:pPr>
      <w:spacing w:before="1320"/>
    </w:pPr>
  </w:style>
  <w:style w:type="paragraph" w:customStyle="1" w:styleId="LetterSalutation">
    <w:name w:val="LetterSalutation"/>
    <w:basedOn w:val="Normal"/>
    <w:rsid w:val="00066263"/>
    <w:pPr>
      <w:spacing w:before="600" w:after="360"/>
    </w:pPr>
  </w:style>
  <w:style w:type="paragraph" w:customStyle="1" w:styleId="Default">
    <w:name w:val="Default"/>
    <w:rsid w:val="00066263"/>
    <w:pPr>
      <w:autoSpaceDE w:val="0"/>
      <w:autoSpaceDN w:val="0"/>
      <w:adjustRightInd w:val="0"/>
    </w:pPr>
    <w:rPr>
      <w:rFonts w:ascii="Warnock Pro" w:eastAsiaTheme="minorHAnsi" w:hAnsi="Warnock Pro" w:cs="Warnock Pro"/>
      <w:color w:val="000000"/>
      <w:sz w:val="24"/>
      <w:szCs w:val="24"/>
      <w:lang w:val="pl-PL" w:eastAsia="en-US"/>
    </w:rPr>
  </w:style>
  <w:style w:type="character" w:customStyle="1" w:styleId="Nessuno">
    <w:name w:val="Nessuno"/>
    <w:rsid w:val="00066263"/>
  </w:style>
  <w:style w:type="character" w:customStyle="1" w:styleId="outputecliaff">
    <w:name w:val="outputecliaff"/>
    <w:basedOn w:val="DefaultParagraphFont"/>
    <w:rsid w:val="00066263"/>
  </w:style>
  <w:style w:type="character" w:customStyle="1" w:styleId="affairetitle">
    <w:name w:val="affaire_title"/>
    <w:basedOn w:val="DefaultParagraphFont"/>
    <w:rsid w:val="00066263"/>
  </w:style>
  <w:style w:type="paragraph" w:customStyle="1" w:styleId="PageHeadingNotTOC">
    <w:name w:val="PageHeadingNotTOC"/>
    <w:basedOn w:val="Normal"/>
    <w:rsid w:val="00066263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066263"/>
    <w:rPr>
      <w:rFonts w:ascii="Arial" w:hAnsi="Arial" w:cs="Arial"/>
      <w:b/>
      <w:sz w:val="24"/>
      <w:lang w:val="pl-PL"/>
    </w:rPr>
  </w:style>
  <w:style w:type="numbering" w:customStyle="1" w:styleId="NoList1">
    <w:name w:val="No List1"/>
    <w:next w:val="NoList"/>
    <w:uiPriority w:val="99"/>
    <w:semiHidden/>
    <w:unhideWhenUsed/>
    <w:rsid w:val="008944D8"/>
  </w:style>
  <w:style w:type="paragraph" w:styleId="Footer">
    <w:name w:val="footer"/>
    <w:basedOn w:val="Normal"/>
    <w:link w:val="FooterChar"/>
    <w:uiPriority w:val="99"/>
    <w:unhideWhenUsed/>
    <w:rsid w:val="008944D8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44D8"/>
    <w:rPr>
      <w:rFonts w:eastAsia="Calibri"/>
      <w:sz w:val="24"/>
      <w:szCs w:val="22"/>
      <w:lang w:val="pl-PL" w:eastAsia="en-US"/>
    </w:rPr>
  </w:style>
  <w:style w:type="paragraph" w:customStyle="1" w:styleId="NormalCentered">
    <w:name w:val="Normal Centered"/>
    <w:basedOn w:val="Normal"/>
    <w:rsid w:val="008944D8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944D8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8944D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944D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944D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944D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944D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944D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944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944D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8944D8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944D8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944D8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944D8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944D8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944D8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8944D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944D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944D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944D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944D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944D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944D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944D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944D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944D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944D8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944D8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944D8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944D8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944D8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944D8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944D8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944D8"/>
    <w:pPr>
      <w:widowControl/>
      <w:numPr>
        <w:numId w:val="16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944D8"/>
    <w:pPr>
      <w:widowControl/>
      <w:numPr>
        <w:numId w:val="17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944D8"/>
    <w:pPr>
      <w:widowControl/>
      <w:numPr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944D8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944D8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944D8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944D8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944D8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944D8"/>
    <w:pPr>
      <w:numPr>
        <w:numId w:val="9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8944D8"/>
    <w:pPr>
      <w:numPr>
        <w:numId w:val="10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8944D8"/>
    <w:pPr>
      <w:numPr>
        <w:numId w:val="11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8944D8"/>
    <w:pPr>
      <w:numPr>
        <w:numId w:val="12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8944D8"/>
    <w:pPr>
      <w:numPr>
        <w:numId w:val="13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8944D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8944D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8944D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944D8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8944D8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8944D8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8944D8"/>
    <w:pPr>
      <w:jc w:val="center"/>
    </w:pPr>
  </w:style>
  <w:style w:type="paragraph" w:customStyle="1" w:styleId="Jardin">
    <w:name w:val="Jardin"/>
    <w:basedOn w:val="Normal"/>
    <w:rsid w:val="008944D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944D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944D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944D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944D8"/>
    <w:rPr>
      <w:b/>
    </w:rPr>
  </w:style>
  <w:style w:type="paragraph" w:customStyle="1" w:styleId="Annex">
    <w:name w:val="Annex"/>
    <w:basedOn w:val="Normal"/>
    <w:next w:val="Normal"/>
    <w:rsid w:val="008944D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944D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944D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944D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944D8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944D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944D8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8944D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944D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944D8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944D8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8944D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944D8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8944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8944D8"/>
    <w:pPr>
      <w:widowControl/>
      <w:spacing w:before="120" w:after="120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8944D8"/>
    <w:rPr>
      <w:rFonts w:eastAsia="Calibri"/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94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944D8"/>
    <w:rPr>
      <w:rFonts w:eastAsia="Calibri"/>
      <w:b/>
      <w:bCs/>
      <w:lang w:val="pl-PL" w:eastAsia="en-US"/>
    </w:rPr>
  </w:style>
  <w:style w:type="paragraph" w:styleId="ListParagraph">
    <w:name w:val="List Paragraph"/>
    <w:basedOn w:val="Normal"/>
    <w:uiPriority w:val="34"/>
    <w:qFormat/>
    <w:rsid w:val="008944D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944D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944D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944D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944D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styleId="Revision">
    <w:name w:val="Revision"/>
    <w:hidden/>
    <w:uiPriority w:val="99"/>
    <w:semiHidden/>
    <w:rsid w:val="008944D8"/>
    <w:rPr>
      <w:rFonts w:eastAsia="Calibri"/>
      <w:sz w:val="24"/>
      <w:szCs w:val="22"/>
      <w:lang w:val="pl-PL" w:eastAsia="en-US"/>
    </w:rPr>
  </w:style>
  <w:style w:type="paragraph" w:customStyle="1" w:styleId="ManualNumPar1">
    <w:name w:val="Manual NumPar 1"/>
    <w:basedOn w:val="Normal"/>
    <w:next w:val="Text1"/>
    <w:rsid w:val="008944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944D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944D8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Considrant">
    <w:name w:val="Manual Considérant"/>
    <w:basedOn w:val="Normal"/>
    <w:rsid w:val="008944D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8944D8"/>
    <w:rPr>
      <w:b/>
      <w:i/>
    </w:rPr>
  </w:style>
  <w:style w:type="paragraph" w:styleId="BalloonText">
    <w:name w:val="Balloon Text"/>
    <w:basedOn w:val="Normal"/>
    <w:link w:val="BalloonTextChar"/>
    <w:uiPriority w:val="99"/>
    <w:unhideWhenUsed/>
    <w:rsid w:val="008944D8"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944D8"/>
    <w:rPr>
      <w:rFonts w:ascii="Segoe UI" w:eastAsia="Calibri" w:hAnsi="Segoe UI" w:cs="Segoe UI"/>
      <w:sz w:val="18"/>
      <w:szCs w:val="18"/>
      <w:lang w:val="pl-PL" w:eastAsia="en-US"/>
    </w:rPr>
  </w:style>
  <w:style w:type="paragraph" w:customStyle="1" w:styleId="EntText">
    <w:name w:val="EntText"/>
    <w:basedOn w:val="Normal"/>
    <w:rsid w:val="008944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944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Normal"/>
    <w:link w:val="pjChar"/>
    <w:rsid w:val="008944D8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DefaultParagraphFont"/>
    <w:link w:val="pj"/>
    <w:rsid w:val="008944D8"/>
    <w:rPr>
      <w:rFonts w:eastAsia="Calibri"/>
      <w:sz w:val="24"/>
      <w:szCs w:val="22"/>
      <w:lang w:val="pl-PL" w:eastAsia="en-US"/>
    </w:rPr>
  </w:style>
  <w:style w:type="paragraph" w:customStyle="1" w:styleId="nbbordered">
    <w:name w:val="nb bordered"/>
    <w:basedOn w:val="Normal"/>
    <w:link w:val="nbborderedChar"/>
    <w:rsid w:val="008944D8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DefaultParagraphFont"/>
    <w:link w:val="nbbordered"/>
    <w:rsid w:val="008944D8"/>
    <w:rPr>
      <w:rFonts w:eastAsia="Calibri"/>
      <w:b/>
      <w:sz w:val="24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73C0-E630-452C-972C-4E335C52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2024-07-31T08:51:00Z</dcterms:created>
  <dcterms:modified xsi:type="dcterms:W3CDTF">2024-07-31T08:51:00Z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