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56AE1" w14:paraId="47131658" w14:textId="77777777" w:rsidTr="0010095E">
        <w:trPr>
          <w:trHeight w:hRule="exact" w:val="1418"/>
        </w:trPr>
        <w:tc>
          <w:tcPr>
            <w:tcW w:w="6804" w:type="dxa"/>
            <w:shd w:val="clear" w:color="auto" w:fill="auto"/>
            <w:vAlign w:val="center"/>
          </w:tcPr>
          <w:p w14:paraId="70D7AD06" w14:textId="77777777" w:rsidR="00751A4A" w:rsidRPr="00856AE1" w:rsidRDefault="00F85769" w:rsidP="0010095E">
            <w:pPr>
              <w:pStyle w:val="EPName"/>
            </w:pPr>
            <w:r w:rsidRPr="00856AE1">
              <w:t>European Parliament</w:t>
            </w:r>
          </w:p>
          <w:p w14:paraId="1D15BA24" w14:textId="77777777" w:rsidR="00751A4A" w:rsidRPr="00856AE1" w:rsidRDefault="00817416" w:rsidP="00756632">
            <w:pPr>
              <w:pStyle w:val="EPTerm"/>
              <w:rPr>
                <w:rStyle w:val="HideTWBExt"/>
                <w:noProof w:val="0"/>
                <w:vanish w:val="0"/>
                <w:color w:val="auto"/>
              </w:rPr>
            </w:pPr>
            <w:r w:rsidRPr="00856AE1">
              <w:t>2019-2024</w:t>
            </w:r>
          </w:p>
        </w:tc>
        <w:tc>
          <w:tcPr>
            <w:tcW w:w="2268" w:type="dxa"/>
            <w:shd w:val="clear" w:color="auto" w:fill="auto"/>
          </w:tcPr>
          <w:p w14:paraId="6592AD66" w14:textId="77777777" w:rsidR="00751A4A" w:rsidRPr="00856AE1" w:rsidRDefault="00187494" w:rsidP="0010095E">
            <w:pPr>
              <w:pStyle w:val="EPLogo"/>
            </w:pPr>
            <w:r w:rsidRPr="00856AE1">
              <w:rPr>
                <w:noProof/>
              </w:rPr>
              <w:drawing>
                <wp:inline distT="0" distB="0" distL="0" distR="0" wp14:anchorId="558D632B" wp14:editId="2C224CF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24D0436" w14:textId="77777777" w:rsidR="00D058B8" w:rsidRPr="00856AE1" w:rsidRDefault="00D058B8" w:rsidP="004C5D52">
      <w:pPr>
        <w:pStyle w:val="LineTop"/>
      </w:pPr>
    </w:p>
    <w:p w14:paraId="1FA76815" w14:textId="77777777" w:rsidR="00680577" w:rsidRPr="00856AE1" w:rsidRDefault="00F85769" w:rsidP="00680577">
      <w:pPr>
        <w:pStyle w:val="EPBodyTA1"/>
      </w:pPr>
      <w:r w:rsidRPr="00856AE1">
        <w:t>TEXTS ADOPTED</w:t>
      </w:r>
    </w:p>
    <w:p w14:paraId="7450A6A5" w14:textId="77777777" w:rsidR="00D058B8" w:rsidRPr="00856AE1" w:rsidRDefault="00D058B8" w:rsidP="00D058B8">
      <w:pPr>
        <w:pStyle w:val="LineBottom"/>
      </w:pPr>
    </w:p>
    <w:p w14:paraId="551610E9" w14:textId="381EF041" w:rsidR="00F85769" w:rsidRPr="00856AE1" w:rsidRDefault="00F85769" w:rsidP="00F85769">
      <w:pPr>
        <w:pStyle w:val="ATHeading1"/>
      </w:pPr>
      <w:bookmarkStart w:id="0" w:name="TANumber"/>
      <w:r w:rsidRPr="00856AE1">
        <w:t>P9_</w:t>
      </w:r>
      <w:proofErr w:type="gramStart"/>
      <w:r w:rsidRPr="00856AE1">
        <w:t>TA(</w:t>
      </w:r>
      <w:proofErr w:type="gramEnd"/>
      <w:r w:rsidRPr="00856AE1">
        <w:t>2024)</w:t>
      </w:r>
      <w:bookmarkEnd w:id="0"/>
      <w:r w:rsidR="00830093" w:rsidRPr="00856AE1">
        <w:t>0182</w:t>
      </w:r>
    </w:p>
    <w:p w14:paraId="4A9395FB" w14:textId="77777777" w:rsidR="00F85769" w:rsidRPr="00856AE1" w:rsidRDefault="007471E6" w:rsidP="00F85769">
      <w:pPr>
        <w:pStyle w:val="ATHeading2"/>
      </w:pPr>
      <w:bookmarkStart w:id="1" w:name="title"/>
      <w:r w:rsidRPr="00856AE1">
        <w:t>European Criminal Records Information System - Third Country Nationals</w:t>
      </w:r>
      <w:bookmarkEnd w:id="1"/>
    </w:p>
    <w:p w14:paraId="1AEDA823" w14:textId="77777777" w:rsidR="00F85769" w:rsidRPr="00856AE1" w:rsidRDefault="00F85769" w:rsidP="00F85769">
      <w:pPr>
        <w:rPr>
          <w:i/>
          <w:vanish/>
        </w:rPr>
      </w:pPr>
      <w:r w:rsidRPr="00856AE1">
        <w:rPr>
          <w:i/>
        </w:rPr>
        <w:fldChar w:fldCharType="begin"/>
      </w:r>
      <w:r w:rsidRPr="00856AE1">
        <w:rPr>
          <w:i/>
        </w:rPr>
        <w:instrText xml:space="preserve"> TC"(</w:instrText>
      </w:r>
      <w:bookmarkStart w:id="2" w:name="DocNumber"/>
      <w:r w:rsidRPr="00856AE1">
        <w:rPr>
          <w:i/>
        </w:rPr>
        <w:instrText>A9-0148/2023</w:instrText>
      </w:r>
      <w:bookmarkEnd w:id="2"/>
      <w:r w:rsidRPr="00856AE1">
        <w:rPr>
          <w:i/>
        </w:rPr>
        <w:instrText xml:space="preserve"> - Rapporteur: Birgit Sippel)"\l3 \n&gt; \* MERGEFORMAT </w:instrText>
      </w:r>
      <w:r w:rsidRPr="00856AE1">
        <w:rPr>
          <w:i/>
        </w:rPr>
        <w:fldChar w:fldCharType="end"/>
      </w:r>
    </w:p>
    <w:p w14:paraId="2A57F40C" w14:textId="77777777" w:rsidR="00F85769" w:rsidRPr="00856AE1" w:rsidRDefault="00F85769" w:rsidP="00F85769">
      <w:pPr>
        <w:rPr>
          <w:vanish/>
        </w:rPr>
      </w:pPr>
      <w:bookmarkStart w:id="3" w:name="Commission"/>
      <w:r w:rsidRPr="00856AE1">
        <w:rPr>
          <w:vanish/>
        </w:rPr>
        <w:t>Committee on Civil Liberties, Justice and Home Affairs</w:t>
      </w:r>
      <w:bookmarkEnd w:id="3"/>
    </w:p>
    <w:p w14:paraId="0B3A4615" w14:textId="77777777" w:rsidR="00F85769" w:rsidRPr="00856AE1" w:rsidRDefault="00F85769" w:rsidP="00F85769">
      <w:pPr>
        <w:rPr>
          <w:vanish/>
        </w:rPr>
      </w:pPr>
      <w:bookmarkStart w:id="4" w:name="PE"/>
      <w:r w:rsidRPr="00856AE1">
        <w:rPr>
          <w:vanish/>
        </w:rPr>
        <w:t>PE700.426</w:t>
      </w:r>
      <w:bookmarkEnd w:id="4"/>
    </w:p>
    <w:p w14:paraId="559F3F50" w14:textId="0930C924" w:rsidR="00F85769" w:rsidRPr="00856AE1" w:rsidRDefault="00F85769" w:rsidP="00F85769">
      <w:pPr>
        <w:pStyle w:val="ATHeading3"/>
      </w:pPr>
      <w:bookmarkStart w:id="5" w:name="Sujet"/>
      <w:proofErr w:type="gramStart"/>
      <w:r w:rsidRPr="00856AE1">
        <w:t xml:space="preserve">European Parliament legislative resolution of </w:t>
      </w:r>
      <w:r w:rsidR="002E226B" w:rsidRPr="00856AE1">
        <w:t>10</w:t>
      </w:r>
      <w:r w:rsidRPr="00856AE1">
        <w:t xml:space="preserve"> </w:t>
      </w:r>
      <w:r w:rsidR="007471E6" w:rsidRPr="00856AE1">
        <w:t>April</w:t>
      </w:r>
      <w:r w:rsidRPr="00856AE1">
        <w:t xml:space="preserve"> 2024 on the proposal for a regulation of the European Parliament and of the Council amending Regulation (EU) 2019/816 establishing a centralised system for the identification of Member States holding conviction information on third-country nationals and stateless persons (ECRIS-TCN) to supplement the European Criminal Records Information System and Regulation (EU) 2019/818 on establishing a framework for interoperability between EU information systems in the field of police and judicial cooperation, asylum and migration and amending Regulations (EU) 2018/1726, (EU) 2018/1862 and (EU) 2019/816 for the purpose of introducing a screening of third country nationals at the external borders</w:t>
      </w:r>
      <w:bookmarkEnd w:id="5"/>
      <w:r w:rsidRPr="00856AE1">
        <w:t xml:space="preserve"> </w:t>
      </w:r>
      <w:bookmarkStart w:id="6" w:name="References"/>
      <w:r w:rsidRPr="00856AE1">
        <w:t>(COM(2021)0096 – C9-0088/2021 – 2021/0046(COD))</w:t>
      </w:r>
      <w:bookmarkEnd w:id="6"/>
      <w:proofErr w:type="gramEnd"/>
    </w:p>
    <w:p w14:paraId="594CB5EE" w14:textId="77777777" w:rsidR="00F85769" w:rsidRPr="00856AE1" w:rsidRDefault="00F85769" w:rsidP="00F85769"/>
    <w:p w14:paraId="6EEC4B71" w14:textId="77777777" w:rsidR="0050476A" w:rsidRPr="00856AE1" w:rsidRDefault="0050476A" w:rsidP="0050476A">
      <w:pPr>
        <w:pStyle w:val="NormalBold"/>
      </w:pPr>
      <w:bookmarkStart w:id="7" w:name="TextBodyBegin"/>
      <w:bookmarkEnd w:id="7"/>
      <w:r w:rsidRPr="00856AE1">
        <w:t>(Ordinary legislative procedure: first reading)</w:t>
      </w:r>
    </w:p>
    <w:p w14:paraId="7A172209" w14:textId="77777777" w:rsidR="0050476A" w:rsidRPr="00856AE1" w:rsidRDefault="0050476A" w:rsidP="0050476A">
      <w:pPr>
        <w:pStyle w:val="EPComma"/>
      </w:pPr>
      <w:r w:rsidRPr="00856AE1">
        <w:rPr>
          <w:i/>
        </w:rPr>
        <w:t>The European Parliament</w:t>
      </w:r>
      <w:r w:rsidRPr="00856AE1">
        <w:t>,</w:t>
      </w:r>
    </w:p>
    <w:p w14:paraId="6481BA5D" w14:textId="77777777" w:rsidR="0050476A" w:rsidRPr="00856AE1" w:rsidRDefault="0050476A" w:rsidP="0050476A">
      <w:pPr>
        <w:pStyle w:val="NormalHanging12a"/>
      </w:pPr>
      <w:r w:rsidRPr="00856AE1">
        <w:t>–</w:t>
      </w:r>
      <w:r w:rsidRPr="00856AE1">
        <w:tab/>
        <w:t>having regard to the Commission proposal to Parliament and the Council (</w:t>
      </w:r>
      <w:proofErr w:type="gramStart"/>
      <w:r w:rsidRPr="00856AE1">
        <w:t>COM(</w:t>
      </w:r>
      <w:proofErr w:type="gramEnd"/>
      <w:r w:rsidRPr="00856AE1">
        <w:t>2021)0096),</w:t>
      </w:r>
    </w:p>
    <w:p w14:paraId="5FD76ECE" w14:textId="77777777" w:rsidR="0050476A" w:rsidRPr="00856AE1" w:rsidRDefault="0050476A" w:rsidP="0050476A">
      <w:pPr>
        <w:pStyle w:val="NormalHanging12a"/>
      </w:pPr>
      <w:r w:rsidRPr="00856AE1">
        <w:t>–</w:t>
      </w:r>
      <w:r w:rsidRPr="00856AE1">
        <w:tab/>
        <w:t>having regard to Article 294(2), Article 16(2), Article 74, Article 78(2)(e), Article 79(2)(c), Article 82(1), second subparagraph, point (d), Article 85(1), Article 87(2)(a) and Article 88(2) of the Treaty on the Functioning of the European Union, pursuant to which the Commission submitted the proposal to Parliament (C9</w:t>
      </w:r>
      <w:r w:rsidRPr="00856AE1">
        <w:noBreakHyphen/>
        <w:t>0088/2021),</w:t>
      </w:r>
    </w:p>
    <w:p w14:paraId="66C2B9B0" w14:textId="77777777" w:rsidR="007C73A0" w:rsidRPr="00856AE1" w:rsidRDefault="007C73A0" w:rsidP="0050476A">
      <w:pPr>
        <w:pStyle w:val="NormalHanging12a"/>
      </w:pPr>
      <w:r w:rsidRPr="00856AE1">
        <w:t>–</w:t>
      </w:r>
      <w:r w:rsidRPr="00856AE1">
        <w:tab/>
        <w:t xml:space="preserve">having regard to the opinion of the Committee on Legal Affairs on the proposed legal </w:t>
      </w:r>
      <w:proofErr w:type="gramStart"/>
      <w:r w:rsidRPr="00856AE1">
        <w:t>basis</w:t>
      </w:r>
      <w:proofErr w:type="gramEnd"/>
      <w:r w:rsidRPr="00856AE1">
        <w:t>,</w:t>
      </w:r>
    </w:p>
    <w:p w14:paraId="575A8182" w14:textId="6670659D" w:rsidR="0050476A" w:rsidRPr="00856AE1" w:rsidRDefault="0050476A" w:rsidP="0050476A">
      <w:pPr>
        <w:pStyle w:val="NormalHanging12a"/>
      </w:pPr>
      <w:r w:rsidRPr="00856AE1">
        <w:t>–</w:t>
      </w:r>
      <w:r w:rsidRPr="00856AE1">
        <w:tab/>
        <w:t>having regard to Article 294(3)</w:t>
      </w:r>
      <w:r w:rsidR="00D96570" w:rsidRPr="00856AE1">
        <w:t>, Article 78(2)(e), Article 79(2)(c), Article 82(1), second subparagraph, point (d), and Article 87(2)(a)</w:t>
      </w:r>
      <w:r w:rsidRPr="00856AE1">
        <w:t xml:space="preserve"> of the Treaty on the Functioning of the European Union,</w:t>
      </w:r>
    </w:p>
    <w:p w14:paraId="3C0F9D7D" w14:textId="77777777" w:rsidR="00D310DA" w:rsidRPr="00856AE1" w:rsidRDefault="00D310DA" w:rsidP="0050476A">
      <w:pPr>
        <w:pStyle w:val="NormalHanging12a"/>
      </w:pPr>
      <w:r w:rsidRPr="00856AE1">
        <w:t>–</w:t>
      </w:r>
      <w:r w:rsidRPr="00856AE1">
        <w:tab/>
        <w:t>having regard to the provisional agreement approved by the committee responsible under Rule 74(4) of its Rules of Procedure and the undertaking given by the Council representative by letter of 8 February 2024 to approve Parliament’s position, in accordance with Article 294(4) of the Treaty on the Functioning of the European Union,</w:t>
      </w:r>
    </w:p>
    <w:p w14:paraId="462739A2" w14:textId="57A76394" w:rsidR="0050476A" w:rsidRPr="00856AE1" w:rsidRDefault="0050476A" w:rsidP="0050476A">
      <w:pPr>
        <w:pStyle w:val="NormalHanging12a"/>
      </w:pPr>
      <w:r w:rsidRPr="00856AE1">
        <w:t>–</w:t>
      </w:r>
      <w:r w:rsidRPr="00856AE1">
        <w:tab/>
        <w:t>having regard to Rule</w:t>
      </w:r>
      <w:r w:rsidR="00626998" w:rsidRPr="00856AE1">
        <w:t>s</w:t>
      </w:r>
      <w:r w:rsidRPr="00856AE1">
        <w:t xml:space="preserve"> 59 </w:t>
      </w:r>
      <w:r w:rsidR="00626998" w:rsidRPr="00856AE1">
        <w:t xml:space="preserve">and 40 </w:t>
      </w:r>
      <w:r w:rsidRPr="00856AE1">
        <w:t>of its Rules of Procedure,</w:t>
      </w:r>
    </w:p>
    <w:p w14:paraId="69DADAC9" w14:textId="77777777" w:rsidR="0050476A" w:rsidRPr="00856AE1" w:rsidRDefault="0050476A" w:rsidP="0050476A">
      <w:pPr>
        <w:pStyle w:val="NormalHanging12a"/>
      </w:pPr>
      <w:r w:rsidRPr="00856AE1">
        <w:lastRenderedPageBreak/>
        <w:t>–</w:t>
      </w:r>
      <w:r w:rsidRPr="00856AE1">
        <w:tab/>
        <w:t>having regard to the report of the Committee on Civil Liberties, Justice and Home Affairs (A9-0148/2023),</w:t>
      </w:r>
    </w:p>
    <w:p w14:paraId="0C08302F" w14:textId="77777777" w:rsidR="0050476A" w:rsidRPr="00856AE1" w:rsidRDefault="0050476A" w:rsidP="0050476A">
      <w:pPr>
        <w:pStyle w:val="NormalHanging12a"/>
      </w:pPr>
      <w:r w:rsidRPr="00856AE1">
        <w:t>1.</w:t>
      </w:r>
      <w:r w:rsidRPr="00856AE1">
        <w:tab/>
      </w:r>
      <w:proofErr w:type="gramStart"/>
      <w:r w:rsidRPr="00856AE1">
        <w:t>Adopts</w:t>
      </w:r>
      <w:proofErr w:type="gramEnd"/>
      <w:r w:rsidRPr="00856AE1">
        <w:t xml:space="preserve"> its position at first reading hereinafter set out;</w:t>
      </w:r>
    </w:p>
    <w:p w14:paraId="312D226A" w14:textId="77777777" w:rsidR="0050476A" w:rsidRPr="00856AE1" w:rsidRDefault="0050476A" w:rsidP="0050476A">
      <w:pPr>
        <w:pStyle w:val="NormalHanging12a"/>
      </w:pPr>
      <w:r w:rsidRPr="00856AE1">
        <w:t>2.</w:t>
      </w:r>
      <w:r w:rsidRPr="00856AE1">
        <w:tab/>
        <w:t>Calls on the Commission to refer the matter to Parliament again if it replaces, substantially amends or intends to substantially amend its proposal</w:t>
      </w:r>
      <w:proofErr w:type="gramStart"/>
      <w:r w:rsidRPr="00856AE1">
        <w:t>;</w:t>
      </w:r>
      <w:proofErr w:type="gramEnd"/>
    </w:p>
    <w:p w14:paraId="2B8DFDD9" w14:textId="77777777" w:rsidR="007471E6" w:rsidRPr="00856AE1" w:rsidRDefault="0050476A" w:rsidP="0050476A">
      <w:pPr>
        <w:pStyle w:val="NormalHanging12a"/>
        <w:sectPr w:rsidR="007471E6" w:rsidRPr="00856AE1" w:rsidSect="0027597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856AE1">
        <w:t>3.</w:t>
      </w:r>
      <w:r w:rsidRPr="00856AE1">
        <w:tab/>
        <w:t>Instructs its President to forward its position to the Council, the Commission and the national parliaments.</w:t>
      </w:r>
    </w:p>
    <w:p w14:paraId="1AA3A7D2" w14:textId="7FF88806" w:rsidR="00504FCE" w:rsidRPr="00856AE1" w:rsidRDefault="00504FCE" w:rsidP="00504FCE">
      <w:pPr>
        <w:autoSpaceDE w:val="0"/>
        <w:autoSpaceDN w:val="0"/>
        <w:adjustRightInd w:val="0"/>
        <w:spacing w:after="240"/>
        <w:rPr>
          <w:rFonts w:eastAsia="Calibri"/>
          <w:b/>
          <w:bCs/>
          <w:color w:val="000000"/>
          <w:szCs w:val="24"/>
        </w:rPr>
      </w:pPr>
      <w:r w:rsidRPr="00856AE1">
        <w:rPr>
          <w:rFonts w:eastAsia="Calibri"/>
          <w:b/>
          <w:bCs/>
          <w:color w:val="000000"/>
          <w:szCs w:val="24"/>
        </w:rPr>
        <w:lastRenderedPageBreak/>
        <w:t>P9_TC1-</w:t>
      </w:r>
      <w:proofErr w:type="gramStart"/>
      <w:r w:rsidRPr="00856AE1">
        <w:rPr>
          <w:rFonts w:eastAsia="Calibri"/>
          <w:b/>
          <w:bCs/>
          <w:color w:val="000000"/>
          <w:szCs w:val="24"/>
        </w:rPr>
        <w:t>COD(</w:t>
      </w:r>
      <w:proofErr w:type="gramEnd"/>
      <w:r w:rsidRPr="00856AE1">
        <w:rPr>
          <w:rFonts w:eastAsia="Calibri"/>
          <w:b/>
          <w:bCs/>
          <w:color w:val="000000"/>
          <w:szCs w:val="24"/>
        </w:rPr>
        <w:t>2021)0046</w:t>
      </w:r>
    </w:p>
    <w:p w14:paraId="66C857AD" w14:textId="70781989" w:rsidR="00504FCE" w:rsidRPr="00856AE1" w:rsidRDefault="00504FCE" w:rsidP="00504FCE">
      <w:pPr>
        <w:widowControl/>
        <w:autoSpaceDE w:val="0"/>
        <w:autoSpaceDN w:val="0"/>
        <w:adjustRightInd w:val="0"/>
        <w:spacing w:before="120" w:after="120"/>
        <w:rPr>
          <w:rFonts w:eastAsia="Calibri"/>
          <w:b/>
          <w:szCs w:val="22"/>
          <w:lang w:eastAsia="en-US"/>
        </w:rPr>
      </w:pPr>
      <w:r w:rsidRPr="00856AE1">
        <w:rPr>
          <w:rFonts w:eastAsia="Calibri"/>
          <w:b/>
          <w:bCs/>
          <w:szCs w:val="24"/>
        </w:rPr>
        <w:t xml:space="preserve">Position of the European Parliament adopted at first reading on 10 April 2024 with a view to the adoption of Regulation (EU) 2024/… of the European Parliament and of the Council </w:t>
      </w:r>
      <w:bookmarkStart w:id="8" w:name="_DV_M1"/>
      <w:bookmarkStart w:id="9" w:name="_DV_M2"/>
      <w:bookmarkEnd w:id="8"/>
      <w:bookmarkEnd w:id="9"/>
      <w:r w:rsidRPr="00856AE1">
        <w:rPr>
          <w:rFonts w:eastAsia="Calibri"/>
          <w:b/>
          <w:szCs w:val="22"/>
          <w:lang w:eastAsia="en-US"/>
        </w:rPr>
        <w:t>amending R</w:t>
      </w:r>
      <w:bookmarkStart w:id="10" w:name="_GoBack"/>
      <w:bookmarkEnd w:id="10"/>
      <w:r w:rsidRPr="00856AE1">
        <w:rPr>
          <w:rFonts w:eastAsia="Calibri"/>
          <w:b/>
          <w:szCs w:val="22"/>
          <w:lang w:eastAsia="en-US"/>
        </w:rPr>
        <w:t>egulations (EU) 2019/816 and (EU) 2019/818 for the purpose of introducing the screening of third-country nationals at the external borders</w:t>
      </w:r>
    </w:p>
    <w:p w14:paraId="60D818A6" w14:textId="0698E54B" w:rsidR="00A11A33" w:rsidRPr="00D753C3" w:rsidRDefault="00A11A33" w:rsidP="00A11A33">
      <w:pPr>
        <w:widowControl/>
        <w:autoSpaceDE w:val="0"/>
        <w:autoSpaceDN w:val="0"/>
        <w:adjustRightInd w:val="0"/>
        <w:spacing w:before="360" w:after="120"/>
        <w:rPr>
          <w:i/>
        </w:rPr>
      </w:pPr>
      <w:r w:rsidRPr="00856AE1">
        <w:rPr>
          <w:i/>
        </w:rPr>
        <w:t xml:space="preserve">(As an agreement </w:t>
      </w:r>
      <w:proofErr w:type="gramStart"/>
      <w:r w:rsidRPr="00856AE1">
        <w:rPr>
          <w:i/>
        </w:rPr>
        <w:t>was reached</w:t>
      </w:r>
      <w:proofErr w:type="gramEnd"/>
      <w:r w:rsidRPr="00856AE1">
        <w:rPr>
          <w:i/>
        </w:rPr>
        <w:t xml:space="preserve"> between Parliament and Council, Parliament's position corresponds to the final legislative act, Regulation (EU) 2024/1352.)</w:t>
      </w:r>
    </w:p>
    <w:p w14:paraId="4A788691" w14:textId="77777777" w:rsidR="00A11A33" w:rsidRPr="007D3F67" w:rsidRDefault="00A11A33" w:rsidP="00504FCE">
      <w:pPr>
        <w:widowControl/>
        <w:autoSpaceDE w:val="0"/>
        <w:autoSpaceDN w:val="0"/>
        <w:adjustRightInd w:val="0"/>
        <w:spacing w:before="120" w:after="120"/>
        <w:rPr>
          <w:rFonts w:eastAsia="Calibri"/>
          <w:b/>
          <w:szCs w:val="22"/>
          <w:lang w:eastAsia="en-US"/>
        </w:rPr>
      </w:pPr>
    </w:p>
    <w:sectPr w:rsidR="00A11A33" w:rsidRPr="007D3F67" w:rsidSect="0027597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91E40" w14:textId="77777777" w:rsidR="00F85769" w:rsidRPr="0027597B" w:rsidRDefault="00F85769">
      <w:r w:rsidRPr="0027597B">
        <w:separator/>
      </w:r>
    </w:p>
  </w:endnote>
  <w:endnote w:type="continuationSeparator" w:id="0">
    <w:p w14:paraId="0AE49999" w14:textId="77777777" w:rsidR="00F85769" w:rsidRPr="0027597B" w:rsidRDefault="00F85769">
      <w:r w:rsidRPr="00275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A2A36" w14:textId="77777777" w:rsidR="00064002" w:rsidRPr="0027597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23518" w14:textId="77777777" w:rsidR="00064002" w:rsidRPr="0027597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70478" w14:textId="77777777" w:rsidR="00064002" w:rsidRPr="0027597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14F7C" w14:textId="77777777" w:rsidR="00F85769" w:rsidRPr="0027597B" w:rsidRDefault="00F85769">
      <w:r w:rsidRPr="0027597B">
        <w:separator/>
      </w:r>
    </w:p>
  </w:footnote>
  <w:footnote w:type="continuationSeparator" w:id="0">
    <w:p w14:paraId="2659125D" w14:textId="77777777" w:rsidR="00F85769" w:rsidRPr="0027597B" w:rsidRDefault="00F85769">
      <w:r w:rsidRPr="00275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50F91" w14:textId="77777777" w:rsidR="00064002" w:rsidRPr="0027597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2331C" w14:textId="77777777" w:rsidR="00064002" w:rsidRPr="0027597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265A9" w14:textId="77777777" w:rsidR="00064002" w:rsidRPr="0027597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8/2023"/>
    <w:docVar w:name="dvlangue" w:val="EN"/>
    <w:docVar w:name="dvnumam" w:val="20"/>
    <w:docVar w:name="dvpe" w:val="700.426"/>
    <w:docVar w:name="dvrapporteur" w:val="Rapporteur: "/>
    <w:docVar w:name="dvstar" w:val="***I"/>
    <w:docVar w:name="dvtitre" w:val="European Parliament legislative resolution of xx Xxxx 2024 on the proposal for a regulation of the European Parliament and of the Council amending Regulation (EU) 2019/816 establishing a centralised system for the identification of Member States holding conviction information on third-country nationals and stateless persons (ECRIS-TCN) to supplement the European Criminal Records Information System and Regulation (EU) 2019/818 on establishing a framework for interoperability between EU information systems in the field of police and judicial cooperation, asylum and migration and amending Regulations (EU) 2018/1726, (EU) 2018/1862 and (EU) 2019/816 for the purpose of introducing a screening of third country nationals at the external borders(COM(2021)0096 – C9-0088/2021 – 2021/0046(COD))"/>
  </w:docVars>
  <w:rsids>
    <w:rsidRoot w:val="00F85769"/>
    <w:rsid w:val="00002272"/>
    <w:rsid w:val="00064002"/>
    <w:rsid w:val="000677B9"/>
    <w:rsid w:val="000831BA"/>
    <w:rsid w:val="000A42CC"/>
    <w:rsid w:val="000D7F9F"/>
    <w:rsid w:val="000E7DD9"/>
    <w:rsid w:val="0010095E"/>
    <w:rsid w:val="00125B37"/>
    <w:rsid w:val="00187494"/>
    <w:rsid w:val="001F32AE"/>
    <w:rsid w:val="0027597B"/>
    <w:rsid w:val="002767FF"/>
    <w:rsid w:val="002923F8"/>
    <w:rsid w:val="002B18FE"/>
    <w:rsid w:val="002B5493"/>
    <w:rsid w:val="002E226B"/>
    <w:rsid w:val="00343214"/>
    <w:rsid w:val="00361C00"/>
    <w:rsid w:val="00395FA1"/>
    <w:rsid w:val="003E15D4"/>
    <w:rsid w:val="003E2896"/>
    <w:rsid w:val="00400106"/>
    <w:rsid w:val="00411CCE"/>
    <w:rsid w:val="0041666E"/>
    <w:rsid w:val="00421060"/>
    <w:rsid w:val="00461186"/>
    <w:rsid w:val="00471C19"/>
    <w:rsid w:val="004867E3"/>
    <w:rsid w:val="00494A28"/>
    <w:rsid w:val="004A528A"/>
    <w:rsid w:val="004C0004"/>
    <w:rsid w:val="004C5D52"/>
    <w:rsid w:val="0050476A"/>
    <w:rsid w:val="00504FCE"/>
    <w:rsid w:val="0050519A"/>
    <w:rsid w:val="005072A1"/>
    <w:rsid w:val="00514517"/>
    <w:rsid w:val="00525228"/>
    <w:rsid w:val="00545827"/>
    <w:rsid w:val="00560270"/>
    <w:rsid w:val="005B661B"/>
    <w:rsid w:val="005C2568"/>
    <w:rsid w:val="006037C0"/>
    <w:rsid w:val="00626998"/>
    <w:rsid w:val="006631B6"/>
    <w:rsid w:val="00680577"/>
    <w:rsid w:val="006F74FA"/>
    <w:rsid w:val="00731ADD"/>
    <w:rsid w:val="00734777"/>
    <w:rsid w:val="007471E6"/>
    <w:rsid w:val="00747932"/>
    <w:rsid w:val="00751A4A"/>
    <w:rsid w:val="00756632"/>
    <w:rsid w:val="00760265"/>
    <w:rsid w:val="00762C74"/>
    <w:rsid w:val="00786EC0"/>
    <w:rsid w:val="007C3362"/>
    <w:rsid w:val="007C73A0"/>
    <w:rsid w:val="007D1690"/>
    <w:rsid w:val="007D3F67"/>
    <w:rsid w:val="007E22AD"/>
    <w:rsid w:val="00817416"/>
    <w:rsid w:val="00830093"/>
    <w:rsid w:val="00842779"/>
    <w:rsid w:val="00856AE1"/>
    <w:rsid w:val="00865F67"/>
    <w:rsid w:val="00881A7B"/>
    <w:rsid w:val="008840E5"/>
    <w:rsid w:val="00887B3E"/>
    <w:rsid w:val="008C2AC6"/>
    <w:rsid w:val="00930C23"/>
    <w:rsid w:val="0093193B"/>
    <w:rsid w:val="009509D8"/>
    <w:rsid w:val="00950B64"/>
    <w:rsid w:val="00961E28"/>
    <w:rsid w:val="0097747F"/>
    <w:rsid w:val="00981893"/>
    <w:rsid w:val="00A11A33"/>
    <w:rsid w:val="00A1687D"/>
    <w:rsid w:val="00A43E52"/>
    <w:rsid w:val="00A4678D"/>
    <w:rsid w:val="00A778C7"/>
    <w:rsid w:val="00AB441E"/>
    <w:rsid w:val="00AB6293"/>
    <w:rsid w:val="00AE0928"/>
    <w:rsid w:val="00AF3B82"/>
    <w:rsid w:val="00B12E95"/>
    <w:rsid w:val="00B22876"/>
    <w:rsid w:val="00B558F0"/>
    <w:rsid w:val="00BD4500"/>
    <w:rsid w:val="00BD48FE"/>
    <w:rsid w:val="00BD7BD8"/>
    <w:rsid w:val="00BE6ADC"/>
    <w:rsid w:val="00C05BFE"/>
    <w:rsid w:val="00C23CD4"/>
    <w:rsid w:val="00C2742B"/>
    <w:rsid w:val="00C517DF"/>
    <w:rsid w:val="00C61C0C"/>
    <w:rsid w:val="00C838A8"/>
    <w:rsid w:val="00C941CB"/>
    <w:rsid w:val="00CC2357"/>
    <w:rsid w:val="00CF071A"/>
    <w:rsid w:val="00D058B8"/>
    <w:rsid w:val="00D310DA"/>
    <w:rsid w:val="00D56C11"/>
    <w:rsid w:val="00D834A0"/>
    <w:rsid w:val="00D872DF"/>
    <w:rsid w:val="00D91E21"/>
    <w:rsid w:val="00D96570"/>
    <w:rsid w:val="00DA7FCD"/>
    <w:rsid w:val="00E365E1"/>
    <w:rsid w:val="00E820A4"/>
    <w:rsid w:val="00EB006A"/>
    <w:rsid w:val="00EB4772"/>
    <w:rsid w:val="00ED169E"/>
    <w:rsid w:val="00ED4235"/>
    <w:rsid w:val="00F04346"/>
    <w:rsid w:val="00F075DC"/>
    <w:rsid w:val="00F149E9"/>
    <w:rsid w:val="00F5134D"/>
    <w:rsid w:val="00F74202"/>
    <w:rsid w:val="00F85769"/>
    <w:rsid w:val="00F8680D"/>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FDB4B"/>
  <w15:chartTrackingRefBased/>
  <w15:docId w15:val="{7C8BDD4F-B280-420C-AF92-1361B62E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50476A"/>
    <w:rPr>
      <w:b/>
    </w:rPr>
  </w:style>
  <w:style w:type="paragraph" w:customStyle="1" w:styleId="NormalHanging12a">
    <w:name w:val="NormalHanging12a"/>
    <w:basedOn w:val="Normal"/>
    <w:rsid w:val="0050476A"/>
    <w:pPr>
      <w:spacing w:after="240"/>
      <w:ind w:left="567" w:hanging="567"/>
    </w:pPr>
  </w:style>
  <w:style w:type="paragraph" w:customStyle="1" w:styleId="AmNumberTabs">
    <w:name w:val="AmNumberTabs"/>
    <w:basedOn w:val="Normal"/>
    <w:rsid w:val="0050476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50476A"/>
    <w:pPr>
      <w:spacing w:before="480" w:after="240"/>
    </w:pPr>
  </w:style>
  <w:style w:type="paragraph" w:customStyle="1" w:styleId="Normal6">
    <w:name w:val="Normal6"/>
    <w:basedOn w:val="Normal"/>
    <w:link w:val="Normal6Char"/>
    <w:rsid w:val="0050476A"/>
    <w:pPr>
      <w:spacing w:after="120"/>
    </w:pPr>
    <w:rPr>
      <w:lang w:val="fr-FR"/>
    </w:rPr>
  </w:style>
  <w:style w:type="character" w:customStyle="1" w:styleId="NormalBoldChar">
    <w:name w:val="NormalBold Char"/>
    <w:link w:val="NormalBold"/>
    <w:rsid w:val="0050476A"/>
    <w:rPr>
      <w:b/>
      <w:sz w:val="24"/>
    </w:rPr>
  </w:style>
  <w:style w:type="character" w:customStyle="1" w:styleId="Normal6Char">
    <w:name w:val="Normal6 Char"/>
    <w:link w:val="Normal6"/>
    <w:rsid w:val="0050476A"/>
    <w:rPr>
      <w:sz w:val="24"/>
      <w:lang w:val="fr-FR"/>
    </w:rPr>
  </w:style>
  <w:style w:type="paragraph" w:customStyle="1" w:styleId="ColumnHeading">
    <w:name w:val="ColumnHeading"/>
    <w:basedOn w:val="Normal"/>
    <w:rsid w:val="0050476A"/>
    <w:pPr>
      <w:spacing w:after="240"/>
      <w:jc w:val="center"/>
    </w:pPr>
    <w:rPr>
      <w:i/>
      <w:lang w:val="fr-FR"/>
    </w:rPr>
  </w:style>
  <w:style w:type="character" w:styleId="CommentReference">
    <w:name w:val="annotation reference"/>
    <w:basedOn w:val="DefaultParagraphFont"/>
    <w:uiPriority w:val="99"/>
    <w:rsid w:val="002E226B"/>
    <w:rPr>
      <w:sz w:val="16"/>
      <w:szCs w:val="16"/>
    </w:rPr>
  </w:style>
  <w:style w:type="paragraph" w:styleId="CommentText">
    <w:name w:val="annotation text"/>
    <w:basedOn w:val="Normal"/>
    <w:link w:val="CommentTextChar"/>
    <w:uiPriority w:val="99"/>
    <w:rsid w:val="002E226B"/>
    <w:rPr>
      <w:sz w:val="20"/>
    </w:rPr>
  </w:style>
  <w:style w:type="character" w:customStyle="1" w:styleId="CommentTextChar">
    <w:name w:val="Comment Text Char"/>
    <w:basedOn w:val="DefaultParagraphFont"/>
    <w:link w:val="CommentText"/>
    <w:uiPriority w:val="99"/>
    <w:rsid w:val="002E226B"/>
  </w:style>
  <w:style w:type="paragraph" w:styleId="CommentSubject">
    <w:name w:val="annotation subject"/>
    <w:basedOn w:val="CommentText"/>
    <w:next w:val="CommentText"/>
    <w:link w:val="CommentSubjectChar"/>
    <w:rsid w:val="002E226B"/>
    <w:rPr>
      <w:b/>
      <w:bCs/>
    </w:rPr>
  </w:style>
  <w:style w:type="character" w:customStyle="1" w:styleId="CommentSubjectChar">
    <w:name w:val="Comment Subject Char"/>
    <w:basedOn w:val="CommentTextChar"/>
    <w:link w:val="CommentSubject"/>
    <w:rsid w:val="002E226B"/>
    <w:rPr>
      <w:b/>
      <w:bCs/>
    </w:rPr>
  </w:style>
  <w:style w:type="paragraph" w:styleId="BalloonText">
    <w:name w:val="Balloon Text"/>
    <w:basedOn w:val="Normal"/>
    <w:link w:val="BalloonTextChar"/>
    <w:rsid w:val="002E226B"/>
    <w:rPr>
      <w:rFonts w:ascii="Segoe UI" w:hAnsi="Segoe UI" w:cs="Segoe UI"/>
      <w:sz w:val="18"/>
      <w:szCs w:val="18"/>
    </w:rPr>
  </w:style>
  <w:style w:type="character" w:customStyle="1" w:styleId="BalloonTextChar">
    <w:name w:val="Balloon Text Char"/>
    <w:basedOn w:val="DefaultParagraphFont"/>
    <w:link w:val="BalloonText"/>
    <w:rsid w:val="002E226B"/>
    <w:rPr>
      <w:rFonts w:ascii="Segoe UI" w:hAnsi="Segoe UI" w:cs="Segoe UI"/>
      <w:sz w:val="18"/>
      <w:szCs w:val="18"/>
    </w:rPr>
  </w:style>
  <w:style w:type="character" w:styleId="Hyperlink">
    <w:name w:val="Hyperlink"/>
    <w:basedOn w:val="DefaultParagraphFont"/>
    <w:uiPriority w:val="99"/>
    <w:rsid w:val="007C73A0"/>
    <w:rPr>
      <w:color w:val="0563C1" w:themeColor="hyperlink"/>
      <w:u w:val="single"/>
    </w:rPr>
  </w:style>
  <w:style w:type="character" w:customStyle="1" w:styleId="diff-tte-added">
    <w:name w:val="diff-tte-added"/>
    <w:basedOn w:val="DefaultParagraphFont"/>
    <w:rsid w:val="00504FCE"/>
    <w:rPr>
      <w:b/>
      <w:i/>
    </w:rPr>
  </w:style>
  <w:style w:type="character" w:customStyle="1" w:styleId="diff-tte-removed">
    <w:name w:val="diff-tte-removed"/>
    <w:basedOn w:val="DefaultParagraphFont"/>
    <w:rsid w:val="00504FCE"/>
    <w:rPr>
      <w:strike/>
    </w:rPr>
  </w:style>
  <w:style w:type="character" w:styleId="FollowedHyperlink">
    <w:name w:val="FollowedHyperlink"/>
    <w:basedOn w:val="DefaultParagraphFont"/>
    <w:rsid w:val="00C274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594CE-B690-4C75-A986-1DEBE5A5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2024-07-23T08:07:00Z</dcterms:created>
  <dcterms:modified xsi:type="dcterms:W3CDTF">2024-07-23T08:07:00Z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A9-0148/2023</vt:lpwstr>
  </property>
  <property fmtid="{D5CDD505-2E9C-101B-9397-08002B2CF9AE}" pid="4" name="&lt;Type&gt;">
    <vt:lpwstr>RR</vt:lpwstr>
  </property>
</Properties>
</file>