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2CD9" w:rsidTr="0010095E">
        <w:trPr>
          <w:trHeight w:hRule="exact" w:val="1418"/>
        </w:trPr>
        <w:tc>
          <w:tcPr>
            <w:tcW w:w="6804" w:type="dxa"/>
            <w:shd w:val="clear" w:color="auto" w:fill="auto"/>
            <w:vAlign w:val="center"/>
          </w:tcPr>
          <w:p w:rsidR="00751A4A" w:rsidRPr="00882CD9" w:rsidRDefault="003079F1" w:rsidP="0010095E">
            <w:pPr>
              <w:pStyle w:val="EPName"/>
            </w:pPr>
            <w:r w:rsidRPr="00882CD9">
              <w:t>Parlement européen</w:t>
            </w:r>
          </w:p>
          <w:p w:rsidR="00751A4A" w:rsidRPr="00882CD9" w:rsidRDefault="00817416" w:rsidP="00756632">
            <w:pPr>
              <w:pStyle w:val="EPTerm"/>
              <w:rPr>
                <w:rStyle w:val="HideTWBExt"/>
                <w:noProof w:val="0"/>
                <w:vanish w:val="0"/>
                <w:color w:val="auto"/>
              </w:rPr>
            </w:pPr>
            <w:r w:rsidRPr="001F1AA0">
              <w:t>2019</w:t>
            </w:r>
            <w:r w:rsidRPr="00882CD9">
              <w:t>-</w:t>
            </w:r>
            <w:r w:rsidRPr="001F1AA0">
              <w:t>2024</w:t>
            </w:r>
          </w:p>
        </w:tc>
        <w:tc>
          <w:tcPr>
            <w:tcW w:w="2268" w:type="dxa"/>
            <w:shd w:val="clear" w:color="auto" w:fill="auto"/>
          </w:tcPr>
          <w:p w:rsidR="00751A4A" w:rsidRPr="00882CD9" w:rsidRDefault="00187494" w:rsidP="0010095E">
            <w:pPr>
              <w:pStyle w:val="EPLogo"/>
            </w:pPr>
            <w:r w:rsidRPr="00882C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2CD9" w:rsidRDefault="00D058B8" w:rsidP="004C5D52">
      <w:pPr>
        <w:pStyle w:val="LineTop"/>
      </w:pPr>
    </w:p>
    <w:p w:rsidR="00680577" w:rsidRPr="00882CD9" w:rsidRDefault="003079F1" w:rsidP="00680577">
      <w:pPr>
        <w:pStyle w:val="EPBodyTA1"/>
      </w:pPr>
      <w:r w:rsidRPr="00882CD9">
        <w:t>TEXTES ADOPTÉS</w:t>
      </w:r>
    </w:p>
    <w:p w:rsidR="00D058B8" w:rsidRPr="00882CD9" w:rsidRDefault="00D058B8" w:rsidP="00D058B8">
      <w:pPr>
        <w:pStyle w:val="LineBottom"/>
      </w:pPr>
    </w:p>
    <w:p w:rsidR="003079F1" w:rsidRPr="00882CD9" w:rsidRDefault="003079F1" w:rsidP="003079F1">
      <w:pPr>
        <w:pStyle w:val="ATHeading1"/>
      </w:pPr>
      <w:bookmarkStart w:id="0" w:name="TANumber"/>
      <w:r w:rsidRPr="00882CD9">
        <w:t>P</w:t>
      </w:r>
      <w:r w:rsidRPr="001F1AA0">
        <w:t>9</w:t>
      </w:r>
      <w:r w:rsidRPr="00882CD9">
        <w:t>_TA(</w:t>
      </w:r>
      <w:r w:rsidRPr="001F1AA0">
        <w:t>2024</w:t>
      </w:r>
      <w:r w:rsidRPr="00882CD9">
        <w:t>)</w:t>
      </w:r>
      <w:r w:rsidRPr="001F1AA0">
        <w:t>0</w:t>
      </w:r>
      <w:r w:rsidR="00E449EF" w:rsidRPr="001F1AA0">
        <w:t>182</w:t>
      </w:r>
      <w:bookmarkEnd w:id="0"/>
    </w:p>
    <w:p w:rsidR="003079F1" w:rsidRPr="007A635D" w:rsidRDefault="007A635D" w:rsidP="003079F1">
      <w:pPr>
        <w:pStyle w:val="ATHeading2"/>
      </w:pPr>
      <w:r w:rsidRPr="007A635D">
        <w:t>Système européen d’information sur les casiers judiciaires - ressortissants de pays tiers</w:t>
      </w:r>
    </w:p>
    <w:p w:rsidR="003079F1" w:rsidRPr="00882CD9" w:rsidRDefault="003079F1" w:rsidP="003079F1">
      <w:pPr>
        <w:rPr>
          <w:i/>
          <w:vanish/>
        </w:rPr>
      </w:pPr>
      <w:r w:rsidRPr="00882CD9">
        <w:rPr>
          <w:i/>
        </w:rPr>
        <w:fldChar w:fldCharType="begin"/>
      </w:r>
      <w:r w:rsidRPr="00882CD9">
        <w:rPr>
          <w:i/>
        </w:rPr>
        <w:instrText xml:space="preserve"> TC"(</w:instrText>
      </w:r>
      <w:bookmarkStart w:id="1" w:name="DocNumber"/>
      <w:r w:rsidRPr="00882CD9">
        <w:rPr>
          <w:i/>
        </w:rPr>
        <w:instrText>A</w:instrText>
      </w:r>
      <w:r w:rsidRPr="001F1AA0">
        <w:rPr>
          <w:i/>
        </w:rPr>
        <w:instrText>9</w:instrText>
      </w:r>
      <w:r w:rsidRPr="00882CD9">
        <w:rPr>
          <w:i/>
        </w:rPr>
        <w:instrText>-</w:instrText>
      </w:r>
      <w:r w:rsidRPr="001F1AA0">
        <w:rPr>
          <w:i/>
        </w:rPr>
        <w:instrText>0148</w:instrText>
      </w:r>
      <w:r w:rsidRPr="00882CD9">
        <w:rPr>
          <w:i/>
        </w:rPr>
        <w:instrText>/</w:instrText>
      </w:r>
      <w:r w:rsidRPr="001F1AA0">
        <w:rPr>
          <w:i/>
        </w:rPr>
        <w:instrText>2023</w:instrText>
      </w:r>
      <w:bookmarkEnd w:id="1"/>
      <w:r w:rsidRPr="00882CD9">
        <w:rPr>
          <w:i/>
        </w:rPr>
        <w:instrText xml:space="preserve"> - Rapporteure: Birgit Sippel)"\l</w:instrText>
      </w:r>
      <w:r w:rsidRPr="001F1AA0">
        <w:rPr>
          <w:i/>
        </w:rPr>
        <w:instrText>3</w:instrText>
      </w:r>
      <w:r w:rsidRPr="00882CD9">
        <w:rPr>
          <w:i/>
        </w:rPr>
        <w:instrText xml:space="preserve"> \n&gt; \* MERGEFORMAT </w:instrText>
      </w:r>
      <w:r w:rsidRPr="00882CD9">
        <w:rPr>
          <w:i/>
        </w:rPr>
        <w:fldChar w:fldCharType="end"/>
      </w:r>
    </w:p>
    <w:p w:rsidR="003079F1" w:rsidRPr="00882CD9" w:rsidRDefault="003079F1" w:rsidP="003079F1">
      <w:pPr>
        <w:rPr>
          <w:vanish/>
        </w:rPr>
      </w:pPr>
      <w:bookmarkStart w:id="2" w:name="Commission"/>
      <w:r w:rsidRPr="00882CD9">
        <w:rPr>
          <w:vanish/>
        </w:rPr>
        <w:t>Commission des libertés civiles, de la justice et des affaires intérieures</w:t>
      </w:r>
      <w:bookmarkEnd w:id="2"/>
    </w:p>
    <w:p w:rsidR="003079F1" w:rsidRPr="00882CD9" w:rsidRDefault="003079F1" w:rsidP="003079F1">
      <w:pPr>
        <w:rPr>
          <w:vanish/>
        </w:rPr>
      </w:pPr>
      <w:bookmarkStart w:id="3" w:name="PE"/>
      <w:r w:rsidRPr="00882CD9">
        <w:rPr>
          <w:vanish/>
        </w:rPr>
        <w:t>PE</w:t>
      </w:r>
      <w:r w:rsidRPr="001F1AA0">
        <w:rPr>
          <w:vanish/>
        </w:rPr>
        <w:t>700</w:t>
      </w:r>
      <w:r w:rsidRPr="00882CD9">
        <w:rPr>
          <w:vanish/>
        </w:rPr>
        <w:t>.</w:t>
      </w:r>
      <w:r w:rsidRPr="001F1AA0">
        <w:rPr>
          <w:vanish/>
        </w:rPr>
        <w:t>426</w:t>
      </w:r>
      <w:bookmarkEnd w:id="3"/>
    </w:p>
    <w:p w:rsidR="003079F1" w:rsidRPr="00882CD9" w:rsidRDefault="003079F1" w:rsidP="003079F1">
      <w:pPr>
        <w:pStyle w:val="ATHeading3"/>
      </w:pPr>
      <w:bookmarkStart w:id="4" w:name="Sujet"/>
      <w:r w:rsidRPr="00882CD9">
        <w:t xml:space="preserve">Résolution législative du Parlement européen du </w:t>
      </w:r>
      <w:r w:rsidR="006565AB" w:rsidRPr="001F1AA0">
        <w:t>10</w:t>
      </w:r>
      <w:r w:rsidR="006565AB">
        <w:t xml:space="preserve"> avril</w:t>
      </w:r>
      <w:r w:rsidRPr="00882CD9">
        <w:t xml:space="preserve"> </w:t>
      </w:r>
      <w:r w:rsidRPr="001F1AA0">
        <w:t>2024</w:t>
      </w:r>
      <w:r w:rsidRPr="00882CD9">
        <w:t xml:space="preserve"> sur la proposition de règlement du Parlement européen et du Conseil modifiant le règlement (UE) </w:t>
      </w:r>
      <w:r w:rsidRPr="001F1AA0">
        <w:t>2019</w:t>
      </w:r>
      <w:r w:rsidRPr="00882CD9">
        <w:t>/</w:t>
      </w:r>
      <w:r w:rsidRPr="001F1AA0">
        <w:t>816</w:t>
      </w:r>
      <w:r w:rsidRPr="00882CD9">
        <w:t xml:space="preserve"> portant création d’un système centralisé permettant d’identifier les États membres détenant des informations relatives aux condamnations concernant des ressortissants de pays tiers et des apatrides (ECRIS-TCN), qui vise à compléter le système européen d’information sur les casiers judiciaires et le règlement (UE) </w:t>
      </w:r>
      <w:r w:rsidRPr="001F1AA0">
        <w:t>2019</w:t>
      </w:r>
      <w:r w:rsidRPr="00882CD9">
        <w:t>/</w:t>
      </w:r>
      <w:r w:rsidRPr="001F1AA0">
        <w:t>818</w:t>
      </w:r>
      <w:r w:rsidRPr="00882CD9">
        <w:t xml:space="preserve"> portant établissement d’un cadre pour l’interopérabilité des systèmes d’information de l’UE dans le domaine de la coopération policière et judiciaire, de l’asile et de l’immigration, et modifiant les règlements (UE) </w:t>
      </w:r>
      <w:r w:rsidRPr="001F1AA0">
        <w:t>2018</w:t>
      </w:r>
      <w:r w:rsidRPr="00882CD9">
        <w:t>/</w:t>
      </w:r>
      <w:r w:rsidRPr="001F1AA0">
        <w:t>1726</w:t>
      </w:r>
      <w:r w:rsidRPr="00882CD9">
        <w:t xml:space="preserve">, (UE) </w:t>
      </w:r>
      <w:r w:rsidRPr="001F1AA0">
        <w:t>2018</w:t>
      </w:r>
      <w:r w:rsidRPr="00882CD9">
        <w:t>/</w:t>
      </w:r>
      <w:r w:rsidRPr="001F1AA0">
        <w:t>1862</w:t>
      </w:r>
      <w:r w:rsidRPr="00882CD9">
        <w:t xml:space="preserve"> et (UE) </w:t>
      </w:r>
      <w:r w:rsidRPr="001F1AA0">
        <w:t>2019</w:t>
      </w:r>
      <w:r w:rsidRPr="00882CD9">
        <w:t>/</w:t>
      </w:r>
      <w:r w:rsidRPr="001F1AA0">
        <w:t>816</w:t>
      </w:r>
      <w:r w:rsidRPr="00882CD9">
        <w:t>, aux fins de l’introduction d’un filtrage des ressortissants de pays tiers aux frontières extérieures</w:t>
      </w:r>
      <w:bookmarkEnd w:id="4"/>
      <w:r w:rsidRPr="00882CD9">
        <w:t xml:space="preserve"> </w:t>
      </w:r>
      <w:bookmarkStart w:id="5" w:name="References"/>
      <w:r w:rsidRPr="00882CD9">
        <w:t>(COM(</w:t>
      </w:r>
      <w:r w:rsidRPr="001F1AA0">
        <w:t>2021</w:t>
      </w:r>
      <w:r w:rsidRPr="00882CD9">
        <w:t>)</w:t>
      </w:r>
      <w:r w:rsidRPr="001F1AA0">
        <w:t>0096</w:t>
      </w:r>
      <w:r w:rsidRPr="00882CD9">
        <w:t xml:space="preserve"> – C</w:t>
      </w:r>
      <w:r w:rsidRPr="001F1AA0">
        <w:t>9</w:t>
      </w:r>
      <w:r w:rsidRPr="00882CD9">
        <w:t>-</w:t>
      </w:r>
      <w:r w:rsidRPr="001F1AA0">
        <w:t>0088</w:t>
      </w:r>
      <w:r w:rsidRPr="00882CD9">
        <w:t>/</w:t>
      </w:r>
      <w:r w:rsidRPr="001F1AA0">
        <w:t>2021</w:t>
      </w:r>
      <w:r w:rsidRPr="00882CD9">
        <w:t xml:space="preserve"> – </w:t>
      </w:r>
      <w:r w:rsidRPr="001F1AA0">
        <w:t>2021</w:t>
      </w:r>
      <w:r w:rsidRPr="00882CD9">
        <w:t>/</w:t>
      </w:r>
      <w:r w:rsidRPr="001F1AA0">
        <w:t>0046</w:t>
      </w:r>
      <w:r w:rsidRPr="00882CD9">
        <w:t>(COD))</w:t>
      </w:r>
      <w:bookmarkEnd w:id="5"/>
    </w:p>
    <w:p w:rsidR="003079F1" w:rsidRPr="00882CD9" w:rsidRDefault="003079F1" w:rsidP="003079F1"/>
    <w:p w:rsidR="00EF5F1B" w:rsidRPr="00882CD9" w:rsidRDefault="00EF5F1B" w:rsidP="00EF5F1B">
      <w:pPr>
        <w:pStyle w:val="NormalBold"/>
      </w:pPr>
      <w:bookmarkStart w:id="6" w:name="TextBodyBegin"/>
      <w:bookmarkEnd w:id="6"/>
      <w:r w:rsidRPr="00882CD9">
        <w:t>(Procédure législative ordinaire: première lecture)</w:t>
      </w:r>
    </w:p>
    <w:p w:rsidR="00EF5F1B" w:rsidRPr="00882CD9" w:rsidRDefault="00EF5F1B" w:rsidP="00EF5F1B">
      <w:pPr>
        <w:pStyle w:val="EPComma"/>
      </w:pPr>
      <w:r w:rsidRPr="00882CD9">
        <w:rPr>
          <w:i/>
        </w:rPr>
        <w:t>Le Parlement européen</w:t>
      </w:r>
      <w:r w:rsidRPr="00882CD9">
        <w:t>,</w:t>
      </w:r>
    </w:p>
    <w:p w:rsidR="00EF5F1B" w:rsidRPr="00882CD9" w:rsidRDefault="00EF5F1B" w:rsidP="00EF5F1B">
      <w:pPr>
        <w:pStyle w:val="NormalHanging12a"/>
      </w:pPr>
      <w:r w:rsidRPr="00882CD9">
        <w:t>–</w:t>
      </w:r>
      <w:r w:rsidRPr="00882CD9">
        <w:tab/>
        <w:t>vu la proposition de la Commission au Parlement européen et au Conseil (COM(</w:t>
      </w:r>
      <w:r w:rsidRPr="001F1AA0">
        <w:t>2021</w:t>
      </w:r>
      <w:r w:rsidRPr="00882CD9">
        <w:t>)</w:t>
      </w:r>
      <w:r w:rsidRPr="001F1AA0">
        <w:t>0096</w:t>
      </w:r>
      <w:r w:rsidRPr="00882CD9">
        <w:t>),</w:t>
      </w:r>
    </w:p>
    <w:p w:rsidR="00EF5F1B" w:rsidRDefault="00EF5F1B" w:rsidP="00EF5F1B">
      <w:pPr>
        <w:pStyle w:val="NormalHanging12a"/>
      </w:pPr>
      <w:r w:rsidRPr="00882CD9">
        <w:t>–</w:t>
      </w:r>
      <w:r w:rsidRPr="00882CD9">
        <w:tab/>
        <w:t xml:space="preserve">vu l’article </w:t>
      </w:r>
      <w:r w:rsidRPr="001F1AA0">
        <w:t>294</w:t>
      </w:r>
      <w:r w:rsidRPr="00882CD9">
        <w:t xml:space="preserve">, paragraphe </w:t>
      </w:r>
      <w:r w:rsidRPr="001F1AA0">
        <w:t>2</w:t>
      </w:r>
      <w:r w:rsidRPr="00882CD9">
        <w:t>, l’article </w:t>
      </w:r>
      <w:r w:rsidRPr="001F1AA0">
        <w:t>16</w:t>
      </w:r>
      <w:r w:rsidRPr="00882CD9">
        <w:t>, paragraphe </w:t>
      </w:r>
      <w:r w:rsidRPr="001F1AA0">
        <w:t>2</w:t>
      </w:r>
      <w:r w:rsidRPr="00882CD9">
        <w:t>, l’article </w:t>
      </w:r>
      <w:r w:rsidRPr="001F1AA0">
        <w:t>74</w:t>
      </w:r>
      <w:r w:rsidRPr="00882CD9">
        <w:t>, l’article </w:t>
      </w:r>
      <w:r w:rsidRPr="001F1AA0">
        <w:t>78</w:t>
      </w:r>
      <w:r w:rsidRPr="00882CD9">
        <w:t>, paragraphe </w:t>
      </w:r>
      <w:r w:rsidRPr="001F1AA0">
        <w:t>2</w:t>
      </w:r>
      <w:r w:rsidRPr="00882CD9">
        <w:t>, point e), l’article </w:t>
      </w:r>
      <w:r w:rsidRPr="001F1AA0">
        <w:t>79</w:t>
      </w:r>
      <w:r w:rsidRPr="00882CD9">
        <w:t>, paragraphe </w:t>
      </w:r>
      <w:r w:rsidRPr="001F1AA0">
        <w:t>2</w:t>
      </w:r>
      <w:r w:rsidRPr="00882CD9">
        <w:t>, point c), l’article </w:t>
      </w:r>
      <w:r w:rsidRPr="001F1AA0">
        <w:t>82</w:t>
      </w:r>
      <w:r w:rsidRPr="00882CD9">
        <w:t>, paragraphe </w:t>
      </w:r>
      <w:r w:rsidRPr="001F1AA0">
        <w:t>1</w:t>
      </w:r>
      <w:r w:rsidRPr="00882CD9">
        <w:t>, deuxième alinéa, point d), l’article </w:t>
      </w:r>
      <w:r w:rsidRPr="001F1AA0">
        <w:t>85</w:t>
      </w:r>
      <w:r w:rsidRPr="00882CD9">
        <w:t>, paragraphe </w:t>
      </w:r>
      <w:r w:rsidRPr="001F1AA0">
        <w:t>1</w:t>
      </w:r>
      <w:r w:rsidRPr="00882CD9">
        <w:t xml:space="preserve">, l’article </w:t>
      </w:r>
      <w:r w:rsidRPr="001F1AA0">
        <w:t>87</w:t>
      </w:r>
      <w:r w:rsidRPr="00882CD9">
        <w:t xml:space="preserve">, paragraphe </w:t>
      </w:r>
      <w:r w:rsidRPr="001F1AA0">
        <w:t>2</w:t>
      </w:r>
      <w:r w:rsidRPr="00882CD9">
        <w:t xml:space="preserve">, point a), et l’article </w:t>
      </w:r>
      <w:r w:rsidRPr="001F1AA0">
        <w:t>88</w:t>
      </w:r>
      <w:r w:rsidRPr="00882CD9">
        <w:t>, paragraphe </w:t>
      </w:r>
      <w:r w:rsidRPr="001F1AA0">
        <w:t>2</w:t>
      </w:r>
      <w:r w:rsidRPr="00882CD9">
        <w:t>, du traité sur le fonctionnement de l’Union européenne, conformément auxquels la proposition lui a été présentée par la Commission (C</w:t>
      </w:r>
      <w:r w:rsidRPr="001F1AA0">
        <w:t>9</w:t>
      </w:r>
      <w:r w:rsidRPr="00882CD9">
        <w:noBreakHyphen/>
      </w:r>
      <w:r w:rsidRPr="001F1AA0">
        <w:t>0088</w:t>
      </w:r>
      <w:r w:rsidRPr="00882CD9">
        <w:t>/</w:t>
      </w:r>
      <w:r w:rsidRPr="001F1AA0">
        <w:t>2021</w:t>
      </w:r>
      <w:r w:rsidRPr="00882CD9">
        <w:t>),</w:t>
      </w:r>
    </w:p>
    <w:p w:rsidR="0008175A" w:rsidRDefault="0008175A" w:rsidP="00EF5F1B">
      <w:pPr>
        <w:pStyle w:val="NormalHanging12a"/>
      </w:pPr>
      <w:r w:rsidRPr="00882CD9">
        <w:t>–</w:t>
      </w:r>
      <w:r w:rsidRPr="00882CD9">
        <w:tab/>
        <w:t xml:space="preserve">vu </w:t>
      </w:r>
      <w:r w:rsidRPr="0008175A">
        <w:t xml:space="preserve">l'avis de la commission des affaires juridiques sur la base juridique proposée </w:t>
      </w:r>
    </w:p>
    <w:p w:rsidR="00EF5F1B" w:rsidRDefault="00EF5F1B" w:rsidP="00EF5F1B">
      <w:pPr>
        <w:pStyle w:val="NormalHanging12a"/>
      </w:pPr>
      <w:r w:rsidRPr="00882CD9">
        <w:t>–</w:t>
      </w:r>
      <w:r w:rsidRPr="00882CD9">
        <w:tab/>
        <w:t>vu l’article </w:t>
      </w:r>
      <w:r w:rsidRPr="001F1AA0">
        <w:t>294</w:t>
      </w:r>
      <w:r w:rsidRPr="00882CD9">
        <w:t>, paragraphe </w:t>
      </w:r>
      <w:r w:rsidRPr="001F1AA0">
        <w:t>3</w:t>
      </w:r>
      <w:r w:rsidRPr="00882CD9">
        <w:t xml:space="preserve">, </w:t>
      </w:r>
      <w:r w:rsidR="0008175A" w:rsidRPr="0008175A">
        <w:t xml:space="preserve">l’article </w:t>
      </w:r>
      <w:r w:rsidR="0008175A" w:rsidRPr="001F1AA0">
        <w:t>78</w:t>
      </w:r>
      <w:r w:rsidR="0008175A" w:rsidRPr="0008175A">
        <w:t xml:space="preserve"> paragraphe </w:t>
      </w:r>
      <w:r w:rsidR="0008175A" w:rsidRPr="001F1AA0">
        <w:t>2</w:t>
      </w:r>
      <w:r w:rsidR="0008175A" w:rsidRPr="0008175A">
        <w:t xml:space="preserve">, point e), l’article </w:t>
      </w:r>
      <w:r w:rsidR="0008175A" w:rsidRPr="001F1AA0">
        <w:t>79</w:t>
      </w:r>
      <w:r w:rsidR="0008175A" w:rsidRPr="0008175A">
        <w:t xml:space="preserve">, paragraphe </w:t>
      </w:r>
      <w:r w:rsidR="0008175A" w:rsidRPr="001F1AA0">
        <w:t>2</w:t>
      </w:r>
      <w:r w:rsidR="0008175A" w:rsidRPr="0008175A">
        <w:t xml:space="preserve">, point c), l’article </w:t>
      </w:r>
      <w:r w:rsidR="0008175A" w:rsidRPr="001F1AA0">
        <w:t>82</w:t>
      </w:r>
      <w:r w:rsidR="0008175A" w:rsidRPr="0008175A">
        <w:t xml:space="preserve">, paragraphe </w:t>
      </w:r>
      <w:r w:rsidR="0008175A" w:rsidRPr="001F1AA0">
        <w:t>1</w:t>
      </w:r>
      <w:r w:rsidR="0008175A" w:rsidRPr="0008175A">
        <w:t xml:space="preserve">, deuxième alinéa, point d), et l’article </w:t>
      </w:r>
      <w:r w:rsidR="0008175A" w:rsidRPr="001F1AA0">
        <w:t>87</w:t>
      </w:r>
      <w:r w:rsidR="0008175A" w:rsidRPr="0008175A">
        <w:t xml:space="preserve">, paragraphe </w:t>
      </w:r>
      <w:r w:rsidR="0008175A" w:rsidRPr="001F1AA0">
        <w:t>2</w:t>
      </w:r>
      <w:r w:rsidR="0008175A" w:rsidRPr="0008175A">
        <w:t>, point a)</w:t>
      </w:r>
      <w:r w:rsidR="00A907B8">
        <w:t>,</w:t>
      </w:r>
      <w:r w:rsidR="0008175A" w:rsidRPr="0008175A">
        <w:t xml:space="preserve"> </w:t>
      </w:r>
      <w:r w:rsidRPr="00882CD9">
        <w:t>du traité sur le fonctionnement de l’Union européenne,</w:t>
      </w:r>
    </w:p>
    <w:p w:rsidR="00D35EA0" w:rsidRPr="00882CD9" w:rsidRDefault="006667BC" w:rsidP="00D35EA0">
      <w:pPr>
        <w:pStyle w:val="NormalHanging12a"/>
      </w:pPr>
      <w:r w:rsidRPr="00D35EA0">
        <w:t>–</w:t>
      </w:r>
      <w:r w:rsidRPr="00D35EA0">
        <w:tab/>
        <w:t xml:space="preserve">vu l’accord provisoire approuvé en vertu de l’article </w:t>
      </w:r>
      <w:r w:rsidRPr="001F1AA0">
        <w:t>74</w:t>
      </w:r>
      <w:r w:rsidRPr="00D35EA0">
        <w:t xml:space="preserve">, paragraphe </w:t>
      </w:r>
      <w:r w:rsidRPr="001F1AA0">
        <w:t>4</w:t>
      </w:r>
      <w:r w:rsidRPr="00D35EA0">
        <w:t>, de son règlement intérieur par la</w:t>
      </w:r>
      <w:r>
        <w:t xml:space="preserve"> </w:t>
      </w:r>
      <w:r w:rsidRPr="00D35EA0">
        <w:t xml:space="preserve">commission compétente et l’engagement pris par le représentant du Conseil, par lettre du </w:t>
      </w:r>
      <w:r w:rsidRPr="001F1AA0">
        <w:t>8</w:t>
      </w:r>
      <w:r>
        <w:t xml:space="preserve"> février </w:t>
      </w:r>
      <w:r w:rsidRPr="001F1AA0">
        <w:t>2024</w:t>
      </w:r>
      <w:r w:rsidRPr="00D35EA0">
        <w:t xml:space="preserve">, d’approuver la position du Parlement européen, conformément à l’article </w:t>
      </w:r>
      <w:r w:rsidRPr="001F1AA0">
        <w:t>294</w:t>
      </w:r>
      <w:r w:rsidRPr="00D35EA0">
        <w:t xml:space="preserve">, paragraphe </w:t>
      </w:r>
      <w:r w:rsidRPr="001F1AA0">
        <w:t>4</w:t>
      </w:r>
      <w:r w:rsidRPr="00D35EA0">
        <w:t xml:space="preserve">, du traité sur le fonctionnement de l’Union </w:t>
      </w:r>
      <w:r w:rsidRPr="00D35EA0">
        <w:lastRenderedPageBreak/>
        <w:t>européenne,</w:t>
      </w:r>
    </w:p>
    <w:p w:rsidR="00EF5F1B" w:rsidRPr="00882CD9" w:rsidRDefault="00EF5F1B" w:rsidP="00EF5F1B">
      <w:pPr>
        <w:pStyle w:val="NormalHanging12a"/>
      </w:pPr>
      <w:r w:rsidRPr="00882CD9">
        <w:t>–</w:t>
      </w:r>
      <w:r w:rsidRPr="00882CD9">
        <w:tab/>
        <w:t>vu l</w:t>
      </w:r>
      <w:r w:rsidR="00D35EA0">
        <w:t xml:space="preserve">es </w:t>
      </w:r>
      <w:r w:rsidRPr="00882CD9">
        <w:t>article</w:t>
      </w:r>
      <w:r w:rsidR="00D35EA0">
        <w:t>s</w:t>
      </w:r>
      <w:r w:rsidRPr="00882CD9">
        <w:t> </w:t>
      </w:r>
      <w:r w:rsidRPr="001F1AA0">
        <w:t>59</w:t>
      </w:r>
      <w:r w:rsidR="00D35EA0">
        <w:t xml:space="preserve"> </w:t>
      </w:r>
      <w:r w:rsidR="006667BC">
        <w:t xml:space="preserve">et </w:t>
      </w:r>
      <w:r w:rsidR="006667BC" w:rsidRPr="001F1AA0">
        <w:t>40</w:t>
      </w:r>
      <w:r w:rsidR="006667BC" w:rsidRPr="00882CD9">
        <w:t xml:space="preserve"> </w:t>
      </w:r>
      <w:r w:rsidRPr="00882CD9">
        <w:t>de son règlement intérieur,</w:t>
      </w:r>
    </w:p>
    <w:p w:rsidR="00EF5F1B" w:rsidRPr="00882CD9" w:rsidRDefault="00EF5F1B" w:rsidP="00EF5F1B">
      <w:pPr>
        <w:pStyle w:val="NormalHanging12a"/>
      </w:pPr>
      <w:r w:rsidRPr="00882CD9">
        <w:t>–</w:t>
      </w:r>
      <w:r w:rsidRPr="00882CD9">
        <w:tab/>
        <w:t>vu le rapport de la commission des libertés civiles, de la justice et des affaires intérieures (A</w:t>
      </w:r>
      <w:r w:rsidRPr="001F1AA0">
        <w:t>9</w:t>
      </w:r>
      <w:r w:rsidRPr="00882CD9">
        <w:t>-</w:t>
      </w:r>
      <w:r w:rsidRPr="001F1AA0">
        <w:t>0148</w:t>
      </w:r>
      <w:r w:rsidRPr="00882CD9">
        <w:t>/</w:t>
      </w:r>
      <w:r w:rsidRPr="001F1AA0">
        <w:t>2023</w:t>
      </w:r>
      <w:r w:rsidRPr="00882CD9">
        <w:t>),</w:t>
      </w:r>
    </w:p>
    <w:p w:rsidR="00EF5F1B" w:rsidRPr="00882CD9" w:rsidRDefault="00EF5F1B" w:rsidP="00EF5F1B">
      <w:pPr>
        <w:pStyle w:val="NormalHanging12a"/>
      </w:pPr>
      <w:r w:rsidRPr="001F1AA0">
        <w:t>1</w:t>
      </w:r>
      <w:r w:rsidRPr="00882CD9">
        <w:t>.</w:t>
      </w:r>
      <w:r w:rsidRPr="00882CD9">
        <w:tab/>
        <w:t>arrête la position en première lecture figurant ci-après;</w:t>
      </w:r>
    </w:p>
    <w:p w:rsidR="00EF5F1B" w:rsidRPr="00882CD9" w:rsidRDefault="00EF5F1B" w:rsidP="00EF5F1B">
      <w:pPr>
        <w:pStyle w:val="NormalHanging12a"/>
      </w:pPr>
      <w:r w:rsidRPr="001F1AA0">
        <w:t>2</w:t>
      </w:r>
      <w:r w:rsidRPr="00882CD9">
        <w:t>.</w:t>
      </w:r>
      <w:r w:rsidRPr="00882CD9">
        <w:tab/>
        <w:t>demande à la Commission de le saisir à nouveau, si elle remplace, modifie de manière substantielle ou entend modifier de manière substantielle sa proposition;</w:t>
      </w:r>
    </w:p>
    <w:p w:rsidR="00D35EA0" w:rsidRDefault="00EF5F1B" w:rsidP="00EF5F1B">
      <w:pPr>
        <w:pStyle w:val="NormalHanging12a"/>
        <w:sectPr w:rsidR="00D35EA0" w:rsidSect="00882C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1F1AA0">
        <w:t>3</w:t>
      </w:r>
      <w:r w:rsidRPr="00882CD9">
        <w:t>.</w:t>
      </w:r>
      <w:r w:rsidRPr="00882CD9">
        <w:tab/>
        <w:t>charge sa Présidente de transmettre la position du Parlement au Conseil et à la Commission ainsi qu’aux parlements nationaux.</w:t>
      </w:r>
    </w:p>
    <w:p w:rsidR="0008175A" w:rsidRPr="0008175A" w:rsidRDefault="0008175A" w:rsidP="0008175A">
      <w:pPr>
        <w:widowControl/>
        <w:spacing w:after="240"/>
        <w:jc w:val="both"/>
        <w:rPr>
          <w:b/>
          <w:szCs w:val="24"/>
        </w:rPr>
      </w:pPr>
      <w:r w:rsidRPr="0008175A">
        <w:rPr>
          <w:b/>
          <w:szCs w:val="24"/>
        </w:rPr>
        <w:lastRenderedPageBreak/>
        <w:t>P</w:t>
      </w:r>
      <w:r w:rsidRPr="001F1AA0">
        <w:rPr>
          <w:b/>
          <w:szCs w:val="24"/>
        </w:rPr>
        <w:t>9</w:t>
      </w:r>
      <w:r w:rsidRPr="0008175A">
        <w:rPr>
          <w:b/>
          <w:szCs w:val="24"/>
        </w:rPr>
        <w:t>_TC</w:t>
      </w:r>
      <w:r w:rsidRPr="001F1AA0">
        <w:rPr>
          <w:b/>
          <w:szCs w:val="24"/>
        </w:rPr>
        <w:t>1</w:t>
      </w:r>
      <w:r w:rsidRPr="0008175A">
        <w:rPr>
          <w:b/>
          <w:szCs w:val="24"/>
        </w:rPr>
        <w:t>-COD(</w:t>
      </w:r>
      <w:r w:rsidRPr="001F1AA0">
        <w:rPr>
          <w:b/>
          <w:szCs w:val="24"/>
        </w:rPr>
        <w:t>2021</w:t>
      </w:r>
      <w:r w:rsidRPr="0008175A">
        <w:rPr>
          <w:b/>
          <w:szCs w:val="24"/>
        </w:rPr>
        <w:t>)</w:t>
      </w:r>
      <w:r w:rsidRPr="001F1AA0">
        <w:rPr>
          <w:b/>
          <w:szCs w:val="24"/>
        </w:rPr>
        <w:t>0046</w:t>
      </w:r>
    </w:p>
    <w:p w:rsidR="0008175A" w:rsidRDefault="0008175A" w:rsidP="00E449EF">
      <w:pPr>
        <w:widowControl/>
        <w:autoSpaceDE w:val="0"/>
        <w:autoSpaceDN w:val="0"/>
        <w:adjustRightInd w:val="0"/>
        <w:spacing w:before="120" w:after="120"/>
        <w:rPr>
          <w:rFonts w:eastAsia="Calibri"/>
          <w:b/>
          <w:bCs/>
          <w:szCs w:val="24"/>
        </w:rPr>
      </w:pPr>
      <w:r w:rsidRPr="00E449EF">
        <w:rPr>
          <w:rFonts w:eastAsia="Calibri"/>
          <w:b/>
          <w:bCs/>
          <w:szCs w:val="24"/>
        </w:rPr>
        <w:t xml:space="preserve">Position du Parlement européen arrêtée en première lecture le </w:t>
      </w:r>
      <w:r w:rsidRPr="001F1AA0">
        <w:rPr>
          <w:rFonts w:eastAsia="Calibri"/>
          <w:b/>
          <w:bCs/>
          <w:szCs w:val="24"/>
        </w:rPr>
        <w:t>10</w:t>
      </w:r>
      <w:r w:rsidRPr="00E449EF">
        <w:rPr>
          <w:rFonts w:eastAsia="Calibri"/>
          <w:b/>
          <w:bCs/>
          <w:szCs w:val="24"/>
        </w:rPr>
        <w:t xml:space="preserve"> avril </w:t>
      </w:r>
      <w:r w:rsidRPr="001F1AA0">
        <w:rPr>
          <w:rFonts w:eastAsia="Calibri"/>
          <w:b/>
          <w:bCs/>
          <w:szCs w:val="24"/>
        </w:rPr>
        <w:t>2024</w:t>
      </w:r>
      <w:r w:rsidRPr="00E449EF">
        <w:rPr>
          <w:rFonts w:eastAsia="Calibri"/>
          <w:b/>
          <w:bCs/>
          <w:szCs w:val="24"/>
        </w:rPr>
        <w:t xml:space="preserve"> </w:t>
      </w:r>
      <w:r w:rsidR="00906886" w:rsidRPr="00E449EF">
        <w:rPr>
          <w:rFonts w:eastAsia="Calibri"/>
          <w:b/>
          <w:bCs/>
          <w:szCs w:val="24"/>
        </w:rPr>
        <w:t xml:space="preserve">en vue de l'adoption du règlement (UE) </w:t>
      </w:r>
      <w:r w:rsidR="00906886" w:rsidRPr="001F1AA0">
        <w:rPr>
          <w:rFonts w:eastAsia="Calibri"/>
          <w:b/>
          <w:bCs/>
          <w:szCs w:val="24"/>
        </w:rPr>
        <w:t>2024</w:t>
      </w:r>
      <w:r w:rsidR="00906886" w:rsidRPr="00E449EF">
        <w:rPr>
          <w:rFonts w:eastAsia="Calibri"/>
          <w:b/>
          <w:bCs/>
          <w:szCs w:val="24"/>
        </w:rPr>
        <w:t>/… du Parlement européen et du Conseil</w:t>
      </w:r>
      <w:r w:rsidR="00906886">
        <w:rPr>
          <w:rFonts w:eastAsia="Calibri"/>
          <w:b/>
          <w:bCs/>
          <w:szCs w:val="24"/>
        </w:rPr>
        <w:t xml:space="preserve"> </w:t>
      </w:r>
      <w:r w:rsidRPr="00E449EF">
        <w:rPr>
          <w:rFonts w:eastAsia="Calibri"/>
          <w:b/>
          <w:bCs/>
          <w:szCs w:val="24"/>
        </w:rPr>
        <w:t>modifiant les règlements (UE) </w:t>
      </w:r>
      <w:r w:rsidRPr="001F1AA0">
        <w:rPr>
          <w:rFonts w:eastAsia="Calibri"/>
          <w:b/>
          <w:bCs/>
          <w:szCs w:val="24"/>
        </w:rPr>
        <w:t>2019</w:t>
      </w:r>
      <w:r w:rsidRPr="00E449EF">
        <w:rPr>
          <w:rFonts w:eastAsia="Calibri"/>
          <w:b/>
          <w:bCs/>
          <w:szCs w:val="24"/>
        </w:rPr>
        <w:t>/</w:t>
      </w:r>
      <w:r w:rsidRPr="001F1AA0">
        <w:rPr>
          <w:rFonts w:eastAsia="Calibri"/>
          <w:b/>
          <w:bCs/>
          <w:szCs w:val="24"/>
        </w:rPr>
        <w:t>816</w:t>
      </w:r>
      <w:r w:rsidRPr="00E449EF">
        <w:rPr>
          <w:rFonts w:eastAsia="Calibri"/>
          <w:b/>
          <w:bCs/>
          <w:szCs w:val="24"/>
        </w:rPr>
        <w:t xml:space="preserve"> et (UE) </w:t>
      </w:r>
      <w:r w:rsidRPr="001F1AA0">
        <w:rPr>
          <w:rFonts w:eastAsia="Calibri"/>
          <w:b/>
          <w:bCs/>
          <w:szCs w:val="24"/>
        </w:rPr>
        <w:t>2019</w:t>
      </w:r>
      <w:r w:rsidRPr="00E449EF">
        <w:rPr>
          <w:rFonts w:eastAsia="Calibri"/>
          <w:b/>
          <w:bCs/>
          <w:szCs w:val="24"/>
        </w:rPr>
        <w:t>/</w:t>
      </w:r>
      <w:r w:rsidRPr="001F1AA0">
        <w:rPr>
          <w:rFonts w:eastAsia="Calibri"/>
          <w:b/>
          <w:bCs/>
          <w:szCs w:val="24"/>
        </w:rPr>
        <w:t>818</w:t>
      </w:r>
      <w:r w:rsidRPr="00E449EF">
        <w:rPr>
          <w:rFonts w:eastAsia="Calibri"/>
          <w:b/>
          <w:bCs/>
          <w:szCs w:val="24"/>
        </w:rPr>
        <w:t xml:space="preserve"> aux fins de l’introduction du filtrage des ressortissants de pays tiers aux frontières extérieures</w:t>
      </w:r>
    </w:p>
    <w:p w:rsidR="00D0446A" w:rsidRPr="00E449EF" w:rsidRDefault="00D0446A" w:rsidP="00D0446A">
      <w:pPr>
        <w:widowControl/>
        <w:autoSpaceDE w:val="0"/>
        <w:autoSpaceDN w:val="0"/>
        <w:adjustRightInd w:val="0"/>
        <w:spacing w:before="360" w:after="120"/>
        <w:rPr>
          <w:rFonts w:eastAsia="Calibri"/>
          <w:b/>
          <w:bCs/>
          <w:szCs w:val="24"/>
        </w:rPr>
      </w:pPr>
      <w:r>
        <w:rPr>
          <w:i/>
          <w:iCs/>
        </w:rPr>
        <w:t>Étant donné l'accord intervenu entre le Parlement et le Conseil, la position du Parlement correspond à l'acte législatif final, le règlement (UE) 2024/</w:t>
      </w:r>
      <w:r>
        <w:rPr>
          <w:i/>
          <w:iCs/>
        </w:rPr>
        <w:t>1352</w:t>
      </w:r>
      <w:r>
        <w:rPr>
          <w:i/>
          <w:iCs/>
        </w:rPr>
        <w:t>.)</w:t>
      </w:r>
      <w:bookmarkStart w:id="7" w:name="_GoBack"/>
      <w:bookmarkEnd w:id="7"/>
    </w:p>
    <w:sectPr w:rsidR="00D0446A" w:rsidRPr="00E449EF" w:rsidSect="00882C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9F1" w:rsidRPr="00882CD9" w:rsidRDefault="003079F1">
      <w:r w:rsidRPr="00882CD9">
        <w:separator/>
      </w:r>
    </w:p>
  </w:endnote>
  <w:endnote w:type="continuationSeparator" w:id="0">
    <w:p w:rsidR="003079F1" w:rsidRPr="00882CD9" w:rsidRDefault="003079F1">
      <w:r w:rsidRPr="00882C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CD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CD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C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9F1" w:rsidRPr="00882CD9" w:rsidRDefault="003079F1">
      <w:r w:rsidRPr="00882CD9">
        <w:separator/>
      </w:r>
    </w:p>
  </w:footnote>
  <w:footnote w:type="continuationSeparator" w:id="0">
    <w:p w:rsidR="003079F1" w:rsidRPr="00882CD9" w:rsidRDefault="003079F1">
      <w:r w:rsidRPr="00882C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C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C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C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3"/>
    <w:docVar w:name="dvlangue" w:val="FR"/>
    <w:docVar w:name="dvnumam" w:val="20"/>
    <w:docVar w:name="dvpe" w:val="700.426"/>
    <w:docVar w:name="dvrapporteur" w:val="Rapporteure: "/>
    <w:docVar w:name="dvstar" w:val="***I"/>
    <w:docVar w:name="dvtitre" w:val="Résolution législative du Parlement européen du ... 2024 sur la proposition de règlement du Parlement européen et du Conseil modifiant le règlement (UE) 2019/816 portant création d’un système centralisé permettant d’identifier les États membres détenant des informations relatives aux condamnations concernant des ressortissants de pays tiers et des apatrides (ECRIS-TCN), qui vise à compléter le système européen d’information sur les casiers judiciaires et le règlement (UE) 2019/818 portant établissement d’un cadre pour l’interopérabilité des systèmes d’information de l’UE dans le domaine de la coopération policière et judiciaire, de l’asile et de l’immigration, et modifiant les règlements (UE) 2018/1726, (UE) 2018/1862 et (UE) 2019/816, aux fins de l’introduction d’un filtrage des ressortissants de pays tiers aux frontières extérieures(COM(2021)0096 – C9-0088/2021 – 2021/0046(COD))"/>
  </w:docVars>
  <w:rsids>
    <w:rsidRoot w:val="003079F1"/>
    <w:rsid w:val="00002272"/>
    <w:rsid w:val="00064002"/>
    <w:rsid w:val="000677B9"/>
    <w:rsid w:val="0008175A"/>
    <w:rsid w:val="000831BA"/>
    <w:rsid w:val="000A42CC"/>
    <w:rsid w:val="000E7DD9"/>
    <w:rsid w:val="0010095E"/>
    <w:rsid w:val="00125B37"/>
    <w:rsid w:val="00187494"/>
    <w:rsid w:val="001F1AA0"/>
    <w:rsid w:val="001F32AE"/>
    <w:rsid w:val="002767FF"/>
    <w:rsid w:val="002B18FE"/>
    <w:rsid w:val="002B5493"/>
    <w:rsid w:val="003079F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65AB"/>
    <w:rsid w:val="006631B6"/>
    <w:rsid w:val="006667BC"/>
    <w:rsid w:val="00680577"/>
    <w:rsid w:val="006F74FA"/>
    <w:rsid w:val="00731ADD"/>
    <w:rsid w:val="00734777"/>
    <w:rsid w:val="00747932"/>
    <w:rsid w:val="00751A4A"/>
    <w:rsid w:val="00756632"/>
    <w:rsid w:val="00762C74"/>
    <w:rsid w:val="00786EC0"/>
    <w:rsid w:val="007A635D"/>
    <w:rsid w:val="007D1690"/>
    <w:rsid w:val="007E22AD"/>
    <w:rsid w:val="00817416"/>
    <w:rsid w:val="00842779"/>
    <w:rsid w:val="00865F67"/>
    <w:rsid w:val="00881A7B"/>
    <w:rsid w:val="00882CD9"/>
    <w:rsid w:val="008840E5"/>
    <w:rsid w:val="00887B3E"/>
    <w:rsid w:val="008C2AC6"/>
    <w:rsid w:val="00906886"/>
    <w:rsid w:val="00930C23"/>
    <w:rsid w:val="0093193B"/>
    <w:rsid w:val="009509D8"/>
    <w:rsid w:val="00950B64"/>
    <w:rsid w:val="00981893"/>
    <w:rsid w:val="00A1687D"/>
    <w:rsid w:val="00A43E52"/>
    <w:rsid w:val="00A4678D"/>
    <w:rsid w:val="00A778C7"/>
    <w:rsid w:val="00A907B8"/>
    <w:rsid w:val="00AB441E"/>
    <w:rsid w:val="00AB6293"/>
    <w:rsid w:val="00AE003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446A"/>
    <w:rsid w:val="00D058B8"/>
    <w:rsid w:val="00D35EA0"/>
    <w:rsid w:val="00D56C11"/>
    <w:rsid w:val="00D834A0"/>
    <w:rsid w:val="00D872DF"/>
    <w:rsid w:val="00D91E21"/>
    <w:rsid w:val="00DA7FCD"/>
    <w:rsid w:val="00E365E1"/>
    <w:rsid w:val="00E449EF"/>
    <w:rsid w:val="00E820A4"/>
    <w:rsid w:val="00EB006A"/>
    <w:rsid w:val="00EB4772"/>
    <w:rsid w:val="00ED169E"/>
    <w:rsid w:val="00ED4235"/>
    <w:rsid w:val="00EF5F1B"/>
    <w:rsid w:val="00F04346"/>
    <w:rsid w:val="00F052BE"/>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54334B"/>
  <w15:chartTrackingRefBased/>
  <w15:docId w15:val="{EBC84378-65AA-46ED-8DD9-CADEDC411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EF5F1B"/>
    <w:rPr>
      <w:b/>
    </w:rPr>
  </w:style>
  <w:style w:type="paragraph" w:customStyle="1" w:styleId="NormalHanging12a">
    <w:name w:val="NormalHanging12a"/>
    <w:basedOn w:val="Normal"/>
    <w:rsid w:val="00EF5F1B"/>
    <w:pPr>
      <w:spacing w:after="240"/>
      <w:ind w:left="567" w:hanging="567"/>
    </w:pPr>
  </w:style>
  <w:style w:type="paragraph" w:customStyle="1" w:styleId="AmNumberTabs">
    <w:name w:val="AmNumberTabs"/>
    <w:basedOn w:val="Normal"/>
    <w:rsid w:val="00EF5F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F5F1B"/>
    <w:pPr>
      <w:spacing w:before="480" w:after="240"/>
    </w:pPr>
  </w:style>
  <w:style w:type="character" w:customStyle="1" w:styleId="NormalBoldChar">
    <w:name w:val="NormalBold Char"/>
    <w:link w:val="NormalBold"/>
    <w:rsid w:val="00EF5F1B"/>
    <w:rPr>
      <w:b/>
      <w:sz w:val="24"/>
      <w:lang w:val="fr-FR"/>
    </w:rPr>
  </w:style>
  <w:style w:type="paragraph" w:customStyle="1" w:styleId="Normal6">
    <w:name w:val="Normal6"/>
    <w:basedOn w:val="Normal"/>
    <w:link w:val="Normal6Char"/>
    <w:rsid w:val="00EF5F1B"/>
    <w:pPr>
      <w:spacing w:after="120"/>
    </w:pPr>
  </w:style>
  <w:style w:type="character" w:customStyle="1" w:styleId="Normal6Char">
    <w:name w:val="Normal6 Char"/>
    <w:link w:val="Normal6"/>
    <w:rsid w:val="00EF5F1B"/>
    <w:rPr>
      <w:sz w:val="24"/>
      <w:lang w:val="fr-FR"/>
    </w:rPr>
  </w:style>
  <w:style w:type="paragraph" w:customStyle="1" w:styleId="ColumnHeading">
    <w:name w:val="ColumnHeading"/>
    <w:basedOn w:val="Normal"/>
    <w:rsid w:val="00EF5F1B"/>
    <w:pPr>
      <w:spacing w:after="240"/>
      <w:jc w:val="center"/>
    </w:pPr>
    <w:rPr>
      <w:i/>
    </w:rPr>
  </w:style>
  <w:style w:type="character" w:customStyle="1" w:styleId="diff-tte-added">
    <w:name w:val="diff-tte-added"/>
    <w:basedOn w:val="DefaultParagraphFont"/>
    <w:rsid w:val="0008175A"/>
    <w:rPr>
      <w:b/>
      <w:i/>
    </w:rPr>
  </w:style>
  <w:style w:type="paragraph" w:styleId="BalloonText">
    <w:name w:val="Balloon Text"/>
    <w:basedOn w:val="Normal"/>
    <w:link w:val="BalloonTextChar"/>
    <w:rsid w:val="00A907B8"/>
    <w:rPr>
      <w:rFonts w:ascii="Segoe UI" w:hAnsi="Segoe UI" w:cs="Segoe UI"/>
      <w:sz w:val="18"/>
      <w:szCs w:val="18"/>
    </w:rPr>
  </w:style>
  <w:style w:type="character" w:customStyle="1" w:styleId="BalloonTextChar">
    <w:name w:val="Balloon Text Char"/>
    <w:basedOn w:val="DefaultParagraphFont"/>
    <w:link w:val="BalloonText"/>
    <w:rsid w:val="00A907B8"/>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64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AC446-9D7A-4064-BFAA-8E9A85136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485</Words>
  <Characters>3061</Characters>
  <Application>Microsoft Office Word</Application>
  <DocSecurity>0</DocSecurity>
  <Lines>63</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2024-07-29T13:20:00Z</dcterms:created>
  <dcterms:modified xsi:type="dcterms:W3CDTF">2024-07-29T13:20:00Z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P9_TA(2024)0182_</vt:lpwstr>
  </property>
  <property fmtid="{D5CDD505-2E9C-101B-9397-08002B2CF9AE}" pid="4" name="&lt;Type&gt;">
    <vt:lpwstr>RR</vt:lpwstr>
  </property>
</Properties>
</file>