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5186E" w14:paraId="333BBB2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3A1CF49" w14:textId="77777777" w:rsidR="00751A4A" w:rsidRPr="0035186E" w:rsidRDefault="00DA4207" w:rsidP="0010095E">
            <w:pPr>
              <w:pStyle w:val="EPName"/>
            </w:pPr>
            <w:r w:rsidRPr="0035186E">
              <w:t>Evropský parlament</w:t>
            </w:r>
          </w:p>
          <w:p w14:paraId="6199E29C" w14:textId="77777777" w:rsidR="00751A4A" w:rsidRPr="0035186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976F3">
              <w:t>2019</w:t>
            </w:r>
            <w:r w:rsidRPr="0035186E">
              <w:t>-</w:t>
            </w:r>
            <w:r w:rsidRPr="00C976F3">
              <w:t>2024</w:t>
            </w:r>
          </w:p>
        </w:tc>
        <w:tc>
          <w:tcPr>
            <w:tcW w:w="2268" w:type="dxa"/>
            <w:shd w:val="clear" w:color="auto" w:fill="auto"/>
          </w:tcPr>
          <w:p w14:paraId="67975243" w14:textId="77777777" w:rsidR="00751A4A" w:rsidRPr="0035186E" w:rsidRDefault="00187494" w:rsidP="0010095E">
            <w:pPr>
              <w:pStyle w:val="EPLogo"/>
            </w:pPr>
            <w:r w:rsidRPr="0035186E">
              <w:rPr>
                <w:noProof/>
                <w:lang w:val="en-GB"/>
              </w:rPr>
              <w:drawing>
                <wp:inline distT="0" distB="0" distL="0" distR="0" wp14:anchorId="7C17DFA7" wp14:editId="3AEC07D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873603" w14:textId="77777777" w:rsidR="00D058B8" w:rsidRPr="0035186E" w:rsidRDefault="00D058B8" w:rsidP="004C5D52">
      <w:pPr>
        <w:pStyle w:val="LineTop"/>
      </w:pPr>
    </w:p>
    <w:p w14:paraId="7F2FD412" w14:textId="77777777" w:rsidR="00680577" w:rsidRPr="0035186E" w:rsidRDefault="00DA4207" w:rsidP="00680577">
      <w:pPr>
        <w:pStyle w:val="EPBodyTA1"/>
      </w:pPr>
      <w:r w:rsidRPr="0035186E">
        <w:t>PŘIJATÉ TEXTY</w:t>
      </w:r>
    </w:p>
    <w:p w14:paraId="68E7C593" w14:textId="77777777" w:rsidR="00D058B8" w:rsidRPr="0035186E" w:rsidRDefault="00D058B8" w:rsidP="00D058B8">
      <w:pPr>
        <w:pStyle w:val="LineBottom"/>
      </w:pPr>
    </w:p>
    <w:p w14:paraId="1E938F2B" w14:textId="6D1ACA9E" w:rsidR="00DA4207" w:rsidRPr="0035186E" w:rsidRDefault="00DA4207" w:rsidP="00DA4207">
      <w:pPr>
        <w:pStyle w:val="ATHeading1"/>
      </w:pPr>
      <w:bookmarkStart w:id="0" w:name="TANumber"/>
      <w:r w:rsidRPr="0035186E">
        <w:t>P</w:t>
      </w:r>
      <w:r w:rsidR="004A7500" w:rsidRPr="00C976F3">
        <w:t>9</w:t>
      </w:r>
      <w:r w:rsidRPr="0035186E">
        <w:t>_TA(</w:t>
      </w:r>
      <w:r w:rsidRPr="00C976F3">
        <w:t>2024</w:t>
      </w:r>
      <w:r w:rsidRPr="0035186E">
        <w:t>)</w:t>
      </w:r>
      <w:r w:rsidRPr="00C976F3">
        <w:t>0</w:t>
      </w:r>
      <w:r w:rsidR="00F751A4" w:rsidRPr="00C976F3">
        <w:t>185</w:t>
      </w:r>
      <w:bookmarkEnd w:id="0"/>
    </w:p>
    <w:p w14:paraId="1DE81447" w14:textId="1ADE7885" w:rsidR="00DA4207" w:rsidRPr="0035186E" w:rsidRDefault="00DA4207" w:rsidP="00DA4207">
      <w:pPr>
        <w:pStyle w:val="ATHeading2"/>
      </w:pPr>
      <w:bookmarkStart w:id="1" w:name="title"/>
      <w:r w:rsidRPr="0035186E">
        <w:t>Normy, které musí splňovat státní příslušníci třetích zemí nebo osoby bez státní příslušnosti, aby mohli</w:t>
      </w:r>
      <w:r w:rsidR="00C46070">
        <w:t xml:space="preserve"> </w:t>
      </w:r>
      <w:r w:rsidRPr="0035186E">
        <w:t>požívat mezinárodní ochrany</w:t>
      </w:r>
      <w:bookmarkEnd w:id="1"/>
    </w:p>
    <w:p w14:paraId="6B5EAF59" w14:textId="0244BB25" w:rsidR="00DA4207" w:rsidRPr="0035186E" w:rsidRDefault="00DA4207" w:rsidP="00DA4207">
      <w:pPr>
        <w:rPr>
          <w:i/>
          <w:vanish/>
        </w:rPr>
      </w:pPr>
      <w:r w:rsidRPr="0035186E">
        <w:rPr>
          <w:i/>
        </w:rPr>
        <w:fldChar w:fldCharType="begin"/>
      </w:r>
      <w:r w:rsidRPr="0035186E">
        <w:rPr>
          <w:i/>
        </w:rPr>
        <w:instrText xml:space="preserve"> TC"(</w:instrText>
      </w:r>
      <w:bookmarkStart w:id="2" w:name="DocNumber"/>
      <w:r w:rsidRPr="0035186E">
        <w:rPr>
          <w:i/>
        </w:rPr>
        <w:instrText>A</w:instrText>
      </w:r>
      <w:r w:rsidRPr="00C976F3">
        <w:rPr>
          <w:i/>
        </w:rPr>
        <w:instrText>8</w:instrText>
      </w:r>
      <w:r w:rsidRPr="0035186E">
        <w:rPr>
          <w:i/>
        </w:rPr>
        <w:instrText>-</w:instrText>
      </w:r>
      <w:r w:rsidRPr="00C976F3">
        <w:rPr>
          <w:i/>
        </w:rPr>
        <w:instrText>0245</w:instrText>
      </w:r>
      <w:r w:rsidRPr="0035186E">
        <w:rPr>
          <w:i/>
        </w:rPr>
        <w:instrText>/</w:instrText>
      </w:r>
      <w:r w:rsidRPr="00C976F3">
        <w:rPr>
          <w:i/>
        </w:rPr>
        <w:instrText>2017</w:instrText>
      </w:r>
      <w:bookmarkEnd w:id="2"/>
      <w:r w:rsidRPr="0035186E">
        <w:rPr>
          <w:i/>
        </w:rPr>
        <w:instrText xml:space="preserve"> - Zpravodaj: </w:instrText>
      </w:r>
      <w:r w:rsidR="00273C54" w:rsidRPr="00BF4004">
        <w:rPr>
          <w:i/>
        </w:rPr>
        <w:instrText>Matjaž Nemec</w:instrText>
      </w:r>
      <w:r w:rsidRPr="0035186E">
        <w:rPr>
          <w:i/>
        </w:rPr>
        <w:instrText>)"\l</w:instrText>
      </w:r>
      <w:r w:rsidRPr="00C976F3">
        <w:rPr>
          <w:i/>
        </w:rPr>
        <w:instrText>3</w:instrText>
      </w:r>
      <w:r w:rsidRPr="0035186E">
        <w:rPr>
          <w:i/>
        </w:rPr>
        <w:instrText xml:space="preserve"> \n&gt; \* MERGEFORMAT </w:instrText>
      </w:r>
      <w:r w:rsidRPr="0035186E">
        <w:rPr>
          <w:i/>
        </w:rPr>
        <w:fldChar w:fldCharType="end"/>
      </w:r>
    </w:p>
    <w:p w14:paraId="2A79D515" w14:textId="77777777" w:rsidR="00DA4207" w:rsidRPr="0035186E" w:rsidRDefault="00DA4207" w:rsidP="00DA4207">
      <w:pPr>
        <w:rPr>
          <w:vanish/>
        </w:rPr>
      </w:pPr>
      <w:bookmarkStart w:id="3" w:name="Commission"/>
      <w:r w:rsidRPr="0035186E">
        <w:rPr>
          <w:vanish/>
        </w:rPr>
        <w:t>Výbor pro občanské svobody, spravedlnost a vnitřní věci</w:t>
      </w:r>
      <w:bookmarkEnd w:id="3"/>
    </w:p>
    <w:p w14:paraId="1EF041E6" w14:textId="77777777" w:rsidR="00DA4207" w:rsidRPr="0035186E" w:rsidRDefault="00DA4207" w:rsidP="00DA4207">
      <w:pPr>
        <w:rPr>
          <w:vanish/>
        </w:rPr>
      </w:pPr>
      <w:bookmarkStart w:id="4" w:name="PE"/>
      <w:r w:rsidRPr="0035186E">
        <w:rPr>
          <w:vanish/>
        </w:rPr>
        <w:t>PE</w:t>
      </w:r>
      <w:r w:rsidRPr="00C976F3">
        <w:rPr>
          <w:vanish/>
        </w:rPr>
        <w:t>599</w:t>
      </w:r>
      <w:r w:rsidRPr="0035186E">
        <w:rPr>
          <w:vanish/>
        </w:rPr>
        <w:t>.</w:t>
      </w:r>
      <w:r w:rsidRPr="00C976F3">
        <w:rPr>
          <w:vanish/>
        </w:rPr>
        <w:t>799</w:t>
      </w:r>
      <w:bookmarkEnd w:id="4"/>
    </w:p>
    <w:p w14:paraId="021CE209" w14:textId="77777777" w:rsidR="00DA4207" w:rsidRPr="0035186E" w:rsidRDefault="00DA4207" w:rsidP="00DA4207">
      <w:pPr>
        <w:pStyle w:val="ATHeading3"/>
      </w:pPr>
      <w:bookmarkStart w:id="5" w:name="Sujet"/>
      <w:r w:rsidRPr="0035186E">
        <w:t xml:space="preserve">Legislativní usnesení Evropského parlamentu ze dne </w:t>
      </w:r>
      <w:r w:rsidRPr="00C976F3">
        <w:t>10</w:t>
      </w:r>
      <w:r w:rsidRPr="0035186E">
        <w:t xml:space="preserve">. dubna </w:t>
      </w:r>
      <w:r w:rsidRPr="00C976F3">
        <w:t>2024</w:t>
      </w:r>
      <w:r w:rsidRPr="0035186E">
        <w:t xml:space="preserve"> o návrhu nařízení Evropského parlamentu a Rady o normách, které musí splňovat státní příslušníci třetích zemí nebo osoby bez státní příslušnosti, aby mohli požívat mezinárodní ochrany, o jednotném statusu pro uprchlíky nebo osoby, které mají nárok na doplňkovou ochranu, a o obsahu poskytnuté ochrany a o změně směrnice Rady </w:t>
      </w:r>
      <w:r w:rsidRPr="00C976F3">
        <w:t>2003</w:t>
      </w:r>
      <w:r w:rsidRPr="0035186E">
        <w:t>/</w:t>
      </w:r>
      <w:r w:rsidRPr="00C976F3">
        <w:t>109</w:t>
      </w:r>
      <w:r w:rsidRPr="0035186E">
        <w:t xml:space="preserve">/ES ze dne </w:t>
      </w:r>
      <w:r w:rsidRPr="00C976F3">
        <w:t>25</w:t>
      </w:r>
      <w:r w:rsidRPr="0035186E">
        <w:t xml:space="preserve">. listopadu </w:t>
      </w:r>
      <w:r w:rsidRPr="00C976F3">
        <w:t>2003</w:t>
      </w:r>
      <w:r w:rsidRPr="0035186E">
        <w:t xml:space="preserve"> o právním postavení státních příslušníků třetích zemí, kteří jsou dlouhodobě pobývajícími rezidenty</w:t>
      </w:r>
      <w:bookmarkEnd w:id="5"/>
      <w:r w:rsidRPr="0035186E">
        <w:t xml:space="preserve"> </w:t>
      </w:r>
      <w:bookmarkStart w:id="6" w:name="References"/>
      <w:r w:rsidRPr="0035186E">
        <w:t>(COM(</w:t>
      </w:r>
      <w:r w:rsidRPr="00C976F3">
        <w:t>2016</w:t>
      </w:r>
      <w:r w:rsidRPr="0035186E">
        <w:t>)</w:t>
      </w:r>
      <w:r w:rsidRPr="00C976F3">
        <w:t>0466</w:t>
      </w:r>
      <w:r w:rsidRPr="0035186E">
        <w:t xml:space="preserve"> – C</w:t>
      </w:r>
      <w:r w:rsidRPr="00C976F3">
        <w:t>8</w:t>
      </w:r>
      <w:r w:rsidRPr="0035186E">
        <w:t>-</w:t>
      </w:r>
      <w:r w:rsidRPr="00C976F3">
        <w:t>0324</w:t>
      </w:r>
      <w:r w:rsidRPr="0035186E">
        <w:t>/</w:t>
      </w:r>
      <w:r w:rsidRPr="00C976F3">
        <w:t>2016</w:t>
      </w:r>
      <w:r w:rsidRPr="0035186E">
        <w:t xml:space="preserve"> – </w:t>
      </w:r>
      <w:r w:rsidRPr="00C976F3">
        <w:t>2016</w:t>
      </w:r>
      <w:r w:rsidRPr="0035186E">
        <w:t>/</w:t>
      </w:r>
      <w:r w:rsidRPr="00C976F3">
        <w:t>0223</w:t>
      </w:r>
      <w:r w:rsidRPr="0035186E">
        <w:t>(COD))</w:t>
      </w:r>
      <w:bookmarkEnd w:id="6"/>
    </w:p>
    <w:p w14:paraId="1D850B38" w14:textId="77777777" w:rsidR="003435A0" w:rsidRPr="0035186E" w:rsidRDefault="003435A0" w:rsidP="003435A0">
      <w:pPr>
        <w:pStyle w:val="Normal12Bold"/>
      </w:pPr>
      <w:bookmarkStart w:id="7" w:name="TextBodyBegin"/>
      <w:bookmarkEnd w:id="7"/>
      <w:r w:rsidRPr="0035186E">
        <w:t>(Řádný legislativní postup: první čtení)</w:t>
      </w:r>
    </w:p>
    <w:p w14:paraId="140C311F" w14:textId="77777777" w:rsidR="003435A0" w:rsidRPr="0035186E" w:rsidRDefault="003435A0" w:rsidP="00BF4004">
      <w:pPr>
        <w:pStyle w:val="Normal12"/>
        <w:spacing w:before="480"/>
      </w:pPr>
      <w:r w:rsidRPr="0035186E">
        <w:rPr>
          <w:i/>
        </w:rPr>
        <w:t>Evropský parlament</w:t>
      </w:r>
      <w:r w:rsidRPr="0035186E">
        <w:t>,</w:t>
      </w:r>
    </w:p>
    <w:p w14:paraId="32C53A92" w14:textId="77777777" w:rsidR="003435A0" w:rsidRPr="0035186E" w:rsidRDefault="003435A0" w:rsidP="003435A0">
      <w:pPr>
        <w:pStyle w:val="Normal12Hanging"/>
      </w:pPr>
      <w:r w:rsidRPr="0035186E">
        <w:t>–</w:t>
      </w:r>
      <w:r w:rsidRPr="0035186E">
        <w:tab/>
        <w:t>s ohledem na návrh Komise předložený Evropskému parlamentu a Radě (COM(</w:t>
      </w:r>
      <w:r w:rsidRPr="00C976F3">
        <w:t>2016</w:t>
      </w:r>
      <w:r w:rsidRPr="0035186E">
        <w:t>)</w:t>
      </w:r>
      <w:r w:rsidRPr="00C976F3">
        <w:t>0466</w:t>
      </w:r>
      <w:r w:rsidRPr="0035186E">
        <w:t>),</w:t>
      </w:r>
    </w:p>
    <w:p w14:paraId="5364B161" w14:textId="69299D5D" w:rsidR="003435A0" w:rsidRPr="0035186E" w:rsidRDefault="003435A0" w:rsidP="003435A0">
      <w:pPr>
        <w:pStyle w:val="Normal12Hanging"/>
      </w:pPr>
      <w:r w:rsidRPr="0035186E">
        <w:t>–</w:t>
      </w:r>
      <w:r w:rsidRPr="0035186E">
        <w:tab/>
        <w:t xml:space="preserve">s ohledem na čl. </w:t>
      </w:r>
      <w:r w:rsidRPr="00C976F3">
        <w:t>294</w:t>
      </w:r>
      <w:r w:rsidRPr="0035186E">
        <w:t xml:space="preserve"> odst. </w:t>
      </w:r>
      <w:r w:rsidRPr="00C976F3">
        <w:t>2</w:t>
      </w:r>
      <w:r w:rsidR="000C01F5">
        <w:t xml:space="preserve">, </w:t>
      </w:r>
      <w:r w:rsidRPr="0035186E">
        <w:t xml:space="preserve">čl. </w:t>
      </w:r>
      <w:r w:rsidRPr="00C976F3">
        <w:t>78</w:t>
      </w:r>
      <w:r w:rsidRPr="0035186E">
        <w:t xml:space="preserve"> odst. </w:t>
      </w:r>
      <w:r w:rsidRPr="00C976F3">
        <w:t>2</w:t>
      </w:r>
      <w:r w:rsidRPr="0035186E">
        <w:t xml:space="preserve"> písm. a) a b) a čl. </w:t>
      </w:r>
      <w:r w:rsidRPr="00C976F3">
        <w:t>79</w:t>
      </w:r>
      <w:r w:rsidRPr="0035186E">
        <w:t xml:space="preserve"> odst. </w:t>
      </w:r>
      <w:r w:rsidRPr="00C976F3">
        <w:t>2</w:t>
      </w:r>
      <w:r w:rsidRPr="0035186E">
        <w:t xml:space="preserve"> písm. a) Smlouvy o fungování Evropské unie, v souladu s</w:t>
      </w:r>
      <w:r w:rsidR="000C01F5">
        <w:t>e kterými</w:t>
      </w:r>
      <w:r w:rsidRPr="0035186E">
        <w:t xml:space="preserve"> Komise předložila svůj návrh Parlamentu (C</w:t>
      </w:r>
      <w:r w:rsidRPr="00C976F3">
        <w:t>8</w:t>
      </w:r>
      <w:r w:rsidR="00C976F3">
        <w:t>-</w:t>
      </w:r>
      <w:r w:rsidRPr="00C976F3">
        <w:t>0324</w:t>
      </w:r>
      <w:r w:rsidRPr="0035186E">
        <w:t>/</w:t>
      </w:r>
      <w:r w:rsidRPr="00C976F3">
        <w:t>2016</w:t>
      </w:r>
      <w:r w:rsidRPr="0035186E">
        <w:t>),</w:t>
      </w:r>
    </w:p>
    <w:p w14:paraId="58F5B4DF" w14:textId="77777777" w:rsidR="003435A0" w:rsidRPr="0035186E" w:rsidRDefault="003435A0" w:rsidP="003435A0">
      <w:pPr>
        <w:pStyle w:val="Normal12Hanging"/>
      </w:pPr>
      <w:r w:rsidRPr="0035186E">
        <w:t>–</w:t>
      </w:r>
      <w:r w:rsidRPr="0035186E">
        <w:tab/>
        <w:t xml:space="preserve">s ohledem na čl. </w:t>
      </w:r>
      <w:r w:rsidRPr="00C976F3">
        <w:t>294</w:t>
      </w:r>
      <w:r w:rsidRPr="0035186E">
        <w:t xml:space="preserve"> odst. </w:t>
      </w:r>
      <w:r w:rsidRPr="00C976F3">
        <w:t>3</w:t>
      </w:r>
      <w:r w:rsidRPr="0035186E">
        <w:t xml:space="preserve"> Smlouvy o fungování Evropské unie,</w:t>
      </w:r>
    </w:p>
    <w:p w14:paraId="6528B8A9" w14:textId="77777777" w:rsidR="003435A0" w:rsidRPr="0035186E" w:rsidRDefault="003435A0" w:rsidP="003435A0">
      <w:pPr>
        <w:pStyle w:val="Normal12Hanging"/>
      </w:pPr>
      <w:r w:rsidRPr="0035186E">
        <w:t>–</w:t>
      </w:r>
      <w:r w:rsidRPr="0035186E">
        <w:tab/>
        <w:t xml:space="preserve">s ohledem na stanovisko Evropského hospodářského a sociálního výboru ze dne </w:t>
      </w:r>
      <w:r w:rsidRPr="00C976F3">
        <w:t>14</w:t>
      </w:r>
      <w:r w:rsidRPr="0035186E">
        <w:t xml:space="preserve">. prosince </w:t>
      </w:r>
      <w:r w:rsidRPr="00C976F3">
        <w:t>2016</w:t>
      </w:r>
      <w:r w:rsidRPr="0035186E">
        <w:rPr>
          <w:rStyle w:val="FootnoteReference"/>
        </w:rPr>
        <w:footnoteReference w:id="1"/>
      </w:r>
      <w:r w:rsidRPr="0035186E">
        <w:t>,</w:t>
      </w:r>
    </w:p>
    <w:p w14:paraId="66410994" w14:textId="26D052CE" w:rsidR="003435A0" w:rsidRDefault="003435A0" w:rsidP="003435A0">
      <w:pPr>
        <w:pStyle w:val="Normal12Hanging"/>
      </w:pPr>
      <w:r w:rsidRPr="0035186E">
        <w:t>–</w:t>
      </w:r>
      <w:r w:rsidRPr="0035186E">
        <w:tab/>
        <w:t xml:space="preserve">s ohledem na stanovisko Výboru regionů ze dne </w:t>
      </w:r>
      <w:r w:rsidRPr="00C976F3">
        <w:t>8</w:t>
      </w:r>
      <w:r w:rsidRPr="0035186E">
        <w:t xml:space="preserve">. února </w:t>
      </w:r>
      <w:r w:rsidRPr="00C976F3">
        <w:t>2017</w:t>
      </w:r>
      <w:r w:rsidRPr="0035186E">
        <w:rPr>
          <w:rStyle w:val="FootnoteReference"/>
        </w:rPr>
        <w:footnoteReference w:id="2"/>
      </w:r>
      <w:r w:rsidRPr="0035186E">
        <w:t>,</w:t>
      </w:r>
    </w:p>
    <w:p w14:paraId="210581C7" w14:textId="3EBD97C3" w:rsidR="00045CCD" w:rsidRPr="0035186E" w:rsidRDefault="00045CCD" w:rsidP="003435A0">
      <w:pPr>
        <w:pStyle w:val="Normal12Hanging"/>
      </w:pPr>
      <w:r>
        <w:t>–</w:t>
      </w:r>
      <w:r>
        <w:tab/>
      </w:r>
      <w:r w:rsidRPr="00045CCD">
        <w:t xml:space="preserve">s ohledem na předběžnou dohodu přijatou příslušným výborem podle čl. </w:t>
      </w:r>
      <w:r w:rsidRPr="00C976F3">
        <w:t>74</w:t>
      </w:r>
      <w:r w:rsidRPr="00045CCD">
        <w:t xml:space="preserve"> odst. </w:t>
      </w:r>
      <w:r w:rsidRPr="00C976F3">
        <w:t>4</w:t>
      </w:r>
      <w:r w:rsidRPr="00045CCD">
        <w:t xml:space="preserve"> jednacího řádu a s ohledem na to, že se zástupce Rady dopisem ze dne </w:t>
      </w:r>
      <w:r w:rsidRPr="00C976F3">
        <w:t>8</w:t>
      </w:r>
      <w:r w:rsidRPr="00045CCD">
        <w:t xml:space="preserve">. </w:t>
      </w:r>
      <w:r>
        <w:t>února</w:t>
      </w:r>
      <w:r w:rsidRPr="00045CCD">
        <w:t xml:space="preserve"> </w:t>
      </w:r>
      <w:r w:rsidRPr="00C976F3">
        <w:t>2024</w:t>
      </w:r>
      <w:r w:rsidRPr="00045CCD">
        <w:t xml:space="preserve"> zavázal schválit postoj Parlamentu v souladu s čl. </w:t>
      </w:r>
      <w:r w:rsidRPr="00C976F3">
        <w:t>294</w:t>
      </w:r>
      <w:r w:rsidRPr="00045CCD">
        <w:t xml:space="preserve"> odst. </w:t>
      </w:r>
      <w:r w:rsidRPr="00C976F3">
        <w:t>4</w:t>
      </w:r>
      <w:r w:rsidRPr="00045CCD">
        <w:t xml:space="preserve"> Smlouvy o fungování Evropské unie,</w:t>
      </w:r>
    </w:p>
    <w:p w14:paraId="681958F7" w14:textId="66E52E22" w:rsidR="003435A0" w:rsidRDefault="003435A0" w:rsidP="003435A0">
      <w:pPr>
        <w:pStyle w:val="Normal12Hanging"/>
      </w:pPr>
      <w:r w:rsidRPr="0035186E">
        <w:t>–</w:t>
      </w:r>
      <w:r w:rsidRPr="0035186E">
        <w:tab/>
        <w:t xml:space="preserve">s ohledem na článek </w:t>
      </w:r>
      <w:r w:rsidRPr="00C976F3">
        <w:t>59</w:t>
      </w:r>
      <w:r w:rsidRPr="0035186E">
        <w:t xml:space="preserve"> jednacího řádu,</w:t>
      </w:r>
    </w:p>
    <w:p w14:paraId="0127B190" w14:textId="6B2839C5" w:rsidR="00D77DEF" w:rsidRPr="0035186E" w:rsidRDefault="00D77DEF" w:rsidP="003435A0">
      <w:pPr>
        <w:pStyle w:val="Normal12Hanging"/>
      </w:pPr>
      <w:r>
        <w:t>–</w:t>
      </w:r>
      <w:r>
        <w:tab/>
      </w:r>
      <w:r w:rsidRPr="0035186E">
        <w:t>s ohledem na stanovisko Výboru pro zaměstnanost a sociální věci</w:t>
      </w:r>
      <w:r>
        <w:t>,</w:t>
      </w:r>
    </w:p>
    <w:p w14:paraId="2F76F2A5" w14:textId="3FBD2337" w:rsidR="003435A0" w:rsidRPr="0035186E" w:rsidRDefault="003435A0" w:rsidP="003435A0">
      <w:pPr>
        <w:pStyle w:val="Normal12Hanging"/>
      </w:pPr>
      <w:r w:rsidRPr="0035186E">
        <w:lastRenderedPageBreak/>
        <w:t>–</w:t>
      </w:r>
      <w:r w:rsidRPr="0035186E">
        <w:tab/>
        <w:t>s ohledem na zprávu Výboru pro občanské svobody, spravedlnost a vnitřní věci (A</w:t>
      </w:r>
      <w:r w:rsidRPr="00C976F3">
        <w:t>8</w:t>
      </w:r>
      <w:r w:rsidRPr="0035186E">
        <w:t>-</w:t>
      </w:r>
      <w:r w:rsidRPr="00C976F3">
        <w:t>0245</w:t>
      </w:r>
      <w:r w:rsidRPr="0035186E">
        <w:t>/</w:t>
      </w:r>
      <w:r w:rsidRPr="00C976F3">
        <w:t>2017</w:t>
      </w:r>
      <w:r w:rsidRPr="0035186E">
        <w:t>),</w:t>
      </w:r>
    </w:p>
    <w:p w14:paraId="01476189" w14:textId="77777777" w:rsidR="003435A0" w:rsidRPr="0035186E" w:rsidRDefault="003435A0" w:rsidP="003435A0">
      <w:pPr>
        <w:pStyle w:val="Normal12Hanging"/>
      </w:pPr>
      <w:r w:rsidRPr="00C976F3">
        <w:t>1</w:t>
      </w:r>
      <w:r w:rsidRPr="0035186E">
        <w:t>.</w:t>
      </w:r>
      <w:r w:rsidRPr="0035186E">
        <w:tab/>
        <w:t>přijímá níže uvedený postoj v prvním čtení;</w:t>
      </w:r>
    </w:p>
    <w:p w14:paraId="2A758416" w14:textId="77777777" w:rsidR="003435A0" w:rsidRPr="0035186E" w:rsidRDefault="003435A0" w:rsidP="003435A0">
      <w:pPr>
        <w:pStyle w:val="Normal12Hanging"/>
      </w:pPr>
      <w:r w:rsidRPr="00C976F3">
        <w:t>2</w:t>
      </w:r>
      <w:r w:rsidRPr="0035186E">
        <w:t>.</w:t>
      </w:r>
      <w:r w:rsidRPr="0035186E">
        <w:tab/>
        <w:t>vyzývá Komisi, aby věc znovu postoupila Parlamentu, jestliže svůj návrh nahradí jiným textem, podstatně jej změní nebo má v úmyslu jej podstatně změnit;</w:t>
      </w:r>
    </w:p>
    <w:p w14:paraId="674CDF90" w14:textId="6E6A2655" w:rsidR="00B74A09" w:rsidRDefault="003435A0" w:rsidP="00A72555">
      <w:pPr>
        <w:pStyle w:val="Normal12Hanging"/>
      </w:pPr>
      <w:r w:rsidRPr="00C976F3">
        <w:t>3</w:t>
      </w:r>
      <w:r w:rsidRPr="0035186E">
        <w:t>.</w:t>
      </w:r>
      <w:r w:rsidRPr="0035186E">
        <w:tab/>
        <w:t>pověřuje sv</w:t>
      </w:r>
      <w:r w:rsidR="003877DB">
        <w:t>ou</w:t>
      </w:r>
      <w:r w:rsidRPr="0035186E">
        <w:t xml:space="preserve"> předsed</w:t>
      </w:r>
      <w:r w:rsidR="003877DB">
        <w:t>kyni</w:t>
      </w:r>
      <w:r w:rsidRPr="0035186E">
        <w:t>, aby postoj Parlamentu předal</w:t>
      </w:r>
      <w:r w:rsidR="003877DB">
        <w:t>a</w:t>
      </w:r>
      <w:r w:rsidRPr="0035186E">
        <w:t xml:space="preserve"> Radě</w:t>
      </w:r>
      <w:r w:rsidR="003877DB">
        <w:t xml:space="preserve"> a</w:t>
      </w:r>
      <w:r w:rsidRPr="0035186E">
        <w:t xml:space="preserve"> Komisi, jakož i vnitrostátním parlamentům.</w:t>
      </w:r>
    </w:p>
    <w:p w14:paraId="4A5DC17B" w14:textId="77777777" w:rsidR="00273C54" w:rsidRDefault="00273C54" w:rsidP="003435A0">
      <w:pPr>
        <w:pStyle w:val="AMNumberTabs"/>
        <w:keepNext/>
        <w:sectPr w:rsidR="00273C54" w:rsidSect="0035186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89C364D" w14:textId="77777777" w:rsidR="00A72555" w:rsidRPr="007A1BEB" w:rsidRDefault="00A72555" w:rsidP="00A72555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TextBodyEnd"/>
      <w:bookmarkEnd w:id="8"/>
      <w:r w:rsidRPr="00FD072E">
        <w:rPr>
          <w:b/>
          <w:bCs/>
          <w:color w:val="000000"/>
        </w:rPr>
        <w:lastRenderedPageBreak/>
        <w:t>P</w:t>
      </w:r>
      <w:r w:rsidRPr="00C976F3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C976F3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8A4468">
        <w:rPr>
          <w:b/>
          <w:bCs/>
          <w:color w:val="000000"/>
        </w:rPr>
        <w:t>COD(</w:t>
      </w:r>
      <w:r w:rsidRPr="00C976F3">
        <w:rPr>
          <w:b/>
          <w:bCs/>
          <w:color w:val="000000"/>
        </w:rPr>
        <w:t>2016</w:t>
      </w:r>
      <w:r w:rsidRPr="008A4468">
        <w:rPr>
          <w:b/>
          <w:bCs/>
          <w:color w:val="000000"/>
        </w:rPr>
        <w:t>)</w:t>
      </w:r>
      <w:r w:rsidRPr="00C976F3">
        <w:rPr>
          <w:b/>
          <w:bCs/>
          <w:color w:val="000000"/>
        </w:rPr>
        <w:t>0223</w:t>
      </w:r>
    </w:p>
    <w:p w14:paraId="351CA903" w14:textId="71A948D9" w:rsidR="00A72555" w:rsidRDefault="00A72555" w:rsidP="007A1BEB">
      <w:pPr>
        <w:pStyle w:val="AMNumberTabs"/>
        <w:keepNext/>
        <w:rPr>
          <w:rFonts w:eastAsia="Calibri"/>
          <w:bCs/>
          <w:iCs/>
          <w:szCs w:val="22"/>
          <w:lang w:eastAsia="en-US"/>
        </w:rPr>
      </w:pPr>
      <w:r w:rsidRPr="007A1BEB">
        <w:rPr>
          <w:bCs/>
        </w:rPr>
        <w:t xml:space="preserve">Postoj Evropského parlamentu přijatý v prvním čtení dne </w:t>
      </w:r>
      <w:r w:rsidRPr="00C976F3">
        <w:rPr>
          <w:bCs/>
        </w:rPr>
        <w:t>10</w:t>
      </w:r>
      <w:r w:rsidRPr="007A1BEB">
        <w:rPr>
          <w:bCs/>
        </w:rPr>
        <w:t xml:space="preserve">. dubna </w:t>
      </w:r>
      <w:r w:rsidRPr="00C976F3">
        <w:rPr>
          <w:bCs/>
        </w:rPr>
        <w:t>2024</w:t>
      </w:r>
      <w:r w:rsidRPr="007A1BEB">
        <w:rPr>
          <w:bCs/>
        </w:rPr>
        <w:t xml:space="preserve"> k přijetí </w:t>
      </w:r>
      <w:r w:rsidR="007A1BEB" w:rsidRPr="007A1BEB">
        <w:rPr>
          <w:rFonts w:eastAsia="Calibri"/>
          <w:szCs w:val="22"/>
          <w:lang w:eastAsia="en-US"/>
        </w:rPr>
        <w:t xml:space="preserve">nařízení Evropského parlamentu a Rady </w:t>
      </w:r>
      <w:r w:rsidRPr="00A72555">
        <w:rPr>
          <w:rFonts w:eastAsia="Calibri"/>
          <w:szCs w:val="22"/>
          <w:lang w:eastAsia="en-US"/>
        </w:rPr>
        <w:t xml:space="preserve">(EU) </w:t>
      </w:r>
      <w:r w:rsidRPr="00C976F3">
        <w:rPr>
          <w:rFonts w:eastAsia="Calibri"/>
          <w:szCs w:val="22"/>
          <w:lang w:eastAsia="en-US"/>
        </w:rPr>
        <w:t>2023</w:t>
      </w:r>
      <w:r w:rsidRPr="00A72555">
        <w:rPr>
          <w:rFonts w:eastAsia="Calibri"/>
          <w:szCs w:val="22"/>
          <w:lang w:eastAsia="en-US"/>
        </w:rPr>
        <w:t>/...</w:t>
      </w:r>
      <w:r w:rsidR="007A1BEB" w:rsidRPr="007A1BEB">
        <w:rPr>
          <w:rFonts w:eastAsia="Calibri"/>
          <w:szCs w:val="22"/>
          <w:lang w:eastAsia="en-US"/>
        </w:rPr>
        <w:t xml:space="preserve"> </w:t>
      </w:r>
      <w:r w:rsidRPr="00A72555">
        <w:rPr>
          <w:rFonts w:eastAsia="Calibri"/>
          <w:bCs/>
          <w:szCs w:val="22"/>
          <w:lang w:eastAsia="en-US"/>
        </w:rPr>
        <w:t xml:space="preserve">o normách, které musejí splňovat státní příslušníci třetích zemí nebo osoby bez státní příslušnosti, aby mohli požívat mezinárodní ochrany, o jednotném statusu pro uprchlíky nebo osoby, které mají nárok na doplňkovou ochranu, a o obsahu udělené ochrany, o změně směrnice Rady </w:t>
      </w:r>
      <w:r w:rsidRPr="00C976F3">
        <w:rPr>
          <w:rFonts w:eastAsia="Calibri"/>
          <w:bCs/>
          <w:szCs w:val="22"/>
          <w:lang w:eastAsia="en-US"/>
        </w:rPr>
        <w:t>2003</w:t>
      </w:r>
      <w:r w:rsidRPr="00A72555">
        <w:rPr>
          <w:rFonts w:eastAsia="Calibri"/>
          <w:bCs/>
          <w:szCs w:val="22"/>
          <w:lang w:eastAsia="en-US"/>
        </w:rPr>
        <w:t>/</w:t>
      </w:r>
      <w:r w:rsidRPr="00C976F3">
        <w:rPr>
          <w:rFonts w:eastAsia="Calibri"/>
          <w:bCs/>
          <w:szCs w:val="22"/>
          <w:lang w:eastAsia="en-US"/>
        </w:rPr>
        <w:t>109</w:t>
      </w:r>
      <w:r w:rsidR="00E53DFE">
        <w:rPr>
          <w:rFonts w:eastAsia="Calibri"/>
          <w:bCs/>
          <w:szCs w:val="22"/>
          <w:lang w:eastAsia="en-US"/>
        </w:rPr>
        <w:t>/ES</w:t>
      </w:r>
      <w:r w:rsidRPr="00A72555">
        <w:rPr>
          <w:rFonts w:eastAsia="Calibri"/>
          <w:bCs/>
          <w:i/>
          <w:iCs/>
          <w:szCs w:val="22"/>
          <w:lang w:eastAsia="en-US"/>
        </w:rPr>
        <w:t xml:space="preserve"> </w:t>
      </w:r>
      <w:r w:rsidRPr="00E53DFE">
        <w:rPr>
          <w:rFonts w:eastAsia="Calibri"/>
          <w:bCs/>
          <w:iCs/>
          <w:szCs w:val="22"/>
          <w:lang w:eastAsia="en-US"/>
        </w:rPr>
        <w:t>a o zrušení směrnice Evropského parlamentu a Rady 2011/95/EU</w:t>
      </w:r>
    </w:p>
    <w:p w14:paraId="065C8EFE" w14:textId="6BCD65E7" w:rsidR="00E53DFE" w:rsidRPr="00E53DFE" w:rsidRDefault="00E53DFE" w:rsidP="00E53DFE">
      <w:pPr>
        <w:spacing w:before="360"/>
        <w:rPr>
          <w:rFonts w:eastAsia="Calibri"/>
        </w:rPr>
      </w:pPr>
      <w:r w:rsidRPr="00DA7825">
        <w:rPr>
          <w:rFonts w:eastAsia="Calibri"/>
          <w:i/>
        </w:rPr>
        <w:t>(Vzhledem k tomu, že bylo dosaženo dohody mezi Parlamentem a Radou, postoj Parlamentu odpovídá konečnému znění legislati</w:t>
      </w:r>
      <w:r>
        <w:rPr>
          <w:rFonts w:eastAsia="Calibri"/>
          <w:i/>
        </w:rPr>
        <w:t>vní</w:t>
      </w:r>
      <w:r>
        <w:rPr>
          <w:rFonts w:eastAsia="Calibri"/>
          <w:i/>
        </w:rPr>
        <w:t>ho aktu, nařízení (EU) 2024/1347</w:t>
      </w:r>
      <w:bookmarkStart w:id="9" w:name="_GoBack"/>
      <w:bookmarkEnd w:id="9"/>
      <w:r w:rsidRPr="00DA7825">
        <w:rPr>
          <w:rFonts w:eastAsia="Calibri"/>
          <w:i/>
        </w:rPr>
        <w:t>.)</w:t>
      </w:r>
    </w:p>
    <w:sectPr w:rsidR="00E53DFE" w:rsidRPr="00E53DFE" w:rsidSect="00E53DFE">
      <w:footnotePr>
        <w:numRestart w:val="eachSect"/>
      </w:footnotePr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DE10D" w14:textId="77777777" w:rsidR="00DA4207" w:rsidRPr="0035186E" w:rsidRDefault="00DA4207">
      <w:r w:rsidRPr="0035186E">
        <w:separator/>
      </w:r>
    </w:p>
  </w:endnote>
  <w:endnote w:type="continuationSeparator" w:id="0">
    <w:p w14:paraId="02918A66" w14:textId="77777777" w:rsidR="00DA4207" w:rsidRPr="0035186E" w:rsidRDefault="00DA4207">
      <w:r w:rsidRPr="00351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02F7C" w14:textId="77777777" w:rsidR="00DA4207" w:rsidRPr="0035186E" w:rsidRDefault="00DA4207">
      <w:r w:rsidRPr="0035186E">
        <w:separator/>
      </w:r>
    </w:p>
  </w:footnote>
  <w:footnote w:type="continuationSeparator" w:id="0">
    <w:p w14:paraId="72ECADD9" w14:textId="77777777" w:rsidR="00DA4207" w:rsidRPr="0035186E" w:rsidRDefault="00DA4207">
      <w:r w:rsidRPr="0035186E">
        <w:continuationSeparator/>
      </w:r>
    </w:p>
  </w:footnote>
  <w:footnote w:id="1">
    <w:p w14:paraId="5ECF9E0C" w14:textId="77777777" w:rsidR="003435A0" w:rsidRPr="0035186E" w:rsidRDefault="003435A0" w:rsidP="0035186E">
      <w:pPr>
        <w:pStyle w:val="FootnoteText"/>
        <w:ind w:left="567" w:hanging="567"/>
        <w:rPr>
          <w:sz w:val="24"/>
          <w:lang w:val="cs-CZ"/>
        </w:rPr>
      </w:pPr>
      <w:r w:rsidRPr="0035186E">
        <w:rPr>
          <w:rStyle w:val="FootnoteReference"/>
          <w:sz w:val="24"/>
          <w:lang w:val="cs-CZ"/>
        </w:rPr>
        <w:footnoteRef/>
      </w:r>
      <w:r w:rsidR="0035186E" w:rsidRPr="0035186E">
        <w:rPr>
          <w:sz w:val="24"/>
          <w:lang w:val="cs-CZ"/>
        </w:rPr>
        <w:t xml:space="preserve"> </w:t>
      </w:r>
      <w:r w:rsidR="0035186E" w:rsidRPr="0035186E">
        <w:rPr>
          <w:sz w:val="24"/>
          <w:lang w:val="cs-CZ"/>
        </w:rPr>
        <w:tab/>
      </w:r>
      <w:r w:rsidRPr="0035186E">
        <w:rPr>
          <w:sz w:val="24"/>
          <w:lang w:val="cs-CZ"/>
        </w:rPr>
        <w:t xml:space="preserve">Úř. věst. C </w:t>
      </w:r>
      <w:r w:rsidRPr="00C976F3">
        <w:rPr>
          <w:sz w:val="24"/>
          <w:lang w:val="cs-CZ"/>
        </w:rPr>
        <w:t>75</w:t>
      </w:r>
      <w:r w:rsidRPr="0035186E">
        <w:rPr>
          <w:sz w:val="24"/>
          <w:lang w:val="cs-CZ"/>
        </w:rPr>
        <w:t xml:space="preserve">, </w:t>
      </w:r>
      <w:r w:rsidRPr="00C976F3">
        <w:rPr>
          <w:sz w:val="24"/>
          <w:lang w:val="cs-CZ"/>
        </w:rPr>
        <w:t>10</w:t>
      </w:r>
      <w:r w:rsidRPr="0035186E">
        <w:rPr>
          <w:sz w:val="24"/>
          <w:lang w:val="cs-CZ"/>
        </w:rPr>
        <w:t>.</w:t>
      </w:r>
      <w:r w:rsidRPr="00C976F3">
        <w:rPr>
          <w:sz w:val="24"/>
          <w:lang w:val="cs-CZ"/>
        </w:rPr>
        <w:t>3</w:t>
      </w:r>
      <w:r w:rsidRPr="0035186E">
        <w:rPr>
          <w:sz w:val="24"/>
          <w:lang w:val="cs-CZ"/>
        </w:rPr>
        <w:t>.</w:t>
      </w:r>
      <w:r w:rsidRPr="00C976F3">
        <w:rPr>
          <w:sz w:val="24"/>
          <w:lang w:val="cs-CZ"/>
        </w:rPr>
        <w:t>2017</w:t>
      </w:r>
      <w:r w:rsidRPr="0035186E">
        <w:rPr>
          <w:sz w:val="24"/>
          <w:lang w:val="cs-CZ"/>
        </w:rPr>
        <w:t xml:space="preserve">, s. </w:t>
      </w:r>
      <w:r w:rsidRPr="00C976F3">
        <w:rPr>
          <w:sz w:val="24"/>
          <w:lang w:val="cs-CZ"/>
        </w:rPr>
        <w:t>97</w:t>
      </w:r>
      <w:r w:rsidRPr="0035186E">
        <w:rPr>
          <w:sz w:val="24"/>
          <w:lang w:val="cs-CZ"/>
        </w:rPr>
        <w:t>.</w:t>
      </w:r>
    </w:p>
  </w:footnote>
  <w:footnote w:id="2">
    <w:p w14:paraId="5DEF1138" w14:textId="2F9673FF" w:rsidR="003435A0" w:rsidRPr="0035186E" w:rsidRDefault="003435A0" w:rsidP="0035186E">
      <w:pPr>
        <w:pStyle w:val="FootnoteText"/>
        <w:ind w:left="567" w:hanging="567"/>
        <w:rPr>
          <w:sz w:val="24"/>
          <w:lang w:val="cs-CZ"/>
        </w:rPr>
      </w:pPr>
      <w:r w:rsidRPr="0035186E">
        <w:rPr>
          <w:rStyle w:val="FootnoteReference"/>
          <w:sz w:val="24"/>
          <w:lang w:val="cs-CZ"/>
        </w:rPr>
        <w:footnoteRef/>
      </w:r>
      <w:r w:rsidR="0035186E" w:rsidRPr="0035186E">
        <w:rPr>
          <w:sz w:val="24"/>
          <w:lang w:val="cs-CZ"/>
        </w:rPr>
        <w:t xml:space="preserve"> </w:t>
      </w:r>
      <w:r w:rsidR="0035186E" w:rsidRPr="0035186E">
        <w:rPr>
          <w:sz w:val="24"/>
          <w:lang w:val="cs-CZ"/>
        </w:rPr>
        <w:tab/>
      </w:r>
      <w:r w:rsidR="00273C54">
        <w:rPr>
          <w:sz w:val="24"/>
          <w:lang w:val="en-GB"/>
        </w:rPr>
        <w:t>Úř. věst.</w:t>
      </w:r>
      <w:r w:rsidR="00273C54" w:rsidRPr="00BF4004">
        <w:rPr>
          <w:sz w:val="24"/>
          <w:lang w:val="en-GB"/>
        </w:rPr>
        <w:t xml:space="preserve"> C </w:t>
      </w:r>
      <w:r w:rsidR="00273C54" w:rsidRPr="00C976F3">
        <w:rPr>
          <w:sz w:val="24"/>
          <w:lang w:val="en-GB"/>
        </w:rPr>
        <w:t>207</w:t>
      </w:r>
      <w:r w:rsidR="00273C54" w:rsidRPr="00BF4004">
        <w:rPr>
          <w:sz w:val="24"/>
          <w:lang w:val="en-GB"/>
        </w:rPr>
        <w:t xml:space="preserve">, </w:t>
      </w:r>
      <w:r w:rsidR="00273C54" w:rsidRPr="00C976F3">
        <w:rPr>
          <w:sz w:val="24"/>
          <w:lang w:val="en-GB"/>
        </w:rPr>
        <w:t>30</w:t>
      </w:r>
      <w:r w:rsidR="00273C54" w:rsidRPr="00BF4004">
        <w:rPr>
          <w:sz w:val="24"/>
          <w:lang w:val="en-GB"/>
        </w:rPr>
        <w:t>.</w:t>
      </w:r>
      <w:r w:rsidR="00273C54" w:rsidRPr="00C976F3">
        <w:rPr>
          <w:sz w:val="24"/>
          <w:lang w:val="en-GB"/>
        </w:rPr>
        <w:t>6</w:t>
      </w:r>
      <w:r w:rsidR="00273C54" w:rsidRPr="00BF4004">
        <w:rPr>
          <w:sz w:val="24"/>
          <w:lang w:val="en-GB"/>
        </w:rPr>
        <w:t>.</w:t>
      </w:r>
      <w:r w:rsidR="00273C54" w:rsidRPr="00C976F3">
        <w:rPr>
          <w:sz w:val="24"/>
          <w:lang w:val="en-GB"/>
        </w:rPr>
        <w:t>2017</w:t>
      </w:r>
      <w:r w:rsidR="00273C54" w:rsidRPr="00BF4004">
        <w:rPr>
          <w:sz w:val="24"/>
          <w:lang w:val="en-GB"/>
        </w:rPr>
        <w:t xml:space="preserve">, </w:t>
      </w:r>
      <w:r w:rsidR="00273C54">
        <w:rPr>
          <w:sz w:val="24"/>
          <w:lang w:val="en-GB"/>
        </w:rPr>
        <w:t>s</w:t>
      </w:r>
      <w:r w:rsidR="00273C54" w:rsidRPr="00BF4004">
        <w:rPr>
          <w:sz w:val="24"/>
          <w:lang w:val="en-GB"/>
        </w:rPr>
        <w:t xml:space="preserve">. </w:t>
      </w:r>
      <w:r w:rsidR="00273C54" w:rsidRPr="00C976F3">
        <w:rPr>
          <w:sz w:val="24"/>
          <w:lang w:val="en-GB"/>
        </w:rPr>
        <w:t>67</w:t>
      </w:r>
      <w:r w:rsidRPr="0035186E">
        <w:rPr>
          <w:sz w:val="24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B17329C"/>
    <w:multiLevelType w:val="hybridMultilevel"/>
    <w:tmpl w:val="71ECF194"/>
    <w:lvl w:ilvl="0" w:tplc="CE8AFC8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801475"/>
    <w:multiLevelType w:val="multilevel"/>
    <w:tmpl w:val="9F9A5336"/>
    <w:styleLink w:val="NumbLstBTBullet"/>
    <w:lvl w:ilvl="0">
      <w:start w:val="1"/>
      <w:numFmt w:val="bullet"/>
      <w:pStyle w:val="BTBullet1"/>
      <w:lvlText w:val="■"/>
      <w:lvlJc w:val="left"/>
      <w:pPr>
        <w:tabs>
          <w:tab w:val="num" w:pos="1191"/>
        </w:tabs>
        <w:ind w:left="1191" w:hanging="340"/>
      </w:pPr>
      <w:rPr>
        <w:rFonts w:ascii="Arial" w:hAnsi="Arial" w:cs="Times New Roman" w:hint="default"/>
        <w:color w:val="0067AC"/>
      </w:rPr>
    </w:lvl>
    <w:lvl w:ilvl="1">
      <w:start w:val="1"/>
      <w:numFmt w:val="bullet"/>
      <w:pStyle w:val="BTBullet2"/>
      <w:lvlText w:val="–"/>
      <w:lvlJc w:val="left"/>
      <w:pPr>
        <w:tabs>
          <w:tab w:val="num" w:pos="1531"/>
        </w:tabs>
        <w:ind w:left="1531" w:hanging="340"/>
      </w:pPr>
      <w:rPr>
        <w:rFonts w:ascii="Arial" w:hAnsi="Arial" w:cs="Times New Roman" w:hint="default"/>
        <w:color w:val="0067AC"/>
      </w:rPr>
    </w:lvl>
    <w:lvl w:ilvl="2">
      <w:start w:val="1"/>
      <w:numFmt w:val="bullet"/>
      <w:pStyle w:val="BTBullet3"/>
      <w:lvlText w:val="○"/>
      <w:lvlJc w:val="left"/>
      <w:pPr>
        <w:tabs>
          <w:tab w:val="num" w:pos="1871"/>
        </w:tabs>
        <w:ind w:left="1871" w:hanging="340"/>
      </w:pPr>
      <w:rPr>
        <w:rFonts w:ascii="Arial" w:hAnsi="Arial" w:cs="Times New Roman" w:hint="default"/>
        <w:color w:val="0067AC"/>
      </w:rPr>
    </w:lvl>
    <w:lvl w:ilvl="3">
      <w:start w:val="1"/>
      <w:numFmt w:val="none"/>
      <w:suff w:val="nothing"/>
      <w:lvlText w:val=""/>
      <w:lvlJc w:val="left"/>
      <w:pPr>
        <w:ind w:left="1871" w:firstLine="0"/>
      </w:pPr>
    </w:lvl>
    <w:lvl w:ilvl="4">
      <w:start w:val="1"/>
      <w:numFmt w:val="none"/>
      <w:suff w:val="nothing"/>
      <w:lvlText w:val=""/>
      <w:lvlJc w:val="left"/>
      <w:pPr>
        <w:ind w:left="1871" w:firstLine="0"/>
      </w:pPr>
    </w:lvl>
    <w:lvl w:ilvl="5">
      <w:start w:val="1"/>
      <w:numFmt w:val="none"/>
      <w:suff w:val="nothing"/>
      <w:lvlText w:val=""/>
      <w:lvlJc w:val="left"/>
      <w:pPr>
        <w:ind w:left="1871" w:firstLine="0"/>
      </w:pPr>
    </w:lvl>
    <w:lvl w:ilvl="6">
      <w:start w:val="1"/>
      <w:numFmt w:val="none"/>
      <w:suff w:val="nothing"/>
      <w:lvlText w:val=""/>
      <w:lvlJc w:val="left"/>
      <w:pPr>
        <w:ind w:left="1871" w:firstLine="0"/>
      </w:pPr>
    </w:lvl>
    <w:lvl w:ilvl="7">
      <w:start w:val="1"/>
      <w:numFmt w:val="none"/>
      <w:suff w:val="nothing"/>
      <w:lvlText w:val=""/>
      <w:lvlJc w:val="left"/>
      <w:pPr>
        <w:ind w:left="1871" w:firstLine="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3"/>
  </w:num>
  <w:num w:numId="3">
    <w:abstractNumId w:val="26"/>
  </w:num>
  <w:num w:numId="4">
    <w:abstractNumId w:val="1"/>
  </w:num>
  <w:num w:numId="5">
    <w:abstractNumId w:val="27"/>
  </w:num>
  <w:num w:numId="6">
    <w:abstractNumId w:val="22"/>
  </w:num>
  <w:num w:numId="7">
    <w:abstractNumId w:val="3"/>
  </w:num>
  <w:num w:numId="8">
    <w:abstractNumId w:val="29"/>
  </w:num>
  <w:num w:numId="9">
    <w:abstractNumId w:val="31"/>
  </w:num>
  <w:num w:numId="10">
    <w:abstractNumId w:val="19"/>
  </w:num>
  <w:num w:numId="11">
    <w:abstractNumId w:val="28"/>
  </w:num>
  <w:num w:numId="12">
    <w:abstractNumId w:val="23"/>
  </w:num>
  <w:num w:numId="13">
    <w:abstractNumId w:val="17"/>
  </w:num>
  <w:num w:numId="14">
    <w:abstractNumId w:val="8"/>
  </w:num>
  <w:num w:numId="15">
    <w:abstractNumId w:val="6"/>
  </w:num>
  <w:num w:numId="16">
    <w:abstractNumId w:val="25"/>
  </w:num>
  <w:num w:numId="17">
    <w:abstractNumId w:val="30"/>
  </w:num>
  <w:num w:numId="18">
    <w:abstractNumId w:val="0"/>
  </w:num>
  <w:num w:numId="19">
    <w:abstractNumId w:val="10"/>
  </w:num>
  <w:num w:numId="20">
    <w:abstractNumId w:val="5"/>
  </w:num>
  <w:num w:numId="21">
    <w:abstractNumId w:val="11"/>
  </w:num>
  <w:num w:numId="22">
    <w:abstractNumId w:val="20"/>
  </w:num>
  <w:num w:numId="23">
    <w:abstractNumId w:val="14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</w:num>
  <w:num w:numId="27">
    <w:abstractNumId w:val="32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21"/>
  </w:num>
  <w:num w:numId="30">
    <w:abstractNumId w:val="15"/>
  </w:num>
  <w:num w:numId="31">
    <w:abstractNumId w:val="12"/>
  </w:num>
  <w:num w:numId="32">
    <w:abstractNumId w:val="16"/>
  </w:num>
  <w:num w:numId="33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245/2017"/>
    <w:docVar w:name="dvlangue" w:val="CS"/>
    <w:docVar w:name="dvnumam" w:val="194"/>
    <w:docVar w:name="dvpe" w:val="599.799"/>
    <w:docVar w:name="dvrapporteur" w:val="Zpravodajka: "/>
    <w:docVar w:name="dvstar" w:val="***I"/>
    <w:docVar w:name="dvtitre" w:val="Legislativní usnesení Evropského parlamentu ze dne 10. dubna 2024 o návrhu nařízení Evropského parlamentu a Rady o normách, které musí splňovat státní příslušníci třetích zemí nebo osoby bez státní příslušnosti, aby mohli požívat mezinárodní ochrany, o jednotném statusu pro uprchlíky nebo osoby, které mají nárok na doplňkovou ochranu, a o obsahu poskytnuté ochrany a o změně směrnice Rady 2003/109/ES ze dne 25. listopadu 2003 o právním postavení státních příslušníků třetích zemí, kteří jsou dlouhodobě pobývajícími rezidenty(COM(2016)0466 – C8-0324/2016 – 2016/0223(COD))"/>
  </w:docVars>
  <w:rsids>
    <w:rsidRoot w:val="00DA4207"/>
    <w:rsid w:val="00002272"/>
    <w:rsid w:val="0001389C"/>
    <w:rsid w:val="00045CCD"/>
    <w:rsid w:val="00064002"/>
    <w:rsid w:val="000677B9"/>
    <w:rsid w:val="00073930"/>
    <w:rsid w:val="000831BA"/>
    <w:rsid w:val="000A42CC"/>
    <w:rsid w:val="000C01F5"/>
    <w:rsid w:val="000E7DD9"/>
    <w:rsid w:val="0010095E"/>
    <w:rsid w:val="00125B37"/>
    <w:rsid w:val="00187494"/>
    <w:rsid w:val="001F32AE"/>
    <w:rsid w:val="0022399B"/>
    <w:rsid w:val="00244167"/>
    <w:rsid w:val="00273C54"/>
    <w:rsid w:val="002767FF"/>
    <w:rsid w:val="002B18FE"/>
    <w:rsid w:val="002B5493"/>
    <w:rsid w:val="00343214"/>
    <w:rsid w:val="003435A0"/>
    <w:rsid w:val="0035186E"/>
    <w:rsid w:val="00361C00"/>
    <w:rsid w:val="003877DB"/>
    <w:rsid w:val="00395FA1"/>
    <w:rsid w:val="003E15D4"/>
    <w:rsid w:val="00411CCE"/>
    <w:rsid w:val="0041666E"/>
    <w:rsid w:val="00421060"/>
    <w:rsid w:val="00471C19"/>
    <w:rsid w:val="00475876"/>
    <w:rsid w:val="00483DD8"/>
    <w:rsid w:val="004867E3"/>
    <w:rsid w:val="00494A28"/>
    <w:rsid w:val="004A7500"/>
    <w:rsid w:val="004C0004"/>
    <w:rsid w:val="004C5D52"/>
    <w:rsid w:val="0050519A"/>
    <w:rsid w:val="005072A1"/>
    <w:rsid w:val="00514517"/>
    <w:rsid w:val="00545827"/>
    <w:rsid w:val="00560270"/>
    <w:rsid w:val="005C2568"/>
    <w:rsid w:val="005F71C2"/>
    <w:rsid w:val="006037C0"/>
    <w:rsid w:val="006631B6"/>
    <w:rsid w:val="00680577"/>
    <w:rsid w:val="006F6342"/>
    <w:rsid w:val="006F74FA"/>
    <w:rsid w:val="00731ADD"/>
    <w:rsid w:val="00734777"/>
    <w:rsid w:val="00747932"/>
    <w:rsid w:val="00751A4A"/>
    <w:rsid w:val="00756632"/>
    <w:rsid w:val="00762C74"/>
    <w:rsid w:val="00786EC0"/>
    <w:rsid w:val="007A1BEB"/>
    <w:rsid w:val="007D1690"/>
    <w:rsid w:val="007E22AD"/>
    <w:rsid w:val="00817416"/>
    <w:rsid w:val="00842779"/>
    <w:rsid w:val="008646CD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2004"/>
    <w:rsid w:val="00981893"/>
    <w:rsid w:val="00A1687D"/>
    <w:rsid w:val="00A43E52"/>
    <w:rsid w:val="00A4678D"/>
    <w:rsid w:val="00A62E59"/>
    <w:rsid w:val="00A72555"/>
    <w:rsid w:val="00A778C7"/>
    <w:rsid w:val="00AB441E"/>
    <w:rsid w:val="00AB6293"/>
    <w:rsid w:val="00AD62DC"/>
    <w:rsid w:val="00AE0928"/>
    <w:rsid w:val="00AF3B82"/>
    <w:rsid w:val="00B12E95"/>
    <w:rsid w:val="00B22876"/>
    <w:rsid w:val="00B558F0"/>
    <w:rsid w:val="00B74A09"/>
    <w:rsid w:val="00BD48FE"/>
    <w:rsid w:val="00BD7BD8"/>
    <w:rsid w:val="00BE6ADC"/>
    <w:rsid w:val="00BF4004"/>
    <w:rsid w:val="00C05BFE"/>
    <w:rsid w:val="00C23CD4"/>
    <w:rsid w:val="00C46070"/>
    <w:rsid w:val="00C61C0C"/>
    <w:rsid w:val="00C941CB"/>
    <w:rsid w:val="00C976F3"/>
    <w:rsid w:val="00CC2357"/>
    <w:rsid w:val="00CF071A"/>
    <w:rsid w:val="00D058B8"/>
    <w:rsid w:val="00D472DD"/>
    <w:rsid w:val="00D56C11"/>
    <w:rsid w:val="00D77DEF"/>
    <w:rsid w:val="00D834A0"/>
    <w:rsid w:val="00D872DF"/>
    <w:rsid w:val="00D91E21"/>
    <w:rsid w:val="00DA4207"/>
    <w:rsid w:val="00DA7FCD"/>
    <w:rsid w:val="00E365E1"/>
    <w:rsid w:val="00E53DFE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51A4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E7F23"/>
  <w15:chartTrackingRefBased/>
  <w15:docId w15:val="{CE64BD94-DCA3-463F-AB3B-0667725D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435A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435A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435A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435A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3435A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3435A0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rsid w:val="003435A0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rsid w:val="003435A0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rsid w:val="003435A0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3435A0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3435A0"/>
    <w:pPr>
      <w:tabs>
        <w:tab w:val="center" w:pos="4535"/>
        <w:tab w:val="right" w:pos="9071"/>
      </w:tabs>
      <w:spacing w:before="240" w:after="240"/>
    </w:pPr>
    <w:rPr>
      <w:sz w:val="22"/>
      <w:lang w:eastAsia="cs-CZ" w:bidi="cs-CZ"/>
    </w:rPr>
  </w:style>
  <w:style w:type="character" w:customStyle="1" w:styleId="FooterChar">
    <w:name w:val="Footer Char"/>
    <w:basedOn w:val="DefaultParagraphFont"/>
    <w:link w:val="Footer"/>
    <w:uiPriority w:val="99"/>
    <w:rsid w:val="003435A0"/>
    <w:rPr>
      <w:sz w:val="22"/>
      <w:lang w:val="cs-CZ" w:eastAsia="cs-CZ" w:bidi="cs-CZ"/>
    </w:rPr>
  </w:style>
  <w:style w:type="paragraph" w:customStyle="1" w:styleId="Normal12a12b">
    <w:name w:val="Normal12a12b"/>
    <w:basedOn w:val="Normal"/>
    <w:rsid w:val="003435A0"/>
    <w:pPr>
      <w:spacing w:before="240" w:after="240"/>
    </w:pPr>
    <w:rPr>
      <w:lang w:eastAsia="cs-CZ" w:bidi="cs-CZ"/>
    </w:rPr>
  </w:style>
  <w:style w:type="paragraph" w:customStyle="1" w:styleId="Footer2">
    <w:name w:val="Footer2"/>
    <w:basedOn w:val="Normal"/>
    <w:rsid w:val="003435A0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cs-CZ" w:bidi="cs-CZ"/>
    </w:rPr>
  </w:style>
  <w:style w:type="paragraph" w:customStyle="1" w:styleId="Normal12">
    <w:name w:val="Normal12"/>
    <w:basedOn w:val="Normal"/>
    <w:link w:val="Normal12Char"/>
    <w:qFormat/>
    <w:rsid w:val="003435A0"/>
    <w:pPr>
      <w:spacing w:after="240"/>
    </w:pPr>
    <w:rPr>
      <w:lang w:eastAsia="cs-CZ" w:bidi="cs-CZ"/>
    </w:rPr>
  </w:style>
  <w:style w:type="character" w:customStyle="1" w:styleId="Normal12Char">
    <w:name w:val="Normal12 Char"/>
    <w:link w:val="Normal12"/>
    <w:locked/>
    <w:rsid w:val="003435A0"/>
    <w:rPr>
      <w:sz w:val="24"/>
      <w:lang w:val="cs-CZ" w:eastAsia="cs-CZ" w:bidi="cs-CZ"/>
    </w:rPr>
  </w:style>
  <w:style w:type="paragraph" w:customStyle="1" w:styleId="TOCPage">
    <w:name w:val="TOC Page"/>
    <w:basedOn w:val="Normal12"/>
    <w:next w:val="TOC1"/>
    <w:rsid w:val="003435A0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3435A0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3435A0"/>
    <w:pPr>
      <w:spacing w:after="120"/>
    </w:pPr>
    <w:rPr>
      <w:lang w:eastAsia="cs-CZ" w:bidi="cs-CZ"/>
    </w:rPr>
  </w:style>
  <w:style w:type="character" w:customStyle="1" w:styleId="Normal6Char">
    <w:name w:val="Normal6 Char"/>
    <w:link w:val="Normal6"/>
    <w:rsid w:val="003435A0"/>
    <w:rPr>
      <w:sz w:val="24"/>
      <w:lang w:val="cs-CZ" w:eastAsia="cs-CZ" w:bidi="cs-CZ"/>
    </w:rPr>
  </w:style>
  <w:style w:type="paragraph" w:customStyle="1" w:styleId="PageHeading">
    <w:name w:val="PageHeading"/>
    <w:basedOn w:val="Normal12a12b"/>
    <w:rsid w:val="003435A0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3435A0"/>
    <w:rPr>
      <w:b/>
      <w:lang w:eastAsia="cs-CZ" w:bidi="cs-CZ"/>
    </w:rPr>
  </w:style>
  <w:style w:type="character" w:customStyle="1" w:styleId="NormalBoldChar">
    <w:name w:val="NormalBold Char"/>
    <w:link w:val="NormalBold"/>
    <w:rsid w:val="003435A0"/>
    <w:rPr>
      <w:b/>
      <w:sz w:val="24"/>
      <w:lang w:val="cs-CZ" w:eastAsia="cs-CZ" w:bidi="cs-CZ"/>
    </w:rPr>
  </w:style>
  <w:style w:type="paragraph" w:customStyle="1" w:styleId="Normal12Bold">
    <w:name w:val="Normal12Bold"/>
    <w:basedOn w:val="Normal12"/>
    <w:rsid w:val="003435A0"/>
    <w:rPr>
      <w:b/>
    </w:rPr>
  </w:style>
  <w:style w:type="paragraph" w:customStyle="1" w:styleId="Normal12Italic">
    <w:name w:val="Normal12Italic"/>
    <w:basedOn w:val="Normal"/>
    <w:rsid w:val="003435A0"/>
    <w:pPr>
      <w:spacing w:before="240"/>
    </w:pPr>
    <w:rPr>
      <w:i/>
      <w:lang w:eastAsia="cs-CZ" w:bidi="cs-CZ"/>
    </w:rPr>
  </w:style>
  <w:style w:type="paragraph" w:customStyle="1" w:styleId="Normal12Hanging">
    <w:name w:val="Normal12Hanging"/>
    <w:basedOn w:val="Normal12"/>
    <w:rsid w:val="003435A0"/>
    <w:pPr>
      <w:ind w:left="567" w:hanging="567"/>
    </w:pPr>
  </w:style>
  <w:style w:type="paragraph" w:customStyle="1" w:styleId="Normal24">
    <w:name w:val="Normal24"/>
    <w:basedOn w:val="Normal"/>
    <w:rsid w:val="003435A0"/>
    <w:pPr>
      <w:spacing w:after="480"/>
    </w:pPr>
    <w:rPr>
      <w:lang w:eastAsia="cs-CZ" w:bidi="cs-CZ"/>
    </w:rPr>
  </w:style>
  <w:style w:type="paragraph" w:customStyle="1" w:styleId="Cover24">
    <w:name w:val="Cover24"/>
    <w:basedOn w:val="Normal24"/>
    <w:rsid w:val="003435A0"/>
    <w:pPr>
      <w:ind w:left="1418"/>
    </w:pPr>
  </w:style>
  <w:style w:type="paragraph" w:customStyle="1" w:styleId="CoverNormal">
    <w:name w:val="CoverNormal"/>
    <w:basedOn w:val="Normal"/>
    <w:rsid w:val="003435A0"/>
    <w:pPr>
      <w:ind w:left="1418"/>
    </w:pPr>
    <w:rPr>
      <w:lang w:eastAsia="cs-CZ" w:bidi="cs-CZ"/>
    </w:rPr>
  </w:style>
  <w:style w:type="paragraph" w:customStyle="1" w:styleId="CrossRef">
    <w:name w:val="CrossRef"/>
    <w:basedOn w:val="Normal"/>
    <w:rsid w:val="003435A0"/>
    <w:pPr>
      <w:spacing w:before="240"/>
      <w:jc w:val="center"/>
    </w:pPr>
    <w:rPr>
      <w:i/>
      <w:lang w:eastAsia="cs-CZ" w:bidi="cs-CZ"/>
    </w:rPr>
  </w:style>
  <w:style w:type="paragraph" w:customStyle="1" w:styleId="JustificationTitle">
    <w:name w:val="JustificationTitle"/>
    <w:basedOn w:val="Normal"/>
    <w:next w:val="Normal12"/>
    <w:rsid w:val="003435A0"/>
    <w:pPr>
      <w:keepNext/>
      <w:spacing w:before="240"/>
      <w:jc w:val="center"/>
    </w:pPr>
    <w:rPr>
      <w:i/>
      <w:lang w:eastAsia="cs-CZ" w:bidi="cs-CZ"/>
    </w:rPr>
  </w:style>
  <w:style w:type="paragraph" w:customStyle="1" w:styleId="Normal12Centre">
    <w:name w:val="Normal12Centre"/>
    <w:basedOn w:val="Normal12"/>
    <w:rsid w:val="003435A0"/>
    <w:pPr>
      <w:jc w:val="center"/>
    </w:pPr>
  </w:style>
  <w:style w:type="paragraph" w:customStyle="1" w:styleId="Normal12Keep">
    <w:name w:val="Normal12Keep"/>
    <w:basedOn w:val="Normal12"/>
    <w:rsid w:val="003435A0"/>
    <w:pPr>
      <w:keepNext/>
    </w:pPr>
  </w:style>
  <w:style w:type="paragraph" w:customStyle="1" w:styleId="Normal12Tab">
    <w:name w:val="Normal12Tab"/>
    <w:basedOn w:val="Normal12"/>
    <w:rsid w:val="003435A0"/>
    <w:pPr>
      <w:tabs>
        <w:tab w:val="left" w:pos="567"/>
      </w:tabs>
    </w:pPr>
  </w:style>
  <w:style w:type="paragraph" w:customStyle="1" w:styleId="RefProc">
    <w:name w:val="RefProc"/>
    <w:basedOn w:val="Normal"/>
    <w:rsid w:val="003435A0"/>
    <w:pPr>
      <w:spacing w:before="240" w:after="240"/>
      <w:jc w:val="right"/>
    </w:pPr>
    <w:rPr>
      <w:rFonts w:ascii="Arial" w:hAnsi="Arial"/>
      <w:b/>
      <w:caps/>
      <w:lang w:eastAsia="cs-CZ" w:bidi="cs-CZ"/>
    </w:rPr>
  </w:style>
  <w:style w:type="paragraph" w:customStyle="1" w:styleId="StarsAndIs">
    <w:name w:val="StarsAndIs"/>
    <w:basedOn w:val="Normal"/>
    <w:rsid w:val="003435A0"/>
    <w:pPr>
      <w:ind w:left="1418"/>
    </w:pPr>
    <w:rPr>
      <w:rFonts w:ascii="Arial" w:hAnsi="Arial"/>
      <w:b/>
      <w:sz w:val="48"/>
      <w:lang w:eastAsia="cs-CZ" w:bidi="cs-CZ"/>
    </w:rPr>
  </w:style>
  <w:style w:type="paragraph" w:customStyle="1" w:styleId="Lgendesigne">
    <w:name w:val="Légende signe"/>
    <w:basedOn w:val="Normal"/>
    <w:rsid w:val="003435A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cs-CZ" w:bidi="cs-CZ"/>
    </w:rPr>
  </w:style>
  <w:style w:type="paragraph" w:customStyle="1" w:styleId="TypeDoc">
    <w:name w:val="TypeDoc"/>
    <w:basedOn w:val="Normal24"/>
    <w:rsid w:val="003435A0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3435A0"/>
    <w:pPr>
      <w:spacing w:after="1200"/>
    </w:pPr>
    <w:rPr>
      <w:lang w:eastAsia="cs-CZ" w:bidi="cs-CZ"/>
    </w:rPr>
  </w:style>
  <w:style w:type="paragraph" w:styleId="Header">
    <w:name w:val="header"/>
    <w:basedOn w:val="Normal"/>
    <w:link w:val="HeaderChar"/>
    <w:uiPriority w:val="99"/>
    <w:rsid w:val="003435A0"/>
    <w:pPr>
      <w:tabs>
        <w:tab w:val="center" w:pos="4153"/>
        <w:tab w:val="right" w:pos="8306"/>
      </w:tabs>
    </w:pPr>
    <w:rPr>
      <w:lang w:eastAsia="cs-CZ" w:bidi="cs-CZ"/>
    </w:rPr>
  </w:style>
  <w:style w:type="character" w:customStyle="1" w:styleId="HeaderChar">
    <w:name w:val="Header Char"/>
    <w:basedOn w:val="DefaultParagraphFont"/>
    <w:link w:val="Header"/>
    <w:uiPriority w:val="99"/>
    <w:rsid w:val="003435A0"/>
    <w:rPr>
      <w:sz w:val="24"/>
      <w:lang w:val="cs-CZ" w:eastAsia="cs-CZ" w:bidi="cs-CZ"/>
    </w:rPr>
  </w:style>
  <w:style w:type="paragraph" w:customStyle="1" w:styleId="Olang">
    <w:name w:val="Olang"/>
    <w:basedOn w:val="Normal"/>
    <w:rsid w:val="003435A0"/>
    <w:pPr>
      <w:spacing w:before="240" w:after="240"/>
      <w:jc w:val="right"/>
    </w:pPr>
    <w:rPr>
      <w:noProof/>
      <w:lang w:eastAsia="cs-CZ" w:bidi="cs-CZ"/>
    </w:rPr>
  </w:style>
  <w:style w:type="paragraph" w:customStyle="1" w:styleId="ColumnHeading">
    <w:name w:val="ColumnHeading"/>
    <w:basedOn w:val="Normal"/>
    <w:rsid w:val="003435A0"/>
    <w:pPr>
      <w:spacing w:after="240"/>
      <w:jc w:val="center"/>
    </w:pPr>
    <w:rPr>
      <w:i/>
      <w:lang w:eastAsia="cs-CZ" w:bidi="cs-CZ"/>
    </w:rPr>
  </w:style>
  <w:style w:type="paragraph" w:customStyle="1" w:styleId="AMNumberTabs">
    <w:name w:val="AMNumberTabs"/>
    <w:basedOn w:val="Normal"/>
    <w:rsid w:val="003435A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cs-CZ" w:bidi="cs-CZ"/>
    </w:rPr>
  </w:style>
  <w:style w:type="paragraph" w:customStyle="1" w:styleId="NormalBold12b">
    <w:name w:val="NormalBold12b"/>
    <w:basedOn w:val="Normal"/>
    <w:rsid w:val="003435A0"/>
    <w:pPr>
      <w:spacing w:before="240"/>
    </w:pPr>
    <w:rPr>
      <w:b/>
      <w:lang w:eastAsia="cs-CZ" w:bidi="cs-CZ"/>
    </w:rPr>
  </w:style>
  <w:style w:type="paragraph" w:customStyle="1" w:styleId="ZCommittee">
    <w:name w:val="ZCommittee"/>
    <w:basedOn w:val="Normal"/>
    <w:next w:val="Normal"/>
    <w:rsid w:val="003435A0"/>
    <w:pPr>
      <w:jc w:val="center"/>
    </w:pPr>
    <w:rPr>
      <w:rFonts w:ascii="Arial" w:hAnsi="Arial" w:cs="Arial"/>
      <w:i/>
      <w:sz w:val="22"/>
      <w:szCs w:val="22"/>
      <w:lang w:eastAsia="cs-CZ" w:bidi="cs-CZ"/>
    </w:rPr>
  </w:style>
  <w:style w:type="paragraph" w:customStyle="1" w:styleId="Lgendetitre">
    <w:name w:val="Légende titre"/>
    <w:basedOn w:val="Normal"/>
    <w:rsid w:val="003435A0"/>
    <w:pPr>
      <w:spacing w:before="240" w:after="240"/>
    </w:pPr>
    <w:rPr>
      <w:b/>
      <w:i/>
      <w:snapToGrid w:val="0"/>
      <w:lang w:eastAsia="cs-CZ" w:bidi="cs-CZ"/>
    </w:rPr>
  </w:style>
  <w:style w:type="paragraph" w:customStyle="1" w:styleId="Lgendestandard">
    <w:name w:val="Légende standard"/>
    <w:basedOn w:val="Lgendesigne"/>
    <w:rsid w:val="003435A0"/>
    <w:pPr>
      <w:ind w:left="0" w:firstLine="0"/>
    </w:pPr>
  </w:style>
  <w:style w:type="paragraph" w:customStyle="1" w:styleId="CommitteeAM">
    <w:name w:val="CommitteeAM"/>
    <w:basedOn w:val="Normal"/>
    <w:rsid w:val="003435A0"/>
    <w:pPr>
      <w:spacing w:before="240" w:after="600"/>
      <w:jc w:val="center"/>
    </w:pPr>
    <w:rPr>
      <w:i/>
      <w:lang w:eastAsia="cs-CZ" w:bidi="cs-CZ"/>
    </w:rPr>
  </w:style>
  <w:style w:type="paragraph" w:customStyle="1" w:styleId="ZDateAM">
    <w:name w:val="ZDateAM"/>
    <w:basedOn w:val="Normal"/>
    <w:rsid w:val="003435A0"/>
    <w:pPr>
      <w:tabs>
        <w:tab w:val="right" w:pos="9356"/>
      </w:tabs>
      <w:spacing w:after="480"/>
    </w:pPr>
    <w:rPr>
      <w:noProof/>
      <w:lang w:eastAsia="cs-CZ" w:bidi="cs-CZ"/>
    </w:rPr>
  </w:style>
  <w:style w:type="paragraph" w:customStyle="1" w:styleId="ProjRap">
    <w:name w:val="ProjRap"/>
    <w:basedOn w:val="Normal"/>
    <w:rsid w:val="003435A0"/>
    <w:pPr>
      <w:tabs>
        <w:tab w:val="right" w:pos="9356"/>
      </w:tabs>
    </w:pPr>
    <w:rPr>
      <w:b/>
      <w:noProof/>
      <w:lang w:eastAsia="cs-CZ" w:bidi="cs-CZ"/>
    </w:rPr>
  </w:style>
  <w:style w:type="paragraph" w:customStyle="1" w:styleId="PELeft">
    <w:name w:val="PELeft"/>
    <w:basedOn w:val="Normal"/>
    <w:rsid w:val="003435A0"/>
    <w:pPr>
      <w:spacing w:before="40" w:after="40"/>
    </w:pPr>
    <w:rPr>
      <w:rFonts w:ascii="Arial" w:hAnsi="Arial" w:cs="Arial"/>
      <w:sz w:val="22"/>
      <w:szCs w:val="22"/>
      <w:lang w:eastAsia="cs-CZ" w:bidi="cs-CZ"/>
    </w:rPr>
  </w:style>
  <w:style w:type="paragraph" w:customStyle="1" w:styleId="PERight">
    <w:name w:val="PERight"/>
    <w:basedOn w:val="Normal"/>
    <w:next w:val="Normal"/>
    <w:rsid w:val="003435A0"/>
    <w:pPr>
      <w:jc w:val="right"/>
    </w:pPr>
    <w:rPr>
      <w:rFonts w:ascii="Arial" w:hAnsi="Arial" w:cs="Arial"/>
      <w:sz w:val="22"/>
      <w:szCs w:val="22"/>
      <w:lang w:eastAsia="cs-CZ" w:bidi="cs-CZ"/>
    </w:rPr>
  </w:style>
  <w:style w:type="character" w:customStyle="1" w:styleId="Footer2Middle">
    <w:name w:val="Footer2Middle"/>
    <w:rsid w:val="003435A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3435A0"/>
    <w:pPr>
      <w:jc w:val="center"/>
    </w:pPr>
    <w:rPr>
      <w:sz w:val="56"/>
    </w:rPr>
  </w:style>
  <w:style w:type="paragraph" w:styleId="BalloonText">
    <w:name w:val="Balloon Text"/>
    <w:basedOn w:val="Normal"/>
    <w:link w:val="BalloonTextChar"/>
    <w:uiPriority w:val="99"/>
    <w:rsid w:val="003435A0"/>
    <w:rPr>
      <w:rFonts w:ascii="Segoe UI" w:hAnsi="Segoe UI" w:cs="Segoe UI"/>
      <w:sz w:val="18"/>
      <w:szCs w:val="18"/>
      <w:lang w:eastAsia="cs-CZ" w:bidi="cs-CZ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435A0"/>
    <w:rPr>
      <w:rFonts w:ascii="Segoe UI" w:hAnsi="Segoe UI" w:cs="Segoe UI"/>
      <w:sz w:val="18"/>
      <w:szCs w:val="18"/>
      <w:lang w:val="cs-CZ" w:eastAsia="cs-CZ" w:bidi="cs-CZ"/>
    </w:rPr>
  </w:style>
  <w:style w:type="character" w:styleId="CommentReference">
    <w:name w:val="annotation reference"/>
    <w:basedOn w:val="DefaultParagraphFont"/>
    <w:uiPriority w:val="99"/>
    <w:unhideWhenUsed/>
    <w:rsid w:val="003435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435A0"/>
    <w:rPr>
      <w:sz w:val="20"/>
      <w:lang w:eastAsia="cs-CZ" w:bidi="cs-C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5A0"/>
    <w:rPr>
      <w:lang w:val="cs-CZ" w:eastAsia="cs-CZ" w:bidi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43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435A0"/>
    <w:rPr>
      <w:b/>
      <w:bCs/>
      <w:lang w:val="cs-CZ" w:eastAsia="cs-CZ" w:bidi="cs-CZ"/>
    </w:rPr>
  </w:style>
  <w:style w:type="character" w:customStyle="1" w:styleId="SupBoldItalic">
    <w:name w:val="SupBoldItalic"/>
    <w:rsid w:val="003435A0"/>
    <w:rPr>
      <w:b/>
      <w:i/>
      <w:color w:val="000000"/>
      <w:vertAlign w:val="superscript"/>
    </w:rPr>
  </w:style>
  <w:style w:type="character" w:customStyle="1" w:styleId="Sup">
    <w:name w:val="Sup"/>
    <w:rsid w:val="003435A0"/>
    <w:rPr>
      <w:color w:val="000000"/>
      <w:vertAlign w:val="superscript"/>
    </w:rPr>
  </w:style>
  <w:style w:type="paragraph" w:customStyle="1" w:styleId="PageHeadingNotTOC">
    <w:name w:val="PageHeadingNotTOC"/>
    <w:basedOn w:val="Normal"/>
    <w:rsid w:val="003435A0"/>
    <w:pPr>
      <w:keepNext/>
      <w:spacing w:before="240" w:after="240"/>
      <w:jc w:val="center"/>
    </w:pPr>
    <w:rPr>
      <w:rFonts w:ascii="Arial" w:hAnsi="Arial"/>
      <w:b/>
      <w:lang w:val="en-GB"/>
    </w:rPr>
  </w:style>
  <w:style w:type="paragraph" w:customStyle="1" w:styleId="ConclusionsPA">
    <w:name w:val="ConclusionsPA"/>
    <w:basedOn w:val="Normal12"/>
    <w:rsid w:val="003435A0"/>
    <w:pPr>
      <w:spacing w:before="480"/>
      <w:jc w:val="center"/>
    </w:pPr>
    <w:rPr>
      <w:rFonts w:ascii="Arial" w:hAnsi="Arial"/>
      <w:b/>
      <w:caps/>
      <w:snapToGrid w:val="0"/>
      <w:lang w:val="en-US" w:eastAsia="en-US" w:bidi="ar-SA"/>
    </w:rPr>
  </w:style>
  <w:style w:type="paragraph" w:customStyle="1" w:styleId="NormalTabs">
    <w:name w:val="NormalTabs"/>
    <w:basedOn w:val="Normal"/>
    <w:qFormat/>
    <w:rsid w:val="003435A0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customStyle="1" w:styleId="AmDocTypeTab">
    <w:name w:val="AmDocTypeTab"/>
    <w:basedOn w:val="Normal"/>
    <w:rsid w:val="00A72555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A72555"/>
    <w:pPr>
      <w:spacing w:after="240"/>
    </w:pPr>
  </w:style>
  <w:style w:type="paragraph" w:customStyle="1" w:styleId="EPFooter2">
    <w:name w:val="EPFooter2"/>
    <w:basedOn w:val="Normal"/>
    <w:next w:val="Normal"/>
    <w:rsid w:val="00A7255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A72555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A72555"/>
    <w:pPr>
      <w:spacing w:after="240"/>
      <w:jc w:val="center"/>
    </w:pPr>
  </w:style>
  <w:style w:type="paragraph" w:customStyle="1" w:styleId="AmDateTab">
    <w:name w:val="AmDateTab"/>
    <w:basedOn w:val="Normal"/>
    <w:rsid w:val="00A72555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A725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A72555"/>
    <w:pPr>
      <w:spacing w:before="720" w:after="240"/>
      <w:jc w:val="center"/>
    </w:pPr>
  </w:style>
  <w:style w:type="paragraph" w:customStyle="1" w:styleId="EPFooter">
    <w:name w:val="EPFooter"/>
    <w:basedOn w:val="Normal"/>
    <w:rsid w:val="00A7255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A72555"/>
  </w:style>
  <w:style w:type="paragraph" w:customStyle="1" w:styleId="NormalCentered">
    <w:name w:val="Normal Centered"/>
    <w:basedOn w:val="Normal"/>
    <w:rsid w:val="00A72555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A72555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A72555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A7255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A7255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A7255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A7255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72555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A7255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A7255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A72555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A72555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A72555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A72555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A72555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A72555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A72555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A72555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A72555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A72555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A72555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A72555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A72555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A72555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A72555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A72555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A72555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A72555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A72555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A72555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A72555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A72555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A72555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A72555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A72555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A72555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A72555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A72555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A72555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A72555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A72555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A72555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A72555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A72555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A72555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A72555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A72555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A72555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A72555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A72555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A72555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A72555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A72555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A72555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A72555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A7255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72555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A72555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A72555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A72555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A72555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A72555"/>
    <w:pPr>
      <w:jc w:val="center"/>
    </w:pPr>
  </w:style>
  <w:style w:type="paragraph" w:customStyle="1" w:styleId="Jardin">
    <w:name w:val="Jardin"/>
    <w:basedOn w:val="Normal"/>
    <w:rsid w:val="00A72555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A72555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A72555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A72555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A72555"/>
    <w:rPr>
      <w:b/>
    </w:rPr>
  </w:style>
  <w:style w:type="paragraph" w:customStyle="1" w:styleId="Annex">
    <w:name w:val="Annex"/>
    <w:basedOn w:val="Normal"/>
    <w:next w:val="Normal"/>
    <w:rsid w:val="00A72555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A72555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A72555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A7255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A72555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72555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72555"/>
    <w:rPr>
      <w:rFonts w:eastAsia="Calibr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A72555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A72555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72555"/>
    <w:rPr>
      <w:rFonts w:eastAsia="Calibr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72555"/>
    <w:rPr>
      <w:rFonts w:eastAsia="Calibr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A72555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7255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A72555"/>
    <w:rPr>
      <w:rFonts w:ascii="Calibri" w:eastAsia="Calibri" w:hAnsi="Calibri" w:cs="Arial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3tiretlong">
    <w:name w:val="c03tiretlong"/>
    <w:basedOn w:val="Normal"/>
    <w:rsid w:val="00A72555"/>
    <w:pPr>
      <w:widowControl/>
      <w:spacing w:before="100" w:beforeAutospacing="1" w:after="240"/>
      <w:ind w:left="1134" w:hanging="567"/>
      <w:jc w:val="both"/>
    </w:pPr>
    <w:rPr>
      <w:szCs w:val="24"/>
    </w:rPr>
  </w:style>
  <w:style w:type="paragraph" w:customStyle="1" w:styleId="addr">
    <w:name w:val="addr"/>
    <w:basedOn w:val="Normal"/>
    <w:rsid w:val="00A72555"/>
    <w:pPr>
      <w:widowControl/>
      <w:jc w:val="both"/>
    </w:pPr>
    <w:rPr>
      <w:szCs w:val="24"/>
    </w:rPr>
  </w:style>
  <w:style w:type="paragraph" w:customStyle="1" w:styleId="center">
    <w:name w:val="center"/>
    <w:basedOn w:val="Normal"/>
    <w:rsid w:val="00A72555"/>
    <w:pPr>
      <w:widowControl/>
      <w:spacing w:before="120"/>
      <w:jc w:val="center"/>
    </w:pPr>
    <w:rPr>
      <w:szCs w:val="24"/>
    </w:rPr>
  </w:style>
  <w:style w:type="paragraph" w:customStyle="1" w:styleId="doc-ti">
    <w:name w:val="doc-ti"/>
    <w:basedOn w:val="Normal"/>
    <w:rsid w:val="00A72555"/>
    <w:pPr>
      <w:widowControl/>
      <w:spacing w:before="240" w:after="120"/>
      <w:jc w:val="center"/>
    </w:pPr>
    <w:rPr>
      <w:b/>
      <w:bCs/>
      <w:szCs w:val="24"/>
    </w:rPr>
  </w:style>
  <w:style w:type="paragraph" w:customStyle="1" w:styleId="edition">
    <w:name w:val="edition"/>
    <w:basedOn w:val="Normal"/>
    <w:rsid w:val="00A72555"/>
    <w:pPr>
      <w:widowControl/>
      <w:spacing w:before="120" w:after="120"/>
    </w:pPr>
    <w:rPr>
      <w:szCs w:val="24"/>
    </w:rPr>
  </w:style>
  <w:style w:type="paragraph" w:customStyle="1" w:styleId="hd-date">
    <w:name w:val="hd-date"/>
    <w:basedOn w:val="Normal"/>
    <w:rsid w:val="00A72555"/>
    <w:pPr>
      <w:widowControl/>
      <w:spacing w:before="120" w:after="120"/>
    </w:pPr>
    <w:rPr>
      <w:szCs w:val="24"/>
    </w:rPr>
  </w:style>
  <w:style w:type="paragraph" w:customStyle="1" w:styleId="hd-lg">
    <w:name w:val="hd-lg"/>
    <w:basedOn w:val="Normal"/>
    <w:rsid w:val="00A72555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jc w:val="center"/>
    </w:pPr>
    <w:rPr>
      <w:szCs w:val="24"/>
    </w:rPr>
  </w:style>
  <w:style w:type="paragraph" w:customStyle="1" w:styleId="hd-oj">
    <w:name w:val="hd-oj"/>
    <w:basedOn w:val="Normal"/>
    <w:rsid w:val="00A72555"/>
    <w:pPr>
      <w:widowControl/>
      <w:spacing w:before="120" w:after="120"/>
      <w:jc w:val="right"/>
    </w:pPr>
    <w:rPr>
      <w:szCs w:val="24"/>
    </w:rPr>
  </w:style>
  <w:style w:type="paragraph" w:customStyle="1" w:styleId="hd-ti">
    <w:name w:val="hd-ti"/>
    <w:basedOn w:val="Normal"/>
    <w:rsid w:val="00A72555"/>
    <w:pPr>
      <w:widowControl/>
      <w:spacing w:before="120" w:after="120"/>
      <w:jc w:val="center"/>
    </w:pPr>
    <w:rPr>
      <w:szCs w:val="24"/>
    </w:rPr>
  </w:style>
  <w:style w:type="paragraph" w:customStyle="1" w:styleId="image">
    <w:name w:val="image"/>
    <w:basedOn w:val="Normal"/>
    <w:rsid w:val="00A72555"/>
    <w:pPr>
      <w:widowControl/>
      <w:spacing w:before="120" w:after="120"/>
      <w:jc w:val="center"/>
    </w:pPr>
    <w:rPr>
      <w:szCs w:val="24"/>
    </w:rPr>
  </w:style>
  <w:style w:type="paragraph" w:customStyle="1" w:styleId="issn">
    <w:name w:val="issn"/>
    <w:basedOn w:val="Normal"/>
    <w:rsid w:val="00A72555"/>
    <w:pPr>
      <w:widowControl/>
      <w:spacing w:before="240" w:after="120"/>
      <w:jc w:val="right"/>
    </w:pPr>
    <w:rPr>
      <w:sz w:val="19"/>
      <w:szCs w:val="19"/>
    </w:rPr>
  </w:style>
  <w:style w:type="paragraph" w:customStyle="1" w:styleId="lg">
    <w:name w:val="lg"/>
    <w:basedOn w:val="Normal"/>
    <w:rsid w:val="00A72555"/>
    <w:pPr>
      <w:widowControl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pacing w:before="120" w:after="120"/>
      <w:jc w:val="center"/>
    </w:pPr>
    <w:rPr>
      <w:b/>
      <w:bCs/>
      <w:sz w:val="72"/>
      <w:szCs w:val="72"/>
    </w:rPr>
  </w:style>
  <w:style w:type="paragraph" w:customStyle="1" w:styleId="no-doc-c">
    <w:name w:val="no-doc-c"/>
    <w:basedOn w:val="Normal"/>
    <w:rsid w:val="00A72555"/>
    <w:pPr>
      <w:widowControl/>
      <w:spacing w:before="120" w:after="120"/>
      <w:jc w:val="center"/>
    </w:pPr>
    <w:rPr>
      <w:szCs w:val="24"/>
    </w:rPr>
  </w:style>
  <w:style w:type="paragraph" w:customStyle="1" w:styleId="Normal1">
    <w:name w:val="Normal1"/>
    <w:basedOn w:val="Normal"/>
    <w:rsid w:val="00A72555"/>
    <w:pPr>
      <w:widowControl/>
      <w:spacing w:before="120"/>
      <w:jc w:val="both"/>
    </w:pPr>
    <w:rPr>
      <w:szCs w:val="24"/>
    </w:rPr>
  </w:style>
  <w:style w:type="paragraph" w:customStyle="1" w:styleId="note">
    <w:name w:val="note"/>
    <w:basedOn w:val="Normal"/>
    <w:rsid w:val="00A72555"/>
    <w:pPr>
      <w:widowControl/>
      <w:spacing w:before="60" w:after="60"/>
      <w:jc w:val="both"/>
    </w:pPr>
    <w:rPr>
      <w:sz w:val="19"/>
      <w:szCs w:val="19"/>
    </w:rPr>
  </w:style>
  <w:style w:type="paragraph" w:customStyle="1" w:styleId="separator">
    <w:name w:val="separator"/>
    <w:basedOn w:val="Normal"/>
    <w:rsid w:val="00A72555"/>
    <w:pPr>
      <w:widowControl/>
      <w:spacing w:before="120" w:after="120"/>
      <w:jc w:val="center"/>
    </w:pPr>
    <w:rPr>
      <w:szCs w:val="24"/>
    </w:rPr>
  </w:style>
  <w:style w:type="paragraph" w:customStyle="1" w:styleId="signatory">
    <w:name w:val="signatory"/>
    <w:basedOn w:val="Normal"/>
    <w:rsid w:val="00A72555"/>
    <w:pPr>
      <w:widowControl/>
      <w:spacing w:before="60" w:after="60"/>
      <w:jc w:val="center"/>
    </w:pPr>
    <w:rPr>
      <w:szCs w:val="24"/>
    </w:rPr>
  </w:style>
  <w:style w:type="paragraph" w:customStyle="1" w:styleId="sti-art">
    <w:name w:val="sti-art"/>
    <w:basedOn w:val="Normal"/>
    <w:rsid w:val="00A72555"/>
    <w:pPr>
      <w:widowControl/>
      <w:spacing w:before="60" w:after="120"/>
      <w:jc w:val="center"/>
    </w:pPr>
    <w:rPr>
      <w:b/>
      <w:bCs/>
      <w:szCs w:val="24"/>
    </w:rPr>
  </w:style>
  <w:style w:type="paragraph" w:customStyle="1" w:styleId="tbl-cod">
    <w:name w:val="tbl-cod"/>
    <w:basedOn w:val="Normal"/>
    <w:rsid w:val="00A72555"/>
    <w:pPr>
      <w:widowControl/>
      <w:spacing w:before="60" w:after="60"/>
      <w:ind w:right="195"/>
      <w:jc w:val="center"/>
    </w:pPr>
    <w:rPr>
      <w:sz w:val="22"/>
      <w:szCs w:val="22"/>
    </w:rPr>
  </w:style>
  <w:style w:type="paragraph" w:customStyle="1" w:styleId="tbl-hdr">
    <w:name w:val="tbl-hdr"/>
    <w:basedOn w:val="Normal"/>
    <w:rsid w:val="00A72555"/>
    <w:pPr>
      <w:widowControl/>
      <w:spacing w:before="60" w:after="60"/>
      <w:ind w:right="195"/>
      <w:jc w:val="center"/>
    </w:pPr>
    <w:rPr>
      <w:b/>
      <w:bCs/>
      <w:sz w:val="22"/>
      <w:szCs w:val="22"/>
    </w:rPr>
  </w:style>
  <w:style w:type="paragraph" w:customStyle="1" w:styleId="tbl-notcol">
    <w:name w:val="tbl-notcol"/>
    <w:basedOn w:val="Normal"/>
    <w:rsid w:val="00A72555"/>
    <w:pPr>
      <w:widowControl/>
      <w:spacing w:before="60" w:after="60"/>
      <w:jc w:val="right"/>
    </w:pPr>
    <w:rPr>
      <w:sz w:val="22"/>
      <w:szCs w:val="22"/>
    </w:rPr>
  </w:style>
  <w:style w:type="paragraph" w:customStyle="1" w:styleId="tbl-num">
    <w:name w:val="tbl-num"/>
    <w:basedOn w:val="Normal"/>
    <w:rsid w:val="00A72555"/>
    <w:pPr>
      <w:widowControl/>
      <w:spacing w:before="60" w:after="60"/>
      <w:ind w:right="195"/>
      <w:jc w:val="right"/>
    </w:pPr>
    <w:rPr>
      <w:sz w:val="22"/>
      <w:szCs w:val="22"/>
    </w:rPr>
  </w:style>
  <w:style w:type="paragraph" w:customStyle="1" w:styleId="tbl-txt">
    <w:name w:val="tbl-txt"/>
    <w:basedOn w:val="Normal"/>
    <w:rsid w:val="00A72555"/>
    <w:pPr>
      <w:widowControl/>
      <w:spacing w:before="60" w:after="60"/>
    </w:pPr>
    <w:rPr>
      <w:sz w:val="22"/>
      <w:szCs w:val="22"/>
    </w:rPr>
  </w:style>
  <w:style w:type="paragraph" w:customStyle="1" w:styleId="text-l">
    <w:name w:val="text-l"/>
    <w:basedOn w:val="Normal"/>
    <w:rsid w:val="00A72555"/>
    <w:pPr>
      <w:widowControl/>
      <w:spacing w:before="60" w:after="60"/>
      <w:jc w:val="both"/>
    </w:pPr>
    <w:rPr>
      <w:szCs w:val="24"/>
    </w:rPr>
  </w:style>
  <w:style w:type="paragraph" w:customStyle="1" w:styleId="ti-annotation">
    <w:name w:val="ti-annotation"/>
    <w:basedOn w:val="Normal"/>
    <w:rsid w:val="00A72555"/>
    <w:pPr>
      <w:widowControl/>
      <w:spacing w:before="120"/>
    </w:pPr>
    <w:rPr>
      <w:i/>
      <w:iCs/>
      <w:szCs w:val="24"/>
    </w:rPr>
  </w:style>
  <w:style w:type="paragraph" w:customStyle="1" w:styleId="ti-art">
    <w:name w:val="ti-art"/>
    <w:basedOn w:val="Normal"/>
    <w:rsid w:val="00A72555"/>
    <w:pPr>
      <w:widowControl/>
      <w:spacing w:before="360" w:after="120"/>
      <w:jc w:val="center"/>
    </w:pPr>
    <w:rPr>
      <w:i/>
      <w:iCs/>
      <w:szCs w:val="24"/>
    </w:rPr>
  </w:style>
  <w:style w:type="paragraph" w:customStyle="1" w:styleId="ti-coll">
    <w:name w:val="ti-coll"/>
    <w:basedOn w:val="Normal"/>
    <w:rsid w:val="00A72555"/>
    <w:pPr>
      <w:widowControl/>
      <w:spacing w:before="120" w:after="120"/>
    </w:pPr>
    <w:rPr>
      <w:sz w:val="36"/>
      <w:szCs w:val="36"/>
    </w:rPr>
  </w:style>
  <w:style w:type="paragraph" w:customStyle="1" w:styleId="ti-doc-dur">
    <w:name w:val="ti-doc-dur"/>
    <w:basedOn w:val="Normal"/>
    <w:rsid w:val="00A72555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assoc">
    <w:name w:val="ti-doc-dur-assoc"/>
    <w:basedOn w:val="Normal"/>
    <w:rsid w:val="00A72555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num">
    <w:name w:val="ti-doc-dur-num"/>
    <w:basedOn w:val="Normal"/>
    <w:rsid w:val="00A72555"/>
    <w:pPr>
      <w:widowControl/>
      <w:spacing w:before="180"/>
    </w:pPr>
    <w:rPr>
      <w:b/>
      <w:bCs/>
      <w:sz w:val="26"/>
      <w:szCs w:val="26"/>
    </w:rPr>
  </w:style>
  <w:style w:type="paragraph" w:customStyle="1" w:styleId="ti-doc-dur-star">
    <w:name w:val="ti-doc-dur-star"/>
    <w:basedOn w:val="Normal"/>
    <w:rsid w:val="00A72555"/>
    <w:pPr>
      <w:widowControl/>
      <w:spacing w:before="180" w:after="120"/>
      <w:jc w:val="center"/>
    </w:pPr>
    <w:rPr>
      <w:b/>
      <w:bCs/>
      <w:sz w:val="26"/>
      <w:szCs w:val="26"/>
    </w:rPr>
  </w:style>
  <w:style w:type="paragraph" w:customStyle="1" w:styleId="ti-doc-eph">
    <w:name w:val="ti-doc-eph"/>
    <w:basedOn w:val="Normal"/>
    <w:rsid w:val="00A72555"/>
    <w:pPr>
      <w:widowControl/>
      <w:spacing w:before="180" w:after="120"/>
      <w:jc w:val="both"/>
    </w:pPr>
    <w:rPr>
      <w:sz w:val="26"/>
      <w:szCs w:val="26"/>
    </w:rPr>
  </w:style>
  <w:style w:type="paragraph" w:customStyle="1" w:styleId="ti-grseq-1">
    <w:name w:val="ti-grseq-1"/>
    <w:basedOn w:val="Normal"/>
    <w:rsid w:val="00A72555"/>
    <w:pPr>
      <w:widowControl/>
      <w:spacing w:before="240" w:after="120"/>
      <w:jc w:val="both"/>
    </w:pPr>
    <w:rPr>
      <w:b/>
      <w:bCs/>
      <w:szCs w:val="24"/>
    </w:rPr>
  </w:style>
  <w:style w:type="paragraph" w:customStyle="1" w:styleId="ti-grseq-toc">
    <w:name w:val="ti-grseq-toc"/>
    <w:basedOn w:val="Normal"/>
    <w:rsid w:val="00A72555"/>
    <w:pPr>
      <w:widowControl/>
      <w:spacing w:before="240" w:after="120"/>
      <w:jc w:val="center"/>
    </w:pPr>
    <w:rPr>
      <w:i/>
      <w:iCs/>
      <w:szCs w:val="24"/>
    </w:rPr>
  </w:style>
  <w:style w:type="paragraph" w:customStyle="1" w:styleId="ti-oj-1">
    <w:name w:val="ti-oj-1"/>
    <w:basedOn w:val="Normal"/>
    <w:rsid w:val="00A72555"/>
    <w:pPr>
      <w:widowControl/>
      <w:spacing w:before="120"/>
    </w:pPr>
    <w:rPr>
      <w:b/>
      <w:bCs/>
      <w:sz w:val="72"/>
      <w:szCs w:val="72"/>
    </w:rPr>
  </w:style>
  <w:style w:type="paragraph" w:customStyle="1" w:styleId="ti-oj-2">
    <w:name w:val="ti-oj-2"/>
    <w:basedOn w:val="Normal"/>
    <w:rsid w:val="00A72555"/>
    <w:pPr>
      <w:widowControl/>
      <w:spacing w:before="120" w:after="120"/>
    </w:pPr>
    <w:rPr>
      <w:sz w:val="48"/>
      <w:szCs w:val="48"/>
    </w:rPr>
  </w:style>
  <w:style w:type="paragraph" w:customStyle="1" w:styleId="ti-oj-3">
    <w:name w:val="ti-oj-3"/>
    <w:basedOn w:val="Normal"/>
    <w:rsid w:val="00A72555"/>
    <w:pPr>
      <w:widowControl/>
      <w:spacing w:before="120"/>
      <w:jc w:val="right"/>
    </w:pPr>
    <w:rPr>
      <w:b/>
      <w:bCs/>
      <w:sz w:val="72"/>
      <w:szCs w:val="72"/>
    </w:rPr>
  </w:style>
  <w:style w:type="paragraph" w:customStyle="1" w:styleId="ti-sect-1-n">
    <w:name w:val="ti-sect-1-n"/>
    <w:basedOn w:val="Normal"/>
    <w:rsid w:val="00A72555"/>
    <w:pPr>
      <w:widowControl/>
      <w:spacing w:before="120" w:after="120"/>
    </w:pPr>
    <w:rPr>
      <w:sz w:val="26"/>
      <w:szCs w:val="26"/>
    </w:rPr>
  </w:style>
  <w:style w:type="paragraph" w:customStyle="1" w:styleId="ti-sect-1-t">
    <w:name w:val="ti-sect-1-t"/>
    <w:basedOn w:val="Normal"/>
    <w:rsid w:val="00A72555"/>
    <w:pPr>
      <w:widowControl/>
      <w:spacing w:before="120" w:after="120"/>
    </w:pPr>
    <w:rPr>
      <w:i/>
      <w:iCs/>
      <w:sz w:val="26"/>
      <w:szCs w:val="26"/>
    </w:rPr>
  </w:style>
  <w:style w:type="paragraph" w:customStyle="1" w:styleId="ti-sect-2">
    <w:name w:val="ti-sect-2"/>
    <w:basedOn w:val="Normal"/>
    <w:rsid w:val="00A72555"/>
    <w:pPr>
      <w:widowControl/>
      <w:spacing w:before="120" w:after="120"/>
    </w:pPr>
    <w:rPr>
      <w:sz w:val="26"/>
      <w:szCs w:val="26"/>
    </w:rPr>
  </w:style>
  <w:style w:type="paragraph" w:customStyle="1" w:styleId="ti-section-1">
    <w:name w:val="ti-section-1"/>
    <w:basedOn w:val="Normal"/>
    <w:rsid w:val="00A72555"/>
    <w:pPr>
      <w:widowControl/>
      <w:spacing w:before="480"/>
      <w:jc w:val="center"/>
    </w:pPr>
    <w:rPr>
      <w:b/>
      <w:bCs/>
      <w:szCs w:val="24"/>
    </w:rPr>
  </w:style>
  <w:style w:type="paragraph" w:customStyle="1" w:styleId="ti-section-2">
    <w:name w:val="ti-section-2"/>
    <w:basedOn w:val="Normal"/>
    <w:rsid w:val="00A72555"/>
    <w:pPr>
      <w:widowControl/>
      <w:spacing w:before="75" w:after="120"/>
      <w:jc w:val="center"/>
    </w:pPr>
    <w:rPr>
      <w:b/>
      <w:bCs/>
      <w:szCs w:val="24"/>
    </w:rPr>
  </w:style>
  <w:style w:type="paragraph" w:customStyle="1" w:styleId="ti-tbl">
    <w:name w:val="ti-tbl"/>
    <w:basedOn w:val="Normal"/>
    <w:rsid w:val="00A72555"/>
    <w:pPr>
      <w:widowControl/>
      <w:spacing w:before="120" w:after="120"/>
      <w:jc w:val="center"/>
    </w:pPr>
    <w:rPr>
      <w:szCs w:val="24"/>
    </w:rPr>
  </w:style>
  <w:style w:type="paragraph" w:customStyle="1" w:styleId="year-date">
    <w:name w:val="year-date"/>
    <w:basedOn w:val="Normal"/>
    <w:rsid w:val="00A72555"/>
    <w:pPr>
      <w:widowControl/>
      <w:spacing w:before="120" w:after="120"/>
      <w:jc w:val="right"/>
    </w:pPr>
    <w:rPr>
      <w:b/>
      <w:bCs/>
      <w:szCs w:val="24"/>
    </w:rPr>
  </w:style>
  <w:style w:type="paragraph" w:customStyle="1" w:styleId="table">
    <w:name w:val="table"/>
    <w:basedOn w:val="Normal"/>
    <w:rsid w:val="00A72555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Cs w:val="24"/>
    </w:rPr>
  </w:style>
  <w:style w:type="paragraph" w:customStyle="1" w:styleId="ti-info">
    <w:name w:val="ti-info"/>
    <w:basedOn w:val="Normal"/>
    <w:rsid w:val="00A72555"/>
    <w:pPr>
      <w:widowControl/>
      <w:spacing w:before="100" w:beforeAutospacing="1" w:after="100" w:afterAutospacing="1"/>
    </w:pPr>
    <w:rPr>
      <w:szCs w:val="24"/>
      <w:u w:val="single"/>
    </w:rPr>
  </w:style>
  <w:style w:type="character" w:customStyle="1" w:styleId="bold">
    <w:name w:val="bold"/>
    <w:basedOn w:val="DefaultParagraphFont"/>
    <w:rsid w:val="00A72555"/>
    <w:rPr>
      <w:b/>
      <w:bCs/>
    </w:rPr>
  </w:style>
  <w:style w:type="character" w:customStyle="1" w:styleId="italic">
    <w:name w:val="italic"/>
    <w:basedOn w:val="DefaultParagraphFont"/>
    <w:rsid w:val="00A72555"/>
    <w:rPr>
      <w:i/>
      <w:iCs/>
    </w:rPr>
  </w:style>
  <w:style w:type="character" w:customStyle="1" w:styleId="sp-normal">
    <w:name w:val="sp-normal"/>
    <w:basedOn w:val="DefaultParagraphFont"/>
    <w:rsid w:val="00A72555"/>
    <w:rPr>
      <w:b/>
      <w:bCs/>
      <w:i/>
      <w:iCs/>
    </w:rPr>
  </w:style>
  <w:style w:type="character" w:customStyle="1" w:styleId="sub">
    <w:name w:val="sub"/>
    <w:basedOn w:val="DefaultParagraphFont"/>
    <w:rsid w:val="00A72555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A72555"/>
    <w:rPr>
      <w:sz w:val="17"/>
      <w:szCs w:val="17"/>
      <w:vertAlign w:val="superscript"/>
    </w:rPr>
  </w:style>
  <w:style w:type="character" w:customStyle="1" w:styleId="stroke">
    <w:name w:val="stroke"/>
    <w:basedOn w:val="DefaultParagraphFont"/>
    <w:rsid w:val="00A72555"/>
    <w:rPr>
      <w:strike/>
    </w:rPr>
  </w:style>
  <w:style w:type="character" w:customStyle="1" w:styleId="underline">
    <w:name w:val="underline"/>
    <w:basedOn w:val="DefaultParagraphFont"/>
    <w:rsid w:val="00A72555"/>
    <w:rPr>
      <w:u w:val="single"/>
    </w:rPr>
  </w:style>
  <w:style w:type="character" w:styleId="Hyperlink">
    <w:name w:val="Hyperlink"/>
    <w:basedOn w:val="DefaultParagraphFont"/>
    <w:uiPriority w:val="99"/>
    <w:unhideWhenUsed/>
    <w:rsid w:val="00A725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A72555"/>
    <w:rPr>
      <w:color w:val="800080"/>
      <w:u w:val="single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A72555"/>
    <w:pPr>
      <w:widowControl/>
      <w:spacing w:after="200"/>
    </w:pPr>
    <w:rPr>
      <w:sz w:val="20"/>
    </w:rPr>
  </w:style>
  <w:style w:type="character" w:customStyle="1" w:styleId="CommentTextChar1">
    <w:name w:val="Comment Text Char1"/>
    <w:basedOn w:val="DefaultParagraphFont"/>
    <w:rsid w:val="00A72555"/>
    <w:rPr>
      <w:lang w:val="cs-CZ"/>
    </w:rPr>
  </w:style>
  <w:style w:type="paragraph" w:customStyle="1" w:styleId="c01pointnumerotealtn">
    <w:name w:val="c01pointnumerotealtn"/>
    <w:basedOn w:val="Normal"/>
    <w:rsid w:val="00A72555"/>
    <w:pPr>
      <w:widowControl/>
      <w:spacing w:before="100" w:beforeAutospacing="1" w:after="240"/>
      <w:ind w:left="567" w:hanging="539"/>
      <w:jc w:val="both"/>
    </w:pPr>
    <w:rPr>
      <w:szCs w:val="24"/>
    </w:rPr>
  </w:style>
  <w:style w:type="paragraph" w:customStyle="1" w:styleId="c08dispositif">
    <w:name w:val="c08dispositif"/>
    <w:basedOn w:val="Normal"/>
    <w:rsid w:val="00A72555"/>
    <w:pPr>
      <w:widowControl/>
      <w:spacing w:before="100" w:beforeAutospacing="1" w:after="240"/>
      <w:ind w:left="1134" w:hanging="567"/>
      <w:jc w:val="both"/>
    </w:pPr>
    <w:rPr>
      <w:b/>
      <w:bCs/>
      <w:szCs w:val="24"/>
    </w:rPr>
  </w:style>
  <w:style w:type="paragraph" w:customStyle="1" w:styleId="c34dispositifmarge1avectiretlong">
    <w:name w:val="c34dispositifmarge1avectiretlong"/>
    <w:basedOn w:val="Normal"/>
    <w:rsid w:val="00A72555"/>
    <w:pPr>
      <w:widowControl/>
      <w:spacing w:before="100" w:beforeAutospacing="1" w:after="100" w:afterAutospacing="1"/>
    </w:pPr>
    <w:rPr>
      <w:szCs w:val="24"/>
    </w:rPr>
  </w:style>
  <w:style w:type="character" w:customStyle="1" w:styleId="A7">
    <w:name w:val="A7"/>
    <w:uiPriority w:val="99"/>
    <w:rsid w:val="00A72555"/>
    <w:rPr>
      <w:rFonts w:cs="Calibri"/>
      <w:color w:val="000000"/>
      <w:sz w:val="11"/>
      <w:szCs w:val="11"/>
    </w:rPr>
  </w:style>
  <w:style w:type="paragraph" w:customStyle="1" w:styleId="Pa11">
    <w:name w:val="Pa11"/>
    <w:basedOn w:val="Normal"/>
    <w:next w:val="Normal"/>
    <w:uiPriority w:val="99"/>
    <w:rsid w:val="00A72555"/>
    <w:pPr>
      <w:widowControl/>
      <w:autoSpaceDE w:val="0"/>
      <w:autoSpaceDN w:val="0"/>
      <w:adjustRightInd w:val="0"/>
      <w:spacing w:line="201" w:lineRule="atLeast"/>
    </w:pPr>
    <w:rPr>
      <w:rFonts w:ascii="Calibri" w:eastAsia="Calibri" w:hAnsi="Calibri" w:cs="Arial"/>
      <w:szCs w:val="24"/>
      <w:lang w:eastAsia="en-US"/>
    </w:rPr>
  </w:style>
  <w:style w:type="paragraph" w:customStyle="1" w:styleId="Default">
    <w:name w:val="Default"/>
    <w:rsid w:val="00A7255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cs-CZ" w:eastAsia="en-US"/>
    </w:rPr>
  </w:style>
  <w:style w:type="character" w:customStyle="1" w:styleId="A4">
    <w:name w:val="A4"/>
    <w:uiPriority w:val="99"/>
    <w:rsid w:val="00A72555"/>
    <w:rPr>
      <w:rFonts w:cs="Calibri"/>
      <w:color w:val="000000"/>
      <w:sz w:val="20"/>
      <w:szCs w:val="20"/>
    </w:rPr>
  </w:style>
  <w:style w:type="paragraph" w:customStyle="1" w:styleId="c30dispositifalinea">
    <w:name w:val="c30dispositifalinea"/>
    <w:basedOn w:val="Normal"/>
    <w:rsid w:val="00A72555"/>
    <w:pPr>
      <w:widowControl/>
      <w:spacing w:before="100" w:beforeAutospacing="1" w:after="100" w:afterAutospacing="1"/>
    </w:pPr>
    <w:rPr>
      <w:szCs w:val="24"/>
    </w:rPr>
  </w:style>
  <w:style w:type="paragraph" w:customStyle="1" w:styleId="c02alineaalta">
    <w:name w:val="c02alineaalta"/>
    <w:basedOn w:val="Normal"/>
    <w:rsid w:val="00A72555"/>
    <w:pPr>
      <w:widowControl/>
      <w:spacing w:after="240"/>
      <w:ind w:left="567"/>
      <w:jc w:val="both"/>
    </w:pPr>
    <w:rPr>
      <w:szCs w:val="24"/>
    </w:rPr>
  </w:style>
  <w:style w:type="paragraph" w:customStyle="1" w:styleId="CM1">
    <w:name w:val="CM1"/>
    <w:basedOn w:val="Default"/>
    <w:next w:val="Default"/>
    <w:uiPriority w:val="99"/>
    <w:rsid w:val="00A72555"/>
    <w:rPr>
      <w:rFonts w:ascii="EUAlbertina" w:hAnsi="EUAlbertina" w:cs="Arial"/>
      <w:color w:val="auto"/>
    </w:rPr>
  </w:style>
  <w:style w:type="paragraph" w:customStyle="1" w:styleId="CM3">
    <w:name w:val="CM3"/>
    <w:basedOn w:val="Default"/>
    <w:next w:val="Default"/>
    <w:uiPriority w:val="99"/>
    <w:rsid w:val="00A72555"/>
    <w:rPr>
      <w:rFonts w:ascii="EUAlbertina" w:hAnsi="EUAlbertina" w:cs="Arial"/>
      <w:color w:val="auto"/>
    </w:rPr>
  </w:style>
  <w:style w:type="paragraph" w:customStyle="1" w:styleId="BTBullet1">
    <w:name w:val="BTBullet1"/>
    <w:basedOn w:val="Normal"/>
    <w:uiPriority w:val="6"/>
    <w:qFormat/>
    <w:rsid w:val="00A72555"/>
    <w:pPr>
      <w:widowControl/>
      <w:numPr>
        <w:numId w:val="23"/>
      </w:numPr>
      <w:tabs>
        <w:tab w:val="clear" w:pos="119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2">
    <w:name w:val="BTBullet2"/>
    <w:basedOn w:val="Normal"/>
    <w:uiPriority w:val="6"/>
    <w:qFormat/>
    <w:rsid w:val="00A72555"/>
    <w:pPr>
      <w:widowControl/>
      <w:numPr>
        <w:ilvl w:val="1"/>
        <w:numId w:val="23"/>
      </w:numPr>
      <w:tabs>
        <w:tab w:val="clear" w:pos="153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3">
    <w:name w:val="BTBullet3"/>
    <w:basedOn w:val="Normal"/>
    <w:uiPriority w:val="6"/>
    <w:qFormat/>
    <w:rsid w:val="00A72555"/>
    <w:pPr>
      <w:widowControl/>
      <w:numPr>
        <w:ilvl w:val="2"/>
        <w:numId w:val="23"/>
      </w:numPr>
      <w:tabs>
        <w:tab w:val="clear" w:pos="187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numbering" w:customStyle="1" w:styleId="NumbLstBTBullet">
    <w:name w:val="NumbLstBTBullet"/>
    <w:aliases w:val="Bullets"/>
    <w:uiPriority w:val="99"/>
    <w:rsid w:val="00A72555"/>
    <w:pPr>
      <w:numPr>
        <w:numId w:val="23"/>
      </w:numPr>
    </w:pPr>
  </w:style>
  <w:style w:type="paragraph" w:customStyle="1" w:styleId="c05titre2">
    <w:name w:val="c05titre2"/>
    <w:basedOn w:val="Normal"/>
    <w:rsid w:val="00A72555"/>
    <w:pPr>
      <w:widowControl/>
      <w:spacing w:after="240"/>
      <w:ind w:left="567"/>
      <w:jc w:val="both"/>
    </w:pPr>
    <w:rPr>
      <w:i/>
      <w:iCs/>
      <w:szCs w:val="24"/>
    </w:rPr>
  </w:style>
  <w:style w:type="paragraph" w:styleId="Revision">
    <w:name w:val="Revision"/>
    <w:hidden/>
    <w:uiPriority w:val="99"/>
    <w:semiHidden/>
    <w:rsid w:val="00A72555"/>
    <w:rPr>
      <w:rFonts w:ascii="Calibri" w:eastAsia="Calibri" w:hAnsi="Calibri" w:cs="Arial"/>
      <w:sz w:val="22"/>
      <w:szCs w:val="22"/>
      <w:lang w:val="cs-CZ" w:eastAsia="en-US"/>
    </w:rPr>
  </w:style>
  <w:style w:type="character" w:styleId="Strong">
    <w:name w:val="Strong"/>
    <w:basedOn w:val="DefaultParagraphFont"/>
    <w:uiPriority w:val="22"/>
    <w:qFormat/>
    <w:rsid w:val="00A72555"/>
    <w:rPr>
      <w:b/>
      <w:bCs/>
    </w:rPr>
  </w:style>
  <w:style w:type="paragraph" w:customStyle="1" w:styleId="CM4">
    <w:name w:val="CM4"/>
    <w:basedOn w:val="Default"/>
    <w:next w:val="Default"/>
    <w:uiPriority w:val="99"/>
    <w:rsid w:val="00A72555"/>
    <w:rPr>
      <w:rFonts w:ascii="EUAlbertina" w:hAnsi="EUAlbertina" w:cs="Arial"/>
      <w:color w:val="auto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A72555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A72555"/>
    <w:pPr>
      <w:widowControl/>
      <w:spacing w:before="120"/>
      <w:jc w:val="both"/>
    </w:pPr>
    <w:rPr>
      <w:vanish/>
      <w:color w:val="000000"/>
      <w:szCs w:val="24"/>
    </w:rPr>
  </w:style>
  <w:style w:type="paragraph" w:customStyle="1" w:styleId="Style2">
    <w:name w:val="Style2"/>
    <w:basedOn w:val="Point0letter"/>
    <w:qFormat/>
    <w:rsid w:val="00A72555"/>
    <w:rPr>
      <w:rFonts w:eastAsia="Times New Roman"/>
      <w:color w:val="000000"/>
      <w:szCs w:val="24"/>
      <w:lang w:eastAsia="en-GB"/>
    </w:rPr>
  </w:style>
  <w:style w:type="paragraph" w:customStyle="1" w:styleId="Style3">
    <w:name w:val="Style3"/>
    <w:basedOn w:val="Text1"/>
    <w:qFormat/>
    <w:rsid w:val="00A72555"/>
    <w:pPr>
      <w:spacing w:line="240" w:lineRule="auto"/>
      <w:ind w:left="850"/>
      <w:jc w:val="both"/>
    </w:pPr>
    <w:rPr>
      <w:lang w:eastAsia="en-GB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A72555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A72555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A72555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A72555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A72555"/>
    <w:pPr>
      <w:widowControl/>
      <w:tabs>
        <w:tab w:val="num" w:pos="360"/>
        <w:tab w:val="num" w:pos="567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A72555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A72555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A72555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A72555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A72555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normalcentered0">
    <w:name w:val="normalcentered"/>
    <w:basedOn w:val="Normal"/>
    <w:rsid w:val="00A72555"/>
    <w:pPr>
      <w:widowControl/>
      <w:jc w:val="center"/>
    </w:pPr>
    <w:rPr>
      <w:szCs w:val="24"/>
    </w:rPr>
  </w:style>
  <w:style w:type="paragraph" w:customStyle="1" w:styleId="li">
    <w:name w:val="li"/>
    <w:basedOn w:val="Normal"/>
    <w:rsid w:val="00A72555"/>
    <w:pPr>
      <w:widowControl/>
      <w:ind w:left="468"/>
      <w:jc w:val="both"/>
    </w:pPr>
    <w:rPr>
      <w:szCs w:val="24"/>
    </w:rPr>
  </w:style>
  <w:style w:type="character" w:customStyle="1" w:styleId="num4">
    <w:name w:val="num4"/>
    <w:basedOn w:val="DefaultParagraphFont"/>
    <w:rsid w:val="00A72555"/>
  </w:style>
  <w:style w:type="character" w:customStyle="1" w:styleId="footnotereference0">
    <w:name w:val="footnotereference"/>
    <w:basedOn w:val="DefaultParagraphFont"/>
    <w:rsid w:val="00A72555"/>
  </w:style>
  <w:style w:type="paragraph" w:customStyle="1" w:styleId="Point1letter0">
    <w:name w:val="Point 1 letter"/>
    <w:basedOn w:val="Normal"/>
    <w:rsid w:val="00A72555"/>
    <w:pPr>
      <w:widowControl/>
      <w:spacing w:before="120" w:after="120"/>
      <w:ind w:left="1417"/>
      <w:jc w:val="both"/>
    </w:pPr>
    <w:rPr>
      <w:color w:val="000000"/>
      <w:szCs w:val="24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,b."/>
    <w:basedOn w:val="Normal"/>
    <w:link w:val="BodyTextChar"/>
    <w:uiPriority w:val="1"/>
    <w:qFormat/>
    <w:rsid w:val="00A72555"/>
    <w:pPr>
      <w:widowControl/>
      <w:spacing w:before="120" w:after="120" w:line="240" w:lineRule="atLeast"/>
      <w:ind w:left="851"/>
    </w:pPr>
    <w:rPr>
      <w:rFonts w:ascii="Arial" w:eastAsia="Calibri" w:hAnsi="Arial"/>
      <w:sz w:val="20"/>
      <w:szCs w:val="24"/>
      <w:lang w:eastAsia="en-US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basedOn w:val="DefaultParagraphFont"/>
    <w:link w:val="BodyText"/>
    <w:uiPriority w:val="1"/>
    <w:rsid w:val="00A72555"/>
    <w:rPr>
      <w:rFonts w:ascii="Arial" w:eastAsia="Calibri" w:hAnsi="Arial"/>
      <w:szCs w:val="24"/>
      <w:lang w:val="cs-CZ" w:eastAsia="en-US"/>
    </w:rPr>
  </w:style>
  <w:style w:type="paragraph" w:customStyle="1" w:styleId="Heading3NoNumb">
    <w:name w:val="Heading 3NoNumb"/>
    <w:basedOn w:val="Heading3"/>
    <w:next w:val="Normal"/>
    <w:uiPriority w:val="5"/>
    <w:qFormat/>
    <w:rsid w:val="00A72555"/>
    <w:pPr>
      <w:keepLines/>
      <w:numPr>
        <w:ilvl w:val="0"/>
        <w:numId w:val="0"/>
      </w:numPr>
      <w:spacing w:before="200" w:after="120" w:line="240" w:lineRule="atLeast"/>
    </w:pPr>
    <w:rPr>
      <w:rFonts w:ascii="Calibri" w:hAnsi="Calibri"/>
      <w:b/>
      <w:bCs/>
      <w:color w:val="0067AC"/>
      <w:sz w:val="22"/>
      <w:szCs w:val="24"/>
      <w:lang w:val="cs-CZ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72555"/>
    <w:pPr>
      <w:widowControl/>
    </w:pPr>
    <w:rPr>
      <w:rFonts w:ascii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2555"/>
    <w:rPr>
      <w:rFonts w:ascii="Calibri" w:hAnsi="Calibri" w:cs="Consolas"/>
      <w:sz w:val="22"/>
      <w:szCs w:val="21"/>
      <w:lang w:val="cs-CZ" w:eastAsia="en-US"/>
    </w:rPr>
  </w:style>
  <w:style w:type="paragraph" w:styleId="TOC4">
    <w:name w:val="toc 4"/>
    <w:basedOn w:val="Normal"/>
    <w:next w:val="Normal"/>
    <w:uiPriority w:val="39"/>
    <w:unhideWhenUsed/>
    <w:rsid w:val="00A72555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72555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72555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72555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72555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72555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A72555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A72555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A7255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A72555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A72555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A72555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A72555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A72555"/>
    <w:pPr>
      <w:numPr>
        <w:numId w:val="29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A72555"/>
    <w:pPr>
      <w:numPr>
        <w:numId w:val="30"/>
      </w:numPr>
      <w:tabs>
        <w:tab w:val="clear" w:pos="1417"/>
        <w:tab w:val="num" w:pos="567"/>
      </w:tabs>
      <w:ind w:left="567"/>
    </w:pPr>
  </w:style>
  <w:style w:type="paragraph" w:customStyle="1" w:styleId="Tiret2">
    <w:name w:val="Tiret 2"/>
    <w:basedOn w:val="Point2"/>
    <w:rsid w:val="00A72555"/>
    <w:pPr>
      <w:numPr>
        <w:numId w:val="26"/>
      </w:numPr>
      <w:tabs>
        <w:tab w:val="clear" w:pos="1984"/>
        <w:tab w:val="num" w:pos="1134"/>
      </w:tabs>
      <w:ind w:left="1134"/>
    </w:pPr>
  </w:style>
  <w:style w:type="paragraph" w:customStyle="1" w:styleId="Tiret3">
    <w:name w:val="Tiret 3"/>
    <w:basedOn w:val="Point3"/>
    <w:rsid w:val="00A72555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A72555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PointDouble0">
    <w:name w:val="PointDouble 0"/>
    <w:basedOn w:val="Normal"/>
    <w:rsid w:val="00A72555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A72555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A72555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A72555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A72555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A72555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A72555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A72555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A72555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A72555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A72555"/>
    <w:pPr>
      <w:widowControl/>
      <w:numPr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A72555"/>
    <w:pPr>
      <w:widowControl/>
      <w:numPr>
        <w:ilvl w:val="1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A72555"/>
    <w:pPr>
      <w:widowControl/>
      <w:numPr>
        <w:ilvl w:val="2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A72555"/>
    <w:pPr>
      <w:widowControl/>
      <w:numPr>
        <w:ilvl w:val="3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7255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7255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7255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72555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A72555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72555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7255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7255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7255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72555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72555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72555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72555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A72555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A72555"/>
    <w:pPr>
      <w:widowControl/>
      <w:numPr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A72555"/>
    <w:pPr>
      <w:widowControl/>
      <w:numPr>
        <w:ilvl w:val="2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A72555"/>
    <w:pPr>
      <w:widowControl/>
      <w:numPr>
        <w:ilvl w:val="4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A72555"/>
    <w:pPr>
      <w:widowControl/>
      <w:numPr>
        <w:ilvl w:val="6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A72555"/>
    <w:pPr>
      <w:widowControl/>
      <w:numPr>
        <w:ilvl w:val="1"/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A72555"/>
    <w:pPr>
      <w:widowControl/>
      <w:numPr>
        <w:ilvl w:val="3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A72555"/>
    <w:pPr>
      <w:widowControl/>
      <w:numPr>
        <w:ilvl w:val="5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A72555"/>
    <w:pPr>
      <w:widowControl/>
      <w:numPr>
        <w:ilvl w:val="7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A72555"/>
    <w:pPr>
      <w:widowControl/>
      <w:numPr>
        <w:ilvl w:val="8"/>
        <w:numId w:val="24"/>
      </w:numPr>
      <w:tabs>
        <w:tab w:val="clear" w:pos="3118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A72555"/>
    <w:pPr>
      <w:widowControl/>
      <w:numPr>
        <w:numId w:val="28"/>
      </w:numPr>
      <w:tabs>
        <w:tab w:val="clear" w:pos="850"/>
        <w:tab w:val="num" w:pos="2268"/>
      </w:tabs>
      <w:spacing w:before="120" w:after="120"/>
      <w:ind w:left="2268" w:hanging="567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A7255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A7255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A7255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72555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A72555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A72555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A72555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A72555"/>
    <w:pPr>
      <w:widowControl/>
      <w:numPr>
        <w:numId w:val="27"/>
      </w:numPr>
      <w:tabs>
        <w:tab w:val="clear" w:pos="709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A72555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72555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A7255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A7255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A72555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72555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72555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72555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Langue">
    <w:name w:val="Langue"/>
    <w:basedOn w:val="Normal"/>
    <w:next w:val="Rfrenceinterne"/>
    <w:rsid w:val="00A72555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ManualConsidrant">
    <w:name w:val="Manual Considérant"/>
    <w:basedOn w:val="Normal"/>
    <w:rsid w:val="00A72555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A72555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72555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A7255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7255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A72555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A7255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A7255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72555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A72555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72555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A72555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A7255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A72555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A72555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A72555"/>
    <w:pPr>
      <w:widowControl/>
      <w:jc w:val="both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A72555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7255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A72555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A72555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72555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72555"/>
  </w:style>
  <w:style w:type="paragraph" w:customStyle="1" w:styleId="Sous-titreobjetPagedecouverture">
    <w:name w:val="Sous-titre objet (Page de couverture)"/>
    <w:basedOn w:val="Sous-titreobjet"/>
    <w:rsid w:val="00A72555"/>
  </w:style>
  <w:style w:type="paragraph" w:customStyle="1" w:styleId="StatutPagedecouverture">
    <w:name w:val="Statut (Page de couverture)"/>
    <w:basedOn w:val="Statut"/>
    <w:next w:val="TypedudocumentPagedecouverture"/>
    <w:rsid w:val="00A72555"/>
  </w:style>
  <w:style w:type="paragraph" w:customStyle="1" w:styleId="TitreobjetPagedecouverture">
    <w:name w:val="Titre objet (Page de couverture)"/>
    <w:basedOn w:val="Titreobjet"/>
    <w:next w:val="Sous-titreobjetPagedecouverture"/>
    <w:rsid w:val="00A72555"/>
  </w:style>
  <w:style w:type="paragraph" w:customStyle="1" w:styleId="TypedudocumentPagedecouverture">
    <w:name w:val="Type du document (Page de couverture)"/>
    <w:basedOn w:val="Typedudocument"/>
    <w:next w:val="TitreobjetPagedecouverture"/>
    <w:rsid w:val="00A72555"/>
  </w:style>
  <w:style w:type="paragraph" w:customStyle="1" w:styleId="Volume">
    <w:name w:val="Volume"/>
    <w:basedOn w:val="Normal"/>
    <w:next w:val="Confidentialit"/>
    <w:rsid w:val="00A72555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72555"/>
    <w:pPr>
      <w:spacing w:after="240"/>
    </w:pPr>
  </w:style>
  <w:style w:type="paragraph" w:customStyle="1" w:styleId="Accompagnant">
    <w:name w:val="Accompagnant"/>
    <w:basedOn w:val="Normal"/>
    <w:next w:val="Typeacteprincipal"/>
    <w:rsid w:val="00A72555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A72555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A72555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A72555"/>
  </w:style>
  <w:style w:type="paragraph" w:customStyle="1" w:styleId="AccompagnantPagedecouverture">
    <w:name w:val="Accompagnant (Page de couverture)"/>
    <w:basedOn w:val="Accompagnant"/>
    <w:next w:val="TypeacteprincipalPagedecouverture"/>
    <w:rsid w:val="00A7255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72555"/>
  </w:style>
  <w:style w:type="paragraph" w:customStyle="1" w:styleId="ObjetacteprincipalPagedecouverture">
    <w:name w:val="Objet acte principal (Page de couverture)"/>
    <w:basedOn w:val="Objetacteprincipal"/>
    <w:next w:val="Rfrencecroise"/>
    <w:rsid w:val="00A72555"/>
  </w:style>
  <w:style w:type="paragraph" w:customStyle="1" w:styleId="LanguesfaisantfoiPagedecouverture">
    <w:name w:val="Langues faisant foi (Page de couverture)"/>
    <w:basedOn w:val="Normal"/>
    <w:next w:val="Normal"/>
    <w:rsid w:val="00A72555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7255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4"/>
      <w:lang w:eastAsia="en-US"/>
    </w:rPr>
  </w:style>
  <w:style w:type="paragraph" w:customStyle="1" w:styleId="EntText">
    <w:name w:val="EntText"/>
    <w:basedOn w:val="Normal"/>
    <w:rsid w:val="00A72555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pj">
    <w:name w:val="p.j."/>
    <w:basedOn w:val="TechnicalBlock"/>
    <w:link w:val="pjChar"/>
    <w:rsid w:val="00A72555"/>
    <w:pPr>
      <w:spacing w:before="1200" w:after="120"/>
      <w:ind w:left="1440" w:hanging="1440"/>
      <w:jc w:val="left"/>
    </w:pPr>
  </w:style>
  <w:style w:type="character" w:customStyle="1" w:styleId="pjChar">
    <w:name w:val="p.j. Char"/>
    <w:basedOn w:val="TechnicalBlockChar"/>
    <w:link w:val="pj"/>
    <w:rsid w:val="00A72555"/>
    <w:rPr>
      <w:rFonts w:eastAsia="Calibri"/>
      <w:sz w:val="24"/>
      <w:szCs w:val="22"/>
      <w:lang w:val="cs-CZ" w:eastAsia="en-US"/>
    </w:rPr>
  </w:style>
  <w:style w:type="character" w:customStyle="1" w:styleId="HeaderCouncilChar">
    <w:name w:val="Header Council Char"/>
    <w:basedOn w:val="pjChar"/>
    <w:link w:val="HeaderCouncil"/>
    <w:rsid w:val="00A72555"/>
    <w:rPr>
      <w:rFonts w:eastAsia="Calibri"/>
      <w:sz w:val="2"/>
      <w:szCs w:val="22"/>
      <w:lang w:val="cs-CZ" w:eastAsia="en-US"/>
    </w:rPr>
  </w:style>
  <w:style w:type="character" w:customStyle="1" w:styleId="FooterCouncilChar">
    <w:name w:val="Footer Council Char"/>
    <w:basedOn w:val="pjChar"/>
    <w:link w:val="FooterCouncil"/>
    <w:rsid w:val="00A72555"/>
    <w:rPr>
      <w:rFonts w:eastAsia="Calibri"/>
      <w:sz w:val="2"/>
      <w:szCs w:val="22"/>
      <w:lang w:val="cs-CZ" w:eastAsia="en-US"/>
    </w:rPr>
  </w:style>
  <w:style w:type="paragraph" w:customStyle="1" w:styleId="p1">
    <w:name w:val="p1"/>
    <w:basedOn w:val="Normal"/>
    <w:rsid w:val="00A72555"/>
    <w:pPr>
      <w:widowControl/>
      <w:spacing w:before="90" w:after="90"/>
      <w:jc w:val="both"/>
    </w:pPr>
    <w:rPr>
      <w:rFonts w:eastAsia="Calibri"/>
      <w:sz w:val="18"/>
      <w:szCs w:val="18"/>
    </w:rPr>
  </w:style>
  <w:style w:type="character" w:customStyle="1" w:styleId="apple-converted-space">
    <w:name w:val="apple-converted-space"/>
    <w:basedOn w:val="DefaultParagraphFont"/>
    <w:rsid w:val="00A72555"/>
  </w:style>
  <w:style w:type="paragraph" w:customStyle="1" w:styleId="Normal2">
    <w:name w:val="Normal2"/>
    <w:basedOn w:val="Normal"/>
    <w:rsid w:val="00A72555"/>
    <w:pPr>
      <w:widowControl/>
      <w:spacing w:before="100" w:beforeAutospacing="1" w:after="100" w:afterAutospacing="1"/>
    </w:pPr>
    <w:rPr>
      <w:szCs w:val="24"/>
    </w:rPr>
  </w:style>
  <w:style w:type="paragraph" w:customStyle="1" w:styleId="norm">
    <w:name w:val="norm"/>
    <w:basedOn w:val="Normal"/>
    <w:rsid w:val="00A72555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A72555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25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72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0CC1F-C4DC-4595-922B-695262E4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2024-07-22T09:30:00Z</dcterms:created>
  <dcterms:modified xsi:type="dcterms:W3CDTF">2024-07-22T09:30:00Z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P9_TA(2024)0185_</vt:lpwstr>
  </property>
  <property fmtid="{D5CDD505-2E9C-101B-9397-08002B2CF9AE}" pid="4" name="&lt;Type&gt;">
    <vt:lpwstr>RR</vt:lpwstr>
  </property>
</Properties>
</file>