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249ED" w14:paraId="3DE3523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D43ECF6" w14:textId="77777777" w:rsidR="00751A4A" w:rsidRPr="007249ED" w:rsidRDefault="00323ABD" w:rsidP="0010095E">
            <w:pPr>
              <w:pStyle w:val="EPName"/>
            </w:pPr>
            <w:r w:rsidRPr="007249ED">
              <w:t>Europa-Parlamentet</w:t>
            </w:r>
          </w:p>
          <w:p w14:paraId="21E66C8A" w14:textId="77777777" w:rsidR="00751A4A" w:rsidRPr="007249E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249ED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1FDEB570" w14:textId="77777777" w:rsidR="00751A4A" w:rsidRPr="007249ED" w:rsidRDefault="00187494" w:rsidP="0010095E">
            <w:pPr>
              <w:pStyle w:val="EPLogo"/>
            </w:pPr>
            <w:r w:rsidRPr="007249ED">
              <w:rPr>
                <w:noProof/>
                <w:lang w:val="en-GB"/>
              </w:rPr>
              <w:drawing>
                <wp:inline distT="0" distB="0" distL="0" distR="0" wp14:anchorId="3493F6A3" wp14:editId="2B69A2B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D60197" w14:textId="77777777" w:rsidR="00D058B8" w:rsidRPr="007249ED" w:rsidRDefault="00D058B8" w:rsidP="004C5D52">
      <w:pPr>
        <w:pStyle w:val="LineTop"/>
      </w:pPr>
    </w:p>
    <w:p w14:paraId="3107D021" w14:textId="77777777" w:rsidR="00680577" w:rsidRPr="007249ED" w:rsidRDefault="00323ABD" w:rsidP="00680577">
      <w:pPr>
        <w:pStyle w:val="EPBodyTA1"/>
      </w:pPr>
      <w:r w:rsidRPr="007249ED">
        <w:t>VEDTAGNE TEKSTER</w:t>
      </w:r>
    </w:p>
    <w:p w14:paraId="13C84667" w14:textId="77777777" w:rsidR="00D058B8" w:rsidRPr="007249ED" w:rsidRDefault="00D058B8" w:rsidP="00D058B8">
      <w:pPr>
        <w:pStyle w:val="LineBottom"/>
      </w:pPr>
    </w:p>
    <w:p w14:paraId="05418AAE" w14:textId="1052F50A" w:rsidR="00323ABD" w:rsidRPr="007249ED" w:rsidRDefault="00323ABD" w:rsidP="00323ABD">
      <w:pPr>
        <w:pStyle w:val="ATHeading1"/>
      </w:pPr>
      <w:bookmarkStart w:id="0" w:name="TANumber"/>
      <w:r w:rsidRPr="007249ED">
        <w:t>P9_TA(</w:t>
      </w:r>
      <w:r w:rsidR="00B748D2">
        <w:t>2024</w:t>
      </w:r>
      <w:r w:rsidRPr="007249ED">
        <w:t>)0</w:t>
      </w:r>
      <w:bookmarkEnd w:id="0"/>
      <w:r w:rsidR="00591FDD">
        <w:t>188</w:t>
      </w:r>
    </w:p>
    <w:p w14:paraId="3E71DD99" w14:textId="77777777" w:rsidR="00323ABD" w:rsidRPr="007249ED" w:rsidRDefault="00F85F2A" w:rsidP="00323ABD">
      <w:pPr>
        <w:pStyle w:val="ATHeading2"/>
      </w:pPr>
      <w:r w:rsidRPr="00F85F2A">
        <w:t>Ny forordning om byggevarer</w:t>
      </w:r>
    </w:p>
    <w:p w14:paraId="314F0CC0" w14:textId="32B58886" w:rsidR="00323ABD" w:rsidRPr="007249ED" w:rsidRDefault="00323ABD" w:rsidP="00323ABD">
      <w:pPr>
        <w:rPr>
          <w:i/>
          <w:vanish/>
        </w:rPr>
      </w:pPr>
      <w:r w:rsidRPr="007249ED">
        <w:rPr>
          <w:i/>
        </w:rPr>
        <w:fldChar w:fldCharType="begin"/>
      </w:r>
      <w:r w:rsidRPr="007249ED">
        <w:rPr>
          <w:i/>
        </w:rPr>
        <w:instrText xml:space="preserve"> TC"(</w:instrText>
      </w:r>
      <w:bookmarkStart w:id="1" w:name="DocNumber"/>
      <w:r w:rsidRPr="007249ED">
        <w:rPr>
          <w:i/>
        </w:rPr>
        <w:instrText>A9-0207/2023</w:instrText>
      </w:r>
      <w:bookmarkEnd w:id="1"/>
      <w:r w:rsidRPr="007249ED">
        <w:rPr>
          <w:i/>
        </w:rPr>
        <w:instrText xml:space="preserve"> - Ordfører: Christian Doleschal )"\l3 \n&gt; \* MERGEFORMAT </w:instrText>
      </w:r>
      <w:r w:rsidRPr="007249ED">
        <w:rPr>
          <w:i/>
        </w:rPr>
        <w:fldChar w:fldCharType="end"/>
      </w:r>
    </w:p>
    <w:p w14:paraId="40A8F73E" w14:textId="77777777" w:rsidR="00323ABD" w:rsidRPr="007249ED" w:rsidRDefault="00323ABD" w:rsidP="00323ABD">
      <w:pPr>
        <w:rPr>
          <w:vanish/>
        </w:rPr>
      </w:pPr>
      <w:bookmarkStart w:id="2" w:name="Commission"/>
      <w:r w:rsidRPr="007249ED">
        <w:rPr>
          <w:vanish/>
        </w:rPr>
        <w:t>Udvalget om det Indre Marked og Forbrugerbeskyttelse</w:t>
      </w:r>
      <w:bookmarkEnd w:id="2"/>
    </w:p>
    <w:p w14:paraId="2D21E908" w14:textId="77777777" w:rsidR="00323ABD" w:rsidRPr="007249ED" w:rsidRDefault="00323ABD" w:rsidP="00323ABD">
      <w:pPr>
        <w:rPr>
          <w:vanish/>
        </w:rPr>
      </w:pPr>
      <w:bookmarkStart w:id="3" w:name="PE"/>
      <w:r w:rsidRPr="007249ED">
        <w:rPr>
          <w:vanish/>
        </w:rPr>
        <w:t>PE738.491</w:t>
      </w:r>
      <w:bookmarkEnd w:id="3"/>
    </w:p>
    <w:p w14:paraId="08F593C7" w14:textId="6DF48536" w:rsidR="00323ABD" w:rsidRPr="007249ED" w:rsidRDefault="00323ABD" w:rsidP="00323ABD">
      <w:pPr>
        <w:pStyle w:val="ATHeading3"/>
      </w:pPr>
      <w:bookmarkStart w:id="4" w:name="Sujet"/>
      <w:r w:rsidRPr="007249ED">
        <w:t xml:space="preserve">Europa-Parlamentets lovgivningsmæssige beslutning af </w:t>
      </w:r>
      <w:r w:rsidR="00B748D2">
        <w:t>10. april 2024</w:t>
      </w:r>
      <w:r w:rsidRPr="007249ED">
        <w:t xml:space="preserve"> om forslag til Europa-Parlamentets og Rådets forordning om fastlæggelse af harmoniserede betingelser for markedsføring af byggevarer, om ændring af forordning (EU) 2019/1020 og om ophævelse af forordning (EU) nr. 305/2011</w:t>
      </w:r>
      <w:bookmarkEnd w:id="4"/>
      <w:r w:rsidRPr="007249ED">
        <w:t xml:space="preserve"> </w:t>
      </w:r>
      <w:bookmarkStart w:id="5" w:name="References"/>
      <w:r w:rsidRPr="007249ED">
        <w:t>(COM(2022)0144 – C9-0129/2022 – 2022/0094(COD))</w:t>
      </w:r>
      <w:bookmarkEnd w:id="5"/>
    </w:p>
    <w:p w14:paraId="4D72AA93" w14:textId="77777777" w:rsidR="00515055" w:rsidRPr="007249ED" w:rsidRDefault="00515055" w:rsidP="00515055">
      <w:pPr>
        <w:pStyle w:val="NormalBold"/>
      </w:pPr>
      <w:bookmarkStart w:id="6" w:name="TextBodyBegin"/>
      <w:bookmarkEnd w:id="6"/>
      <w:r w:rsidRPr="007249ED">
        <w:t>(Almindelig lovgivningsprocedure: førstebehandling)</w:t>
      </w:r>
    </w:p>
    <w:p w14:paraId="43069B39" w14:textId="77777777" w:rsidR="00515055" w:rsidRPr="007249ED" w:rsidRDefault="00515055" w:rsidP="00515055">
      <w:pPr>
        <w:pStyle w:val="EPComma"/>
      </w:pPr>
      <w:r w:rsidRPr="007249ED">
        <w:rPr>
          <w:i/>
        </w:rPr>
        <w:t>Europa-Parlamentet</w:t>
      </w:r>
      <w:r w:rsidRPr="007249ED">
        <w:t>,</w:t>
      </w:r>
    </w:p>
    <w:p w14:paraId="6F7DC108" w14:textId="77777777" w:rsidR="00515055" w:rsidRPr="007249ED" w:rsidRDefault="00515055" w:rsidP="00515055">
      <w:pPr>
        <w:pStyle w:val="NormalHanging12a"/>
      </w:pPr>
      <w:r w:rsidRPr="007249ED">
        <w:t>–</w:t>
      </w:r>
      <w:r w:rsidRPr="007249ED">
        <w:tab/>
        <w:t>der henviser til Kommissionens forslag til Europa-Parlamentet og Rådet (COM(2022)0144),</w:t>
      </w:r>
    </w:p>
    <w:p w14:paraId="46633C41" w14:textId="77777777" w:rsidR="00515055" w:rsidRPr="007249ED" w:rsidRDefault="00515055" w:rsidP="00515055">
      <w:pPr>
        <w:pStyle w:val="NormalHanging12a"/>
      </w:pPr>
      <w:r w:rsidRPr="007249ED">
        <w:t>–</w:t>
      </w:r>
      <w:r w:rsidRPr="007249ED">
        <w:tab/>
        <w:t>der henviser til artikel 294, stk. 2, og artikel 114 i traktaten om Den Europæiske Unions funktionsmåde, på grundlag af hvilken Kommissionen har forelagt forslaget for Europa-Parlamentet (C9-0129/2022),</w:t>
      </w:r>
    </w:p>
    <w:p w14:paraId="680B5643" w14:textId="77777777" w:rsidR="00515055" w:rsidRPr="007249ED" w:rsidRDefault="00515055" w:rsidP="00515055">
      <w:pPr>
        <w:pStyle w:val="NormalHanging12a"/>
      </w:pPr>
      <w:r w:rsidRPr="007249ED">
        <w:t>–</w:t>
      </w:r>
      <w:r w:rsidRPr="007249ED">
        <w:tab/>
        <w:t>der henviser til artikel 294, stk. 3, i traktaten om Den Europæiske Unions funktionsmåde,</w:t>
      </w:r>
    </w:p>
    <w:p w14:paraId="15F94194" w14:textId="178E9011" w:rsidR="00515055" w:rsidRDefault="00515055" w:rsidP="00515055">
      <w:pPr>
        <w:pStyle w:val="NormalHanging12a"/>
      </w:pPr>
      <w:r w:rsidRPr="007249ED">
        <w:t>–</w:t>
      </w:r>
      <w:r w:rsidRPr="007249ED">
        <w:tab/>
        <w:t>der henviser til udtalelse af 26. oktober 2022 fra Det Europæiske Økonomiske og Sociale Udvalg</w:t>
      </w:r>
      <w:r w:rsidRPr="007249ED">
        <w:rPr>
          <w:rStyle w:val="FootnoteReference"/>
        </w:rPr>
        <w:footnoteReference w:id="1"/>
      </w:r>
      <w:r w:rsidRPr="007249ED">
        <w:t>,</w:t>
      </w:r>
    </w:p>
    <w:p w14:paraId="53399126" w14:textId="4C05A963" w:rsidR="00D30B0B" w:rsidRPr="007249ED" w:rsidRDefault="00D30B0B" w:rsidP="00515055">
      <w:pPr>
        <w:pStyle w:val="NormalHanging12a"/>
      </w:pPr>
      <w:r>
        <w:t>–</w:t>
      </w:r>
      <w:r>
        <w:tab/>
      </w:r>
      <w:r>
        <w:rPr>
          <w:noProof/>
          <w:szCs w:val="24"/>
        </w:rPr>
        <w:t>der henviser til, at det kompetente udvalg har godkendt den foreløbige aftale i henhold til forretningsordenens artikel 74, stk. 4, og at Rådets repræsentant ved skrivelse af 2. februar 2024 forpligtede sig til at godkende Europa-Parlamentets holdning, jf. artikel 294, stk. 4, i traktaten om Den Europæiske Unions funktionsmåde</w:t>
      </w:r>
      <w:r>
        <w:t>,</w:t>
      </w:r>
    </w:p>
    <w:p w14:paraId="16557A33" w14:textId="77777777" w:rsidR="00515055" w:rsidRPr="007249ED" w:rsidRDefault="00515055" w:rsidP="00515055">
      <w:pPr>
        <w:pStyle w:val="NormalHanging12a"/>
      </w:pPr>
      <w:r w:rsidRPr="007249ED">
        <w:t>–</w:t>
      </w:r>
      <w:r w:rsidRPr="007249ED">
        <w:tab/>
        <w:t>der henviser til forretningsordenens artikel 59,</w:t>
      </w:r>
    </w:p>
    <w:p w14:paraId="683DA92D" w14:textId="77777777" w:rsidR="00515055" w:rsidRPr="007249ED" w:rsidRDefault="00515055" w:rsidP="00515055">
      <w:pPr>
        <w:pStyle w:val="NormalHanging12a"/>
      </w:pPr>
      <w:r w:rsidRPr="007249ED">
        <w:t>–</w:t>
      </w:r>
      <w:r w:rsidRPr="007249ED">
        <w:tab/>
        <w:t>der henviser til udtalelse fra Udvalget om Miljø, Folkesundhed og Fødevaresikkerhed,</w:t>
      </w:r>
    </w:p>
    <w:p w14:paraId="20901B76" w14:textId="77777777" w:rsidR="00515055" w:rsidRPr="007249ED" w:rsidRDefault="00515055" w:rsidP="00515055">
      <w:pPr>
        <w:pStyle w:val="NormalHanging12a"/>
      </w:pPr>
      <w:r w:rsidRPr="007249ED">
        <w:t>–</w:t>
      </w:r>
      <w:r w:rsidRPr="007249ED">
        <w:tab/>
        <w:t>der henviser til udtalelse fra Udvalget om Industri, Forskning og Energi,</w:t>
      </w:r>
    </w:p>
    <w:p w14:paraId="537A37DC" w14:textId="77777777" w:rsidR="00515055" w:rsidRPr="007249ED" w:rsidRDefault="00515055" w:rsidP="00515055">
      <w:pPr>
        <w:pStyle w:val="NormalHanging12a"/>
      </w:pPr>
      <w:r w:rsidRPr="007249ED">
        <w:lastRenderedPageBreak/>
        <w:t>–</w:t>
      </w:r>
      <w:r w:rsidRPr="007249ED">
        <w:tab/>
        <w:t>der henviser til betænkning fra Udvalget om det Indre Marked og Forbrugerbeskyttelse (A9-0207/2023),</w:t>
      </w:r>
    </w:p>
    <w:p w14:paraId="12BDE364" w14:textId="151D07F6" w:rsidR="00515055" w:rsidRPr="007249ED" w:rsidRDefault="00515055" w:rsidP="00515055">
      <w:pPr>
        <w:pStyle w:val="NormalHanging12a"/>
      </w:pPr>
      <w:r w:rsidRPr="007249ED">
        <w:t>1.</w:t>
      </w:r>
      <w:r w:rsidRPr="007249ED">
        <w:tab/>
        <w:t>vedtager nedenstående holdning ved førstebehandling</w:t>
      </w:r>
      <w:r w:rsidR="0045188F">
        <w:rPr>
          <w:rStyle w:val="FootnoteReference"/>
        </w:rPr>
        <w:footnoteReference w:id="2"/>
      </w:r>
      <w:r w:rsidRPr="007249ED">
        <w:t>;</w:t>
      </w:r>
    </w:p>
    <w:p w14:paraId="19C93F75" w14:textId="77777777" w:rsidR="00515055" w:rsidRPr="007249ED" w:rsidRDefault="00515055" w:rsidP="00515055">
      <w:pPr>
        <w:pStyle w:val="NormalHanging12a"/>
      </w:pPr>
      <w:r w:rsidRPr="007249ED">
        <w:t>2.</w:t>
      </w:r>
      <w:r w:rsidRPr="007249ED">
        <w:tab/>
        <w:t>anmoder om fornyet forelæggelse, hvis Kommissionen erstatter, i væsentlig grad ændrer eller agter i væsentlig grad at ændre sit forslag;</w:t>
      </w:r>
    </w:p>
    <w:p w14:paraId="589433F5" w14:textId="77777777" w:rsidR="00515055" w:rsidRPr="007249ED" w:rsidRDefault="00515055" w:rsidP="00515055">
      <w:pPr>
        <w:pStyle w:val="NormalHanging12a"/>
      </w:pPr>
      <w:r w:rsidRPr="007249ED">
        <w:t>3.</w:t>
      </w:r>
      <w:r w:rsidRPr="007249ED">
        <w:tab/>
        <w:t>pålægger sin formand at sende Parlamentets holdning til Rådet og Kommissionen samt til de nationale parlamenter.</w:t>
      </w:r>
    </w:p>
    <w:p w14:paraId="4C588103" w14:textId="77777777" w:rsidR="00B748D2" w:rsidRDefault="00B748D2" w:rsidP="00515055">
      <w:pPr>
        <w:sectPr w:rsidR="00B748D2" w:rsidSect="007249ED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27C5496" w14:textId="0EEB33F5" w:rsidR="00B748D2" w:rsidRPr="00EF7590" w:rsidRDefault="00B748D2" w:rsidP="0045188F">
      <w:pPr>
        <w:pStyle w:val="ATHeading3"/>
      </w:pPr>
      <w:r w:rsidRPr="00EF7590">
        <w:lastRenderedPageBreak/>
        <w:t>P9_TC1-COD(202</w:t>
      </w:r>
      <w:r>
        <w:t>2)0094</w:t>
      </w:r>
    </w:p>
    <w:p w14:paraId="66C5C6B9" w14:textId="3F11A35C" w:rsidR="00B748D2" w:rsidRPr="00EF7590" w:rsidRDefault="00B748D2" w:rsidP="0045188F">
      <w:pPr>
        <w:pStyle w:val="Typedudocument"/>
        <w:spacing w:before="240" w:after="240"/>
        <w:jc w:val="left"/>
        <w:rPr>
          <w:noProof/>
        </w:rPr>
      </w:pPr>
      <w:r w:rsidRPr="00EF7590">
        <w:t xml:space="preserve">Europa-Parlamentets holdning fastlagt ved førstebehandlingen den </w:t>
      </w:r>
      <w:r>
        <w:t>10. april 2024</w:t>
      </w:r>
      <w:r w:rsidRPr="00EF7590">
        <w:t xml:space="preserve"> med henblik på vedtagelse af Europa-Parlamentets og Rådets </w:t>
      </w:r>
      <w:r>
        <w:t xml:space="preserve">forordning </w:t>
      </w:r>
      <w:r w:rsidRPr="00EF7590">
        <w:t xml:space="preserve">(EU) </w:t>
      </w:r>
      <w:r w:rsidRPr="00EF7590">
        <w:rPr>
          <w:rFonts w:eastAsia="Calibri"/>
        </w:rPr>
        <w:t xml:space="preserve">2024/... om </w:t>
      </w:r>
      <w:r w:rsidR="00835FDA" w:rsidRPr="00835FDA">
        <w:rPr>
          <w:noProof/>
          <w:color w:val="000000"/>
          <w:lang w:eastAsia="da-DK" w:bidi="da-DK"/>
        </w:rPr>
        <w:t xml:space="preserve">fastlæggelse af harmoniserede </w:t>
      </w:r>
      <w:r w:rsidR="00835FDA" w:rsidRPr="004119DA">
        <w:rPr>
          <w:noProof/>
          <w:color w:val="000000"/>
          <w:lang w:eastAsia="da-DK" w:bidi="da-DK"/>
        </w:rPr>
        <w:t>regler</w:t>
      </w:r>
      <w:r w:rsidR="00835FDA" w:rsidRPr="00835FDA">
        <w:rPr>
          <w:noProof/>
          <w:color w:val="000000"/>
          <w:lang w:eastAsia="da-DK" w:bidi="da-DK"/>
        </w:rPr>
        <w:t xml:space="preserve"> for markedsføring af byggevarer og om ophævelse af forordning (EU) nr. 305/2011</w:t>
      </w:r>
    </w:p>
    <w:p w14:paraId="4C6584F1" w14:textId="1298307F" w:rsidR="00B748D2" w:rsidRPr="00690D38" w:rsidRDefault="004119DA" w:rsidP="0045188F">
      <w:r w:rsidRPr="00DC166C">
        <w:rPr>
          <w:i/>
        </w:rPr>
        <w:t xml:space="preserve">(Eftersom der var indgået en aftale mellem Parlamentet og Rådet, svarer Parlamentets holdning til den endelige retsakt, </w:t>
      </w:r>
      <w:r w:rsidRPr="004119DA">
        <w:rPr>
          <w:i/>
        </w:rPr>
        <w:t xml:space="preserve">forordning (EU) </w:t>
      </w:r>
      <w:r>
        <w:rPr>
          <w:i/>
        </w:rPr>
        <w:t>2024/3110</w:t>
      </w:r>
      <w:bookmarkStart w:id="7" w:name="_GoBack"/>
      <w:bookmarkEnd w:id="7"/>
      <w:r w:rsidRPr="004119DA">
        <w:rPr>
          <w:i/>
        </w:rPr>
        <w:t>.)</w:t>
      </w:r>
    </w:p>
    <w:sectPr w:rsidR="00B748D2" w:rsidRPr="00690D38" w:rsidSect="004119DA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F06924" w14:textId="77777777" w:rsidR="0045188F" w:rsidRPr="007249ED" w:rsidRDefault="0045188F">
      <w:r w:rsidRPr="007249ED">
        <w:separator/>
      </w:r>
    </w:p>
  </w:endnote>
  <w:endnote w:type="continuationSeparator" w:id="0">
    <w:p w14:paraId="0B96BCAF" w14:textId="77777777" w:rsidR="0045188F" w:rsidRPr="007249ED" w:rsidRDefault="0045188F">
      <w:r w:rsidRPr="007249E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7CAE97" w14:textId="77777777" w:rsidR="0045188F" w:rsidRPr="007249ED" w:rsidRDefault="0045188F">
      <w:r w:rsidRPr="007249ED">
        <w:separator/>
      </w:r>
    </w:p>
  </w:footnote>
  <w:footnote w:type="continuationSeparator" w:id="0">
    <w:p w14:paraId="1C84D0BD" w14:textId="77777777" w:rsidR="0045188F" w:rsidRPr="007249ED" w:rsidRDefault="0045188F">
      <w:r w:rsidRPr="007249ED">
        <w:continuationSeparator/>
      </w:r>
    </w:p>
  </w:footnote>
  <w:footnote w:id="1">
    <w:p w14:paraId="01803963" w14:textId="78E2D38A" w:rsidR="0045188F" w:rsidRPr="007249ED" w:rsidRDefault="0045188F" w:rsidP="007249ED">
      <w:pPr>
        <w:pStyle w:val="FootnoteText"/>
        <w:ind w:left="567" w:hanging="567"/>
        <w:rPr>
          <w:sz w:val="24"/>
          <w:szCs w:val="24"/>
          <w:lang w:val="da-DK"/>
        </w:rPr>
      </w:pPr>
      <w:r w:rsidRPr="007249ED">
        <w:rPr>
          <w:rStyle w:val="FootnoteReference"/>
          <w:sz w:val="24"/>
          <w:szCs w:val="24"/>
          <w:lang w:val="da-DK"/>
        </w:rPr>
        <w:footnoteRef/>
      </w:r>
      <w:r w:rsidRPr="007249ED">
        <w:rPr>
          <w:sz w:val="24"/>
          <w:lang w:val="da-DK"/>
        </w:rPr>
        <w:t xml:space="preserve"> </w:t>
      </w:r>
      <w:r w:rsidRPr="007249ED">
        <w:rPr>
          <w:sz w:val="24"/>
          <w:lang w:val="da-DK"/>
        </w:rPr>
        <w:tab/>
        <w:t>EUT</w:t>
      </w:r>
      <w:r>
        <w:rPr>
          <w:sz w:val="24"/>
          <w:lang w:val="da-DK"/>
        </w:rPr>
        <w:t xml:space="preserve"> C 75 af 28.2.2023, s. 159</w:t>
      </w:r>
      <w:r w:rsidRPr="007249ED">
        <w:rPr>
          <w:sz w:val="24"/>
          <w:lang w:val="da-DK"/>
        </w:rPr>
        <w:t>.</w:t>
      </w:r>
    </w:p>
  </w:footnote>
  <w:footnote w:id="2">
    <w:p w14:paraId="15C7145A" w14:textId="3CE85250" w:rsidR="0045188F" w:rsidRPr="007B1957" w:rsidRDefault="0045188F" w:rsidP="007B1957">
      <w:pPr>
        <w:pStyle w:val="FootnoteText"/>
        <w:ind w:left="567" w:hanging="567"/>
        <w:rPr>
          <w:sz w:val="24"/>
          <w:szCs w:val="24"/>
          <w:lang w:val="da-DK"/>
        </w:rPr>
      </w:pPr>
      <w:r w:rsidRPr="007B1957">
        <w:rPr>
          <w:rStyle w:val="FootnoteReference"/>
          <w:sz w:val="24"/>
          <w:szCs w:val="24"/>
        </w:rPr>
        <w:footnoteRef/>
      </w:r>
      <w:r w:rsidRPr="007B1957">
        <w:rPr>
          <w:sz w:val="24"/>
          <w:szCs w:val="24"/>
          <w:lang w:val="da-DK"/>
        </w:rPr>
        <w:t xml:space="preserve"> </w:t>
      </w:r>
      <w:r w:rsidRPr="007B1957">
        <w:rPr>
          <w:sz w:val="24"/>
          <w:szCs w:val="24"/>
          <w:lang w:val="da-DK"/>
        </w:rPr>
        <w:tab/>
        <w:t xml:space="preserve">Denne holdning erstatter de ændringer, der blev vedtaget den </w:t>
      </w:r>
      <w:r w:rsidR="00D30B0B" w:rsidRPr="00D30B0B">
        <w:rPr>
          <w:sz w:val="24"/>
          <w:szCs w:val="24"/>
          <w:lang w:val="da-DK"/>
        </w:rPr>
        <w:t>11. juli 2023</w:t>
      </w:r>
      <w:r w:rsidRPr="007B1957">
        <w:rPr>
          <w:sz w:val="24"/>
          <w:szCs w:val="24"/>
          <w:lang w:val="da-DK"/>
        </w:rPr>
        <w:t xml:space="preserve"> (</w:t>
      </w:r>
      <w:r w:rsidR="00D30B0B" w:rsidRPr="007B1957">
        <w:rPr>
          <w:sz w:val="24"/>
          <w:szCs w:val="24"/>
          <w:lang w:val="da-DK"/>
        </w:rPr>
        <w:t>Vedtagne tekster, P9_TA(2023)0253</w:t>
      </w:r>
      <w:r w:rsidRPr="007B1957">
        <w:rPr>
          <w:sz w:val="24"/>
          <w:szCs w:val="24"/>
          <w:lang w:val="da-DK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9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0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1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2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3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4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5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6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3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12"/>
  </w:num>
  <w:num w:numId="5">
    <w:abstractNumId w:val="15"/>
  </w:num>
  <w:num w:numId="6">
    <w:abstractNumId w:val="14"/>
  </w:num>
  <w:num w:numId="7">
    <w:abstractNumId w:val="22"/>
  </w:num>
  <w:num w:numId="8">
    <w:abstractNumId w:val="9"/>
  </w:num>
  <w:num w:numId="9">
    <w:abstractNumId w:val="10"/>
  </w:num>
  <w:num w:numId="10">
    <w:abstractNumId w:val="11"/>
  </w:num>
  <w:num w:numId="11">
    <w:abstractNumId w:val="13"/>
  </w:num>
  <w:num w:numId="12">
    <w:abstractNumId w:val="6"/>
  </w:num>
  <w:num w:numId="13">
    <w:abstractNumId w:val="23"/>
  </w:num>
  <w:num w:numId="14">
    <w:abstractNumId w:val="7"/>
  </w:num>
  <w:num w:numId="15">
    <w:abstractNumId w:val="3"/>
  </w:num>
  <w:num w:numId="16">
    <w:abstractNumId w:val="2"/>
  </w:num>
  <w:num w:numId="17">
    <w:abstractNumId w:val="18"/>
  </w:num>
  <w:num w:numId="18">
    <w:abstractNumId w:val="17"/>
  </w:num>
  <w:num w:numId="19">
    <w:abstractNumId w:val="16"/>
  </w:num>
  <w:num w:numId="20">
    <w:abstractNumId w:val="20"/>
  </w:num>
  <w:num w:numId="21">
    <w:abstractNumId w:val="19"/>
  </w:num>
  <w:num w:numId="22">
    <w:abstractNumId w:val="21"/>
  </w:num>
  <w:num w:numId="23">
    <w:abstractNumId w:val="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07/2023"/>
    <w:docVar w:name="dvlangue" w:val="DA"/>
    <w:docVar w:name="dvnumam" w:val="676"/>
    <w:docVar w:name="dvpe" w:val="738.491"/>
    <w:docVar w:name="dvrapporteur" w:val="Ordfører: "/>
    <w:docVar w:name="dvstar" w:val="***I"/>
    <w:docVar w:name="dvtitre" w:val="Europa-Parlamentets lovgivningsmæssige beslutning af xx.xx 2023 om forslag til Europa-Parlamentets og Rådets forordning om fastlæggelse af harmoniserede betingelser for markedsføring af byggevarer, om ændring af forordning (EU) 2019/1020 og om ophævelse af forordning (EU) nr. 305/2011(COM(2022)0144 – C9-0129/2022 – 2022/0094(COD))"/>
  </w:docVars>
  <w:rsids>
    <w:rsidRoot w:val="00323ABD"/>
    <w:rsid w:val="00002272"/>
    <w:rsid w:val="00064002"/>
    <w:rsid w:val="000677B9"/>
    <w:rsid w:val="000831BA"/>
    <w:rsid w:val="000A42CC"/>
    <w:rsid w:val="000C378E"/>
    <w:rsid w:val="000E7DD9"/>
    <w:rsid w:val="0010095E"/>
    <w:rsid w:val="00102D49"/>
    <w:rsid w:val="00107A22"/>
    <w:rsid w:val="00125B37"/>
    <w:rsid w:val="0013480E"/>
    <w:rsid w:val="00171803"/>
    <w:rsid w:val="00187494"/>
    <w:rsid w:val="00194DD0"/>
    <w:rsid w:val="001E2E3D"/>
    <w:rsid w:val="001F32AE"/>
    <w:rsid w:val="002767FF"/>
    <w:rsid w:val="00296C99"/>
    <w:rsid w:val="002B18FE"/>
    <w:rsid w:val="002B5493"/>
    <w:rsid w:val="002F3DD4"/>
    <w:rsid w:val="00323ABD"/>
    <w:rsid w:val="003243DD"/>
    <w:rsid w:val="00343214"/>
    <w:rsid w:val="00361C00"/>
    <w:rsid w:val="003862E3"/>
    <w:rsid w:val="003875A0"/>
    <w:rsid w:val="00395FA1"/>
    <w:rsid w:val="003B39BE"/>
    <w:rsid w:val="003B4ADB"/>
    <w:rsid w:val="003E15D4"/>
    <w:rsid w:val="004119DA"/>
    <w:rsid w:val="00411CCE"/>
    <w:rsid w:val="0041666E"/>
    <w:rsid w:val="00421060"/>
    <w:rsid w:val="00446424"/>
    <w:rsid w:val="00447A74"/>
    <w:rsid w:val="0045188F"/>
    <w:rsid w:val="00471C19"/>
    <w:rsid w:val="00473211"/>
    <w:rsid w:val="004867E3"/>
    <w:rsid w:val="00494A28"/>
    <w:rsid w:val="00496ECD"/>
    <w:rsid w:val="004A3ABA"/>
    <w:rsid w:val="004C0004"/>
    <w:rsid w:val="004C5D52"/>
    <w:rsid w:val="004D149D"/>
    <w:rsid w:val="0050519A"/>
    <w:rsid w:val="005072A1"/>
    <w:rsid w:val="00514517"/>
    <w:rsid w:val="00515055"/>
    <w:rsid w:val="00545827"/>
    <w:rsid w:val="00560270"/>
    <w:rsid w:val="00591FDD"/>
    <w:rsid w:val="005C2568"/>
    <w:rsid w:val="00601DC7"/>
    <w:rsid w:val="006037C0"/>
    <w:rsid w:val="006631B6"/>
    <w:rsid w:val="00680577"/>
    <w:rsid w:val="006F74FA"/>
    <w:rsid w:val="007249ED"/>
    <w:rsid w:val="00731ADD"/>
    <w:rsid w:val="00734777"/>
    <w:rsid w:val="00747932"/>
    <w:rsid w:val="00751A4A"/>
    <w:rsid w:val="00756632"/>
    <w:rsid w:val="00762C74"/>
    <w:rsid w:val="00786EC0"/>
    <w:rsid w:val="007B1957"/>
    <w:rsid w:val="007D1690"/>
    <w:rsid w:val="007E22AD"/>
    <w:rsid w:val="00817416"/>
    <w:rsid w:val="00835FDA"/>
    <w:rsid w:val="00842779"/>
    <w:rsid w:val="00865F67"/>
    <w:rsid w:val="00866C40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433E"/>
    <w:rsid w:val="00A1687D"/>
    <w:rsid w:val="00A43E52"/>
    <w:rsid w:val="00A4678D"/>
    <w:rsid w:val="00A556EA"/>
    <w:rsid w:val="00A778C7"/>
    <w:rsid w:val="00AB441E"/>
    <w:rsid w:val="00AB6293"/>
    <w:rsid w:val="00AE0928"/>
    <w:rsid w:val="00AF3B82"/>
    <w:rsid w:val="00B12E95"/>
    <w:rsid w:val="00B22876"/>
    <w:rsid w:val="00B32015"/>
    <w:rsid w:val="00B558F0"/>
    <w:rsid w:val="00B748D2"/>
    <w:rsid w:val="00BD48FE"/>
    <w:rsid w:val="00BD5CEA"/>
    <w:rsid w:val="00BD7BD8"/>
    <w:rsid w:val="00BE6ADC"/>
    <w:rsid w:val="00C05BFE"/>
    <w:rsid w:val="00C23CD4"/>
    <w:rsid w:val="00C403D0"/>
    <w:rsid w:val="00C61C0C"/>
    <w:rsid w:val="00C941CB"/>
    <w:rsid w:val="00CC2357"/>
    <w:rsid w:val="00CD7577"/>
    <w:rsid w:val="00CF071A"/>
    <w:rsid w:val="00D058B8"/>
    <w:rsid w:val="00D30B0B"/>
    <w:rsid w:val="00D37A63"/>
    <w:rsid w:val="00D56C11"/>
    <w:rsid w:val="00D834A0"/>
    <w:rsid w:val="00D872DF"/>
    <w:rsid w:val="00D91E21"/>
    <w:rsid w:val="00DA7FCD"/>
    <w:rsid w:val="00DC4AAF"/>
    <w:rsid w:val="00E365E1"/>
    <w:rsid w:val="00E768E5"/>
    <w:rsid w:val="00E820A4"/>
    <w:rsid w:val="00EB006A"/>
    <w:rsid w:val="00EB4772"/>
    <w:rsid w:val="00EC594D"/>
    <w:rsid w:val="00ED169E"/>
    <w:rsid w:val="00ED4235"/>
    <w:rsid w:val="00EE7C30"/>
    <w:rsid w:val="00F04346"/>
    <w:rsid w:val="00F075DC"/>
    <w:rsid w:val="00F149E9"/>
    <w:rsid w:val="00F5134D"/>
    <w:rsid w:val="00F74202"/>
    <w:rsid w:val="00F7666C"/>
    <w:rsid w:val="00F85F2A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4674E2"/>
  <w15:chartTrackingRefBased/>
  <w15:docId w15:val="{E8DD171D-4F2B-4B1D-A947-3B1C2FB4C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 w:qFormat="1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HTML Preformatted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515055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5055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5055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5055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5055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5055"/>
    <w:rPr>
      <w:i/>
      <w:sz w:val="22"/>
      <w:lang w:val="da-DK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5055"/>
    <w:rPr>
      <w:rFonts w:ascii="Arial" w:hAnsi="Arial"/>
      <w:sz w:val="24"/>
      <w:lang w:val="da-DK"/>
    </w:rPr>
  </w:style>
  <w:style w:type="character" w:customStyle="1" w:styleId="Heading8Char">
    <w:name w:val="Heading 8 Char"/>
    <w:basedOn w:val="DefaultParagraphFont"/>
    <w:link w:val="Heading8"/>
    <w:semiHidden/>
    <w:rsid w:val="00515055"/>
    <w:rPr>
      <w:rFonts w:ascii="Arial" w:hAnsi="Arial"/>
      <w:i/>
      <w:sz w:val="24"/>
      <w:lang w:val="da-DK"/>
    </w:rPr>
  </w:style>
  <w:style w:type="character" w:customStyle="1" w:styleId="Heading9Char">
    <w:name w:val="Heading 9 Char"/>
    <w:basedOn w:val="DefaultParagraphFont"/>
    <w:link w:val="Heading9"/>
    <w:semiHidden/>
    <w:rsid w:val="00515055"/>
    <w:rPr>
      <w:rFonts w:ascii="Arial" w:hAnsi="Arial"/>
      <w:b/>
      <w:i/>
      <w:sz w:val="18"/>
      <w:lang w:val="da-DK"/>
    </w:rPr>
  </w:style>
  <w:style w:type="paragraph" w:styleId="TOCHeading">
    <w:name w:val="TOC Heading"/>
    <w:basedOn w:val="Normal"/>
    <w:next w:val="Normal"/>
    <w:uiPriority w:val="39"/>
    <w:unhideWhenUsed/>
    <w:qFormat/>
    <w:rsid w:val="00515055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51505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515055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515055"/>
    <w:pPr>
      <w:spacing w:after="120"/>
    </w:pPr>
  </w:style>
  <w:style w:type="paragraph" w:customStyle="1" w:styleId="PageHeading">
    <w:name w:val="PageHeading"/>
    <w:basedOn w:val="Normal"/>
    <w:rsid w:val="0051505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515055"/>
    <w:rPr>
      <w:b/>
    </w:rPr>
  </w:style>
  <w:style w:type="paragraph" w:customStyle="1" w:styleId="NormalBold12a">
    <w:name w:val="NormalBold12a"/>
    <w:basedOn w:val="Normal"/>
    <w:rsid w:val="00515055"/>
    <w:pPr>
      <w:spacing w:after="240"/>
    </w:pPr>
    <w:rPr>
      <w:b/>
    </w:rPr>
  </w:style>
  <w:style w:type="paragraph" w:customStyle="1" w:styleId="AmJustText">
    <w:name w:val="AmJustText"/>
    <w:basedOn w:val="Normal"/>
    <w:rsid w:val="00515055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515055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515055"/>
    <w:pPr>
      <w:spacing w:after="480"/>
      <w:ind w:left="1417"/>
    </w:pPr>
  </w:style>
  <w:style w:type="paragraph" w:customStyle="1" w:styleId="CoverNormal">
    <w:name w:val="CoverNormal"/>
    <w:basedOn w:val="Normal"/>
    <w:rsid w:val="00515055"/>
    <w:pPr>
      <w:ind w:left="1418"/>
    </w:pPr>
  </w:style>
  <w:style w:type="paragraph" w:customStyle="1" w:styleId="AmCrossRef">
    <w:name w:val="AmCrossRef"/>
    <w:basedOn w:val="Normal"/>
    <w:rsid w:val="00515055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515055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515055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515055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515055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515055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51505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15055"/>
    <w:rPr>
      <w:sz w:val="24"/>
      <w:lang w:val="da-DK"/>
    </w:rPr>
  </w:style>
  <w:style w:type="paragraph" w:customStyle="1" w:styleId="AmOrLang">
    <w:name w:val="AmOrLang"/>
    <w:basedOn w:val="Normal"/>
    <w:rsid w:val="00515055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515055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1505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515055"/>
    <w:pPr>
      <w:spacing w:before="240"/>
    </w:pPr>
    <w:rPr>
      <w:b/>
    </w:rPr>
  </w:style>
  <w:style w:type="paragraph" w:customStyle="1" w:styleId="EPBody">
    <w:name w:val="EPBody"/>
    <w:basedOn w:val="Normal"/>
    <w:rsid w:val="00515055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51505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515055"/>
    <w:pPr>
      <w:spacing w:before="480" w:after="240"/>
    </w:pPr>
  </w:style>
  <w:style w:type="paragraph" w:customStyle="1" w:styleId="Lgendesigne">
    <w:name w:val="Légende signe"/>
    <w:basedOn w:val="Normal"/>
    <w:rsid w:val="00515055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515055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515055"/>
    <w:rPr>
      <w:sz w:val="18"/>
    </w:rPr>
  </w:style>
  <w:style w:type="paragraph" w:styleId="BalloonText">
    <w:name w:val="Balloon Text"/>
    <w:basedOn w:val="Normal"/>
    <w:link w:val="BalloonTextChar"/>
    <w:uiPriority w:val="99"/>
    <w:unhideWhenUsed/>
    <w:rsid w:val="0051505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515055"/>
    <w:rPr>
      <w:rFonts w:ascii="Segoe UI" w:hAnsi="Segoe UI" w:cs="Segoe UI"/>
      <w:sz w:val="18"/>
      <w:szCs w:val="18"/>
      <w:lang w:val="da-DK"/>
    </w:rPr>
  </w:style>
  <w:style w:type="paragraph" w:customStyle="1" w:styleId="msonormal0">
    <w:name w:val="msonormal"/>
    <w:basedOn w:val="Normal"/>
    <w:rsid w:val="00515055"/>
    <w:pPr>
      <w:widowControl/>
      <w:spacing w:before="100" w:beforeAutospacing="1" w:after="100" w:afterAutospacing="1"/>
    </w:pPr>
    <w:rPr>
      <w:szCs w:val="24"/>
    </w:rPr>
  </w:style>
  <w:style w:type="paragraph" w:customStyle="1" w:styleId="CoverBold">
    <w:name w:val="CoverBold"/>
    <w:basedOn w:val="Normal"/>
    <w:rsid w:val="00515055"/>
    <w:pPr>
      <w:ind w:left="1417"/>
    </w:pPr>
    <w:rPr>
      <w:b/>
    </w:rPr>
  </w:style>
  <w:style w:type="paragraph" w:customStyle="1" w:styleId="Normal2">
    <w:name w:val="Normal2"/>
    <w:basedOn w:val="Normal"/>
    <w:qFormat/>
    <w:rsid w:val="00515055"/>
    <w:pPr>
      <w:spacing w:line="120" w:lineRule="auto"/>
    </w:pPr>
    <w:rPr>
      <w:sz w:val="4"/>
    </w:rPr>
  </w:style>
  <w:style w:type="paragraph" w:customStyle="1" w:styleId="NormalItalic6a">
    <w:name w:val="NormalItalic6a"/>
    <w:basedOn w:val="Normal6a"/>
    <w:qFormat/>
    <w:rsid w:val="00515055"/>
    <w:rPr>
      <w:i/>
    </w:rPr>
  </w:style>
  <w:style w:type="paragraph" w:customStyle="1" w:styleId="NormalBoldItalic6a">
    <w:name w:val="NormalBoldItalic6a"/>
    <w:basedOn w:val="Normal6a"/>
    <w:qFormat/>
    <w:rsid w:val="00515055"/>
    <w:rPr>
      <w:b/>
      <w:i/>
    </w:rPr>
  </w:style>
  <w:style w:type="paragraph" w:customStyle="1" w:styleId="NormalBoldItalicCenter6a">
    <w:name w:val="NormalBoldItalicCenter6a"/>
    <w:basedOn w:val="Normal6a"/>
    <w:qFormat/>
    <w:rsid w:val="00515055"/>
    <w:pPr>
      <w:jc w:val="center"/>
    </w:pPr>
    <w:rPr>
      <w:b/>
      <w:i/>
    </w:rPr>
  </w:style>
  <w:style w:type="paragraph" w:customStyle="1" w:styleId="EPFooter2Landscape">
    <w:name w:val="EPFooter2Landscape"/>
    <w:qFormat/>
    <w:rsid w:val="00515055"/>
    <w:pPr>
      <w:tabs>
        <w:tab w:val="center" w:pos="4536"/>
        <w:tab w:val="center" w:pos="9923"/>
        <w:tab w:val="right" w:pos="15026"/>
      </w:tabs>
    </w:pPr>
    <w:rPr>
      <w:rFonts w:ascii="Arial" w:hAnsi="Arial" w:cs="Arial"/>
      <w:b/>
      <w:sz w:val="48"/>
      <w:szCs w:val="22"/>
      <w:lang w:val="da-DK"/>
    </w:rPr>
  </w:style>
  <w:style w:type="paragraph" w:customStyle="1" w:styleId="EPFooterLandscape">
    <w:name w:val="EPFooterLandscape"/>
    <w:qFormat/>
    <w:rsid w:val="00515055"/>
    <w:pPr>
      <w:tabs>
        <w:tab w:val="center" w:pos="6804"/>
        <w:tab w:val="right" w:pos="15026"/>
      </w:tabs>
    </w:pPr>
    <w:rPr>
      <w:sz w:val="22"/>
      <w:lang w:val="da-DK"/>
    </w:rPr>
  </w:style>
  <w:style w:type="character" w:customStyle="1" w:styleId="NormalBI">
    <w:name w:val="NormalBI"/>
    <w:basedOn w:val="DefaultParagraphFont"/>
    <w:uiPriority w:val="1"/>
    <w:qFormat/>
    <w:rsid w:val="00515055"/>
    <w:rPr>
      <w:rFonts w:ascii="Times New Roman" w:hAnsi="Times New Roman" w:cs="Times New Roman" w:hint="default"/>
      <w:b/>
      <w:bCs w:val="0"/>
      <w:i/>
      <w:iCs w:val="0"/>
      <w:sz w:val="24"/>
    </w:rPr>
  </w:style>
  <w:style w:type="character" w:customStyle="1" w:styleId="EPFooter2Motto">
    <w:name w:val="EPFooter2Motto"/>
    <w:uiPriority w:val="1"/>
    <w:qFormat/>
    <w:rsid w:val="00515055"/>
    <w:rPr>
      <w:rFonts w:ascii="Arial" w:hAnsi="Arial" w:cs="Arial" w:hint="default"/>
      <w:b/>
      <w:bCs w:val="0"/>
      <w:i/>
      <w:iCs w:val="0"/>
      <w:color w:val="C0C0C0"/>
      <w:sz w:val="22"/>
    </w:rPr>
  </w:style>
  <w:style w:type="character" w:customStyle="1" w:styleId="Bold">
    <w:name w:val="Bold"/>
    <w:uiPriority w:val="1"/>
    <w:qFormat/>
    <w:rsid w:val="00515055"/>
    <w:rPr>
      <w:b/>
      <w:bCs w:val="0"/>
    </w:rPr>
  </w:style>
  <w:style w:type="character" w:customStyle="1" w:styleId="Italic">
    <w:name w:val="Italic"/>
    <w:uiPriority w:val="1"/>
    <w:qFormat/>
    <w:rsid w:val="00515055"/>
    <w:rPr>
      <w:i/>
      <w:iCs w:val="0"/>
    </w:rPr>
  </w:style>
  <w:style w:type="character" w:customStyle="1" w:styleId="BoldItalic">
    <w:name w:val="BoldItalic"/>
    <w:uiPriority w:val="1"/>
    <w:qFormat/>
    <w:rsid w:val="00515055"/>
    <w:rPr>
      <w:b/>
      <w:bCs w:val="0"/>
      <w:i/>
      <w:iCs w:val="0"/>
    </w:rPr>
  </w:style>
  <w:style w:type="character" w:customStyle="1" w:styleId="Underline">
    <w:name w:val="Underline"/>
    <w:uiPriority w:val="1"/>
    <w:qFormat/>
    <w:rsid w:val="00515055"/>
    <w:rPr>
      <w:u w:val="single"/>
    </w:rPr>
  </w:style>
  <w:style w:type="character" w:customStyle="1" w:styleId="Sub">
    <w:name w:val="Sub"/>
    <w:uiPriority w:val="1"/>
    <w:qFormat/>
    <w:rsid w:val="00515055"/>
    <w:rPr>
      <w:vertAlign w:val="subscript"/>
    </w:rPr>
  </w:style>
  <w:style w:type="character" w:customStyle="1" w:styleId="Sup">
    <w:name w:val="Sup"/>
    <w:uiPriority w:val="1"/>
    <w:qFormat/>
    <w:rsid w:val="00515055"/>
    <w:rPr>
      <w:vertAlign w:val="superscript"/>
    </w:rPr>
  </w:style>
  <w:style w:type="character" w:customStyle="1" w:styleId="SupBoldItalic">
    <w:name w:val="SupBoldItalic"/>
    <w:uiPriority w:val="1"/>
    <w:qFormat/>
    <w:rsid w:val="00515055"/>
    <w:rPr>
      <w:b/>
      <w:bCs w:val="0"/>
      <w:i/>
      <w:iCs w:val="0"/>
      <w:vertAlign w:val="superscript"/>
    </w:rPr>
  </w:style>
  <w:style w:type="character" w:customStyle="1" w:styleId="SubBoldItalic">
    <w:name w:val="SubBoldItalic"/>
    <w:uiPriority w:val="1"/>
    <w:qFormat/>
    <w:rsid w:val="00515055"/>
    <w:rPr>
      <w:b/>
      <w:bCs w:val="0"/>
      <w:i/>
      <w:iCs w:val="0"/>
      <w:vertAlign w:val="subscript"/>
    </w:rPr>
  </w:style>
  <w:style w:type="paragraph" w:customStyle="1" w:styleId="doceo-line-height-base">
    <w:name w:val="doceo-line-height-base"/>
    <w:basedOn w:val="Normal"/>
    <w:rsid w:val="00515055"/>
    <w:pPr>
      <w:widowControl/>
      <w:spacing w:before="100" w:beforeAutospacing="1" w:after="100" w:afterAutospacing="1"/>
    </w:pPr>
    <w:rPr>
      <w:szCs w:val="24"/>
    </w:rPr>
  </w:style>
  <w:style w:type="paragraph" w:customStyle="1" w:styleId="Default">
    <w:name w:val="Default"/>
    <w:rsid w:val="00515055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da-DK" w:eastAsia="en-US"/>
    </w:rPr>
  </w:style>
  <w:style w:type="character" w:customStyle="1" w:styleId="doceo-font-family-base">
    <w:name w:val="doceo-font-family-base"/>
    <w:basedOn w:val="DefaultParagraphFont"/>
    <w:rsid w:val="00515055"/>
  </w:style>
  <w:style w:type="character" w:styleId="CommentReference">
    <w:name w:val="annotation reference"/>
    <w:basedOn w:val="DefaultParagraphFont"/>
    <w:uiPriority w:val="99"/>
    <w:rsid w:val="005150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qFormat/>
    <w:rsid w:val="00515055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15055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150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515055"/>
    <w:rPr>
      <w:b/>
      <w:bCs/>
      <w:lang w:val="da-DK"/>
    </w:rPr>
  </w:style>
  <w:style w:type="paragraph" w:customStyle="1" w:styleId="Titreobjet">
    <w:name w:val="Titre objet"/>
    <w:basedOn w:val="Normal"/>
    <w:rsid w:val="00515055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character" w:customStyle="1" w:styleId="NormalBoldChar">
    <w:name w:val="NormalBold Char"/>
    <w:basedOn w:val="DefaultParagraphFont"/>
    <w:link w:val="NormalBold"/>
    <w:rsid w:val="00515055"/>
    <w:rPr>
      <w:b/>
      <w:sz w:val="24"/>
      <w:lang w:val="da-DK"/>
    </w:rPr>
  </w:style>
  <w:style w:type="paragraph" w:customStyle="1" w:styleId="Normal6">
    <w:name w:val="Normal6"/>
    <w:basedOn w:val="Normal"/>
    <w:link w:val="Normal6Char"/>
    <w:rsid w:val="00515055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515055"/>
    <w:rPr>
      <w:sz w:val="24"/>
      <w:lang w:val="da-DK"/>
    </w:rPr>
  </w:style>
  <w:style w:type="paragraph" w:customStyle="1" w:styleId="ColumnHeading">
    <w:name w:val="ColumnHeading"/>
    <w:basedOn w:val="Normal"/>
    <w:rsid w:val="00515055"/>
    <w:pPr>
      <w:spacing w:after="240"/>
      <w:jc w:val="center"/>
    </w:pPr>
    <w:rPr>
      <w:i/>
    </w:rPr>
  </w:style>
  <w:style w:type="paragraph" w:customStyle="1" w:styleId="Normal12a">
    <w:name w:val="Normal12a"/>
    <w:basedOn w:val="Normal"/>
    <w:rsid w:val="00515055"/>
    <w:pPr>
      <w:spacing w:after="240"/>
    </w:pPr>
  </w:style>
  <w:style w:type="paragraph" w:customStyle="1" w:styleId="PageHeadingNotTOC">
    <w:name w:val="PageHeadingNotTOC"/>
    <w:basedOn w:val="Normal"/>
    <w:rsid w:val="0051505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515055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character" w:customStyle="1" w:styleId="Normal12Char">
    <w:name w:val="Normal12 Char"/>
    <w:basedOn w:val="DefaultParagraphFont"/>
    <w:link w:val="Normal12"/>
    <w:locked/>
    <w:rsid w:val="00515055"/>
    <w:rPr>
      <w:noProof/>
      <w:sz w:val="24"/>
    </w:rPr>
  </w:style>
  <w:style w:type="paragraph" w:customStyle="1" w:styleId="Normal12">
    <w:name w:val="Normal12"/>
    <w:basedOn w:val="Normal"/>
    <w:link w:val="Normal12Char"/>
    <w:rsid w:val="00515055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515055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515055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515055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515055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515055"/>
    <w:pPr>
      <w:jc w:val="right"/>
    </w:pPr>
    <w:rPr>
      <w:rFonts w:ascii="Arial" w:hAnsi="Arial" w:cs="Arial"/>
      <w:sz w:val="22"/>
      <w:szCs w:val="22"/>
    </w:rPr>
  </w:style>
  <w:style w:type="paragraph" w:customStyle="1" w:styleId="Normal12Italic">
    <w:name w:val="Normal12Italic"/>
    <w:basedOn w:val="Normal12"/>
    <w:rsid w:val="00515055"/>
    <w:rPr>
      <w:i/>
    </w:rPr>
  </w:style>
  <w:style w:type="paragraph" w:customStyle="1" w:styleId="JustificationTitle">
    <w:name w:val="JustificationTitle"/>
    <w:basedOn w:val="Normal"/>
    <w:next w:val="Normal12"/>
    <w:rsid w:val="00515055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515055"/>
    <w:pPr>
      <w:spacing w:before="240" w:after="240"/>
      <w:jc w:val="right"/>
    </w:pPr>
    <w:rPr>
      <w:noProof/>
      <w:szCs w:val="24"/>
    </w:rPr>
  </w:style>
  <w:style w:type="paragraph" w:customStyle="1" w:styleId="AMNumberTabs0">
    <w:name w:val="AMNumberTabs"/>
    <w:basedOn w:val="Normal"/>
    <w:rsid w:val="0051505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515055"/>
    <w:pPr>
      <w:spacing w:before="240"/>
      <w:jc w:val="center"/>
    </w:pPr>
    <w:rPr>
      <w:i/>
    </w:rPr>
  </w:style>
  <w:style w:type="paragraph" w:customStyle="1" w:styleId="Normal24a">
    <w:name w:val="Normal24a"/>
    <w:basedOn w:val="Normal"/>
    <w:link w:val="Normal24aChar"/>
    <w:rsid w:val="00515055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515055"/>
    <w:rPr>
      <w:sz w:val="24"/>
      <w:lang w:val="da-DK"/>
    </w:rPr>
  </w:style>
  <w:style w:type="character" w:customStyle="1" w:styleId="Footer2Middle">
    <w:name w:val="Footer2Middle"/>
    <w:rsid w:val="00515055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515055"/>
    <w:pPr>
      <w:jc w:val="center"/>
    </w:pPr>
    <w:rPr>
      <w:noProof w:val="0"/>
      <w:sz w:val="56"/>
    </w:rPr>
  </w:style>
  <w:style w:type="paragraph" w:styleId="Revision">
    <w:name w:val="Revision"/>
    <w:hidden/>
    <w:uiPriority w:val="99"/>
    <w:semiHidden/>
    <w:rsid w:val="00515055"/>
    <w:rPr>
      <w:sz w:val="24"/>
      <w:szCs w:val="24"/>
      <w:lang w:val="da-DK"/>
    </w:rPr>
  </w:style>
  <w:style w:type="character" w:styleId="Hyperlink">
    <w:name w:val="Hyperlink"/>
    <w:basedOn w:val="DefaultParagraphFont"/>
    <w:uiPriority w:val="99"/>
    <w:rsid w:val="00515055"/>
    <w:rPr>
      <w:color w:val="0563C1" w:themeColor="hyperlink"/>
      <w:u w:val="single"/>
    </w:rPr>
  </w:style>
  <w:style w:type="paragraph" w:customStyle="1" w:styleId="RollCallSymbols14pt">
    <w:name w:val="RollCallSymbols14pt"/>
    <w:basedOn w:val="Normal"/>
    <w:rsid w:val="00515055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515055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515055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515055"/>
    <w:pPr>
      <w:spacing w:before="120" w:after="120"/>
    </w:pPr>
    <w:rPr>
      <w:snapToGrid w:val="0"/>
      <w:sz w:val="16"/>
      <w:lang w:eastAsia="en-US"/>
    </w:rPr>
  </w:style>
  <w:style w:type="character" w:customStyle="1" w:styleId="FooterChar1">
    <w:name w:val="Footer Char1"/>
    <w:basedOn w:val="DefaultParagraphFont"/>
    <w:rsid w:val="00515055"/>
    <w:rPr>
      <w:sz w:val="24"/>
    </w:rPr>
  </w:style>
  <w:style w:type="character" w:styleId="Emphasis">
    <w:name w:val="Emphasis"/>
    <w:basedOn w:val="DefaultParagraphFont"/>
    <w:uiPriority w:val="20"/>
    <w:qFormat/>
    <w:rsid w:val="00515055"/>
    <w:rPr>
      <w:i/>
      <w:iCs/>
    </w:rPr>
  </w:style>
  <w:style w:type="paragraph" w:styleId="Footer">
    <w:name w:val="footer"/>
    <w:basedOn w:val="Normal"/>
    <w:link w:val="FooterChar"/>
    <w:uiPriority w:val="99"/>
    <w:rsid w:val="0051505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5055"/>
    <w:rPr>
      <w:sz w:val="24"/>
      <w:lang w:val="da-DK"/>
    </w:rPr>
  </w:style>
  <w:style w:type="paragraph" w:customStyle="1" w:styleId="Typedudocument">
    <w:name w:val="Type du document"/>
    <w:basedOn w:val="Normal"/>
    <w:next w:val="Normal"/>
    <w:rsid w:val="00B748D2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AmDocTypeTab">
    <w:name w:val="AmDocTypeTab"/>
    <w:basedOn w:val="Normal"/>
    <w:rsid w:val="00B748D2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B748D2"/>
    <w:pPr>
      <w:spacing w:after="240"/>
      <w:jc w:val="center"/>
    </w:pPr>
  </w:style>
  <w:style w:type="paragraph" w:customStyle="1" w:styleId="AmDateTab">
    <w:name w:val="AmDateTab"/>
    <w:basedOn w:val="Normal"/>
    <w:rsid w:val="00B748D2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B748D2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B748D2"/>
  </w:style>
  <w:style w:type="paragraph" w:styleId="TOC4">
    <w:name w:val="toc 4"/>
    <w:basedOn w:val="Normal"/>
    <w:next w:val="Normal"/>
    <w:uiPriority w:val="39"/>
    <w:unhideWhenUsed/>
    <w:rsid w:val="00B748D2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B748D2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B748D2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B748D2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B748D2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B748D2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B748D2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B748D2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B748D2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B748D2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B748D2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B748D2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B748D2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B748D2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B748D2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B748D2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B748D2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B748D2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B748D2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B748D2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B748D2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B748D2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B748D2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B748D2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B748D2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B748D2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B748D2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B748D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B748D2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B748D2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B748D2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B748D2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B748D2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B748D2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B748D2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B748D2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B748D2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B748D2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B748D2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B748D2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B748D2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B748D2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B748D2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B748D2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B748D2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B748D2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B748D2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B748D2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B748D2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B748D2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B748D2"/>
    <w:pPr>
      <w:widowControl/>
      <w:numPr>
        <w:numId w:val="4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B748D2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B748D2"/>
    <w:pPr>
      <w:widowControl/>
      <w:numPr>
        <w:numId w:val="6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B748D2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B748D2"/>
    <w:pPr>
      <w:widowControl/>
      <w:numPr>
        <w:numId w:val="8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B748D2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B748D2"/>
    <w:pPr>
      <w:widowControl/>
      <w:numPr>
        <w:numId w:val="10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B748D2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B748D2"/>
    <w:pPr>
      <w:widowControl/>
      <w:numPr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B748D2"/>
    <w:pPr>
      <w:widowControl/>
      <w:numPr>
        <w:ilvl w:val="1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B748D2"/>
    <w:pPr>
      <w:widowControl/>
      <w:numPr>
        <w:ilvl w:val="2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B748D2"/>
    <w:pPr>
      <w:widowControl/>
      <w:numPr>
        <w:ilvl w:val="3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B748D2"/>
    <w:pPr>
      <w:widowControl/>
      <w:numPr>
        <w:ilvl w:val="4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B748D2"/>
    <w:pPr>
      <w:widowControl/>
      <w:numPr>
        <w:ilvl w:val="5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B748D2"/>
    <w:pPr>
      <w:widowControl/>
      <w:numPr>
        <w:ilvl w:val="6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B748D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B748D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B748D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B748D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B748D2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B748D2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B748D2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B748D2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B748D2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B748D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B748D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B748D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B748D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B748D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B748D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B748D2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B748D2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B748D2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B748D2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B748D2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B748D2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B748D2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B748D2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B748D2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B748D2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B748D2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B748D2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B748D2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B748D2"/>
    <w:pPr>
      <w:widowControl/>
      <w:numPr>
        <w:numId w:val="14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B748D2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B748D2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B748D2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B748D2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B748D2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B748D2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B748D2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B748D2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B748D2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B748D2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B748D2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B748D2"/>
    <w:pPr>
      <w:widowControl/>
      <w:numPr>
        <w:numId w:val="2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B748D2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B748D2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B748D2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B748D2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B748D2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B748D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B748D2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B748D2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B748D2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B748D2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ignefinal">
    <w:name w:val="Ligne final"/>
    <w:basedOn w:val="Normal"/>
    <w:next w:val="Normal"/>
    <w:rsid w:val="00B748D2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B748D2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B748D2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B748D2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B748D2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B748D2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B748D2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B748D2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B748D2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B748D2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B748D2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B748D2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B748D2"/>
    <w:pPr>
      <w:spacing w:before="240"/>
    </w:pPr>
  </w:style>
  <w:style w:type="paragraph" w:customStyle="1" w:styleId="Accordtitre">
    <w:name w:val="Accord titre"/>
    <w:basedOn w:val="Normal"/>
    <w:rsid w:val="00B748D2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B748D2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B748D2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B748D2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B748D2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B748D2"/>
    <w:pPr>
      <w:spacing w:after="240"/>
    </w:pPr>
  </w:style>
  <w:style w:type="paragraph" w:customStyle="1" w:styleId="Annexetitre">
    <w:name w:val="Annexe titre"/>
    <w:basedOn w:val="Normal"/>
    <w:next w:val="Normal"/>
    <w:rsid w:val="00B748D2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B748D2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B748D2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B748D2"/>
    <w:rPr>
      <w:rFonts w:eastAsia="Calibri"/>
      <w:lang w:val="da-DK" w:eastAsia="en-US"/>
    </w:rPr>
  </w:style>
  <w:style w:type="character" w:styleId="EndnoteReference">
    <w:name w:val="endnote reference"/>
    <w:basedOn w:val="DefaultParagraphFont"/>
    <w:uiPriority w:val="99"/>
    <w:unhideWhenUsed/>
    <w:rsid w:val="00B748D2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B748D2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B748D2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B748D2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B748D2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B748D2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B748D2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B748D2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B748D2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B748D2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B748D2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B748D2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B748D2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B748D2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B748D2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B748D2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B748D2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B748D2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B748D2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B748D2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B748D2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B748D2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B748D2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B748D2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B748D2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B748D2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B748D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B748D2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de-DE" w:eastAsia="en-US"/>
    </w:rPr>
  </w:style>
  <w:style w:type="paragraph" w:customStyle="1" w:styleId="CommentFwdQuotedText">
    <w:name w:val="CommentFwdQuotedText"/>
    <w:basedOn w:val="Normal"/>
    <w:rsid w:val="00B748D2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B748D2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B748D2"/>
    <w:rPr>
      <w:b/>
      <w:i/>
    </w:rPr>
  </w:style>
  <w:style w:type="character" w:customStyle="1" w:styleId="diff-tte-removed">
    <w:name w:val="diff-tte-removed"/>
    <w:basedOn w:val="DefaultParagraphFont"/>
    <w:rsid w:val="00B748D2"/>
    <w:rPr>
      <w:strike/>
    </w:rPr>
  </w:style>
  <w:style w:type="character" w:customStyle="1" w:styleId="Hyperlink1">
    <w:name w:val="Hyperlink1"/>
    <w:basedOn w:val="DefaultParagraphFont"/>
    <w:uiPriority w:val="99"/>
    <w:unhideWhenUsed/>
    <w:rsid w:val="00B748D2"/>
    <w:rPr>
      <w:color w:val="0563C1"/>
      <w:u w:val="single"/>
    </w:rPr>
  </w:style>
  <w:style w:type="paragraph" w:customStyle="1" w:styleId="oj-normal">
    <w:name w:val="oj-normal"/>
    <w:basedOn w:val="Normal"/>
    <w:rsid w:val="00B748D2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iPriority w:val="99"/>
    <w:unhideWhenUsed/>
    <w:rsid w:val="00B748D2"/>
    <w:pPr>
      <w:widowControl/>
      <w:spacing w:before="100" w:beforeAutospacing="1" w:after="100" w:afterAutospacing="1"/>
    </w:pPr>
    <w:rPr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748D2"/>
    <w:rPr>
      <w:color w:val="605E5C"/>
      <w:shd w:val="clear" w:color="auto" w:fill="E1DFDD"/>
    </w:rPr>
  </w:style>
  <w:style w:type="paragraph" w:customStyle="1" w:styleId="Normal12Centre">
    <w:name w:val="Normal12Centre"/>
    <w:basedOn w:val="Normal"/>
    <w:rsid w:val="00B748D2"/>
    <w:pPr>
      <w:spacing w:after="240"/>
      <w:jc w:val="center"/>
    </w:pPr>
    <w:rPr>
      <w:noProof/>
    </w:rPr>
  </w:style>
  <w:style w:type="paragraph" w:customStyle="1" w:styleId="ConsHeading">
    <w:name w:val="ConsHeading"/>
    <w:basedOn w:val="Normal12Centre"/>
    <w:rsid w:val="00B748D2"/>
    <w:pPr>
      <w:spacing w:before="720"/>
    </w:pPr>
  </w:style>
  <w:style w:type="paragraph" w:customStyle="1" w:styleId="HeadingDocType24a">
    <w:name w:val="HeadingDocType24a"/>
    <w:basedOn w:val="Normal"/>
    <w:rsid w:val="00835FDA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835FDA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835FDA"/>
    <w:pPr>
      <w:jc w:val="center"/>
    </w:pPr>
  </w:style>
  <w:style w:type="paragraph" w:customStyle="1" w:styleId="LineSingle">
    <w:name w:val="LineSingle"/>
    <w:basedOn w:val="Normal"/>
    <w:next w:val="Normal"/>
    <w:rsid w:val="00835FDA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835FDA"/>
    <w:pPr>
      <w:spacing w:before="240" w:after="24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35FD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35FDA"/>
    <w:pPr>
      <w:widowControl/>
      <w:ind w:left="720"/>
      <w:contextualSpacing/>
    </w:pPr>
    <w:rPr>
      <w:rFonts w:ascii="Calibri" w:eastAsiaTheme="minorHAnsi" w:hAnsi="Calibri" w:cs="Calibri"/>
      <w:sz w:val="22"/>
      <w:szCs w:val="22"/>
      <w:lang w:val="en-GB" w:eastAsia="en-US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835FD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eastAsia="da-DK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35FDA"/>
    <w:rPr>
      <w:rFonts w:ascii="Courier New" w:hAnsi="Courier New" w:cs="Courier New"/>
      <w:lang w:val="da-DK" w:eastAsia="da-DK"/>
    </w:rPr>
  </w:style>
  <w:style w:type="character" w:customStyle="1" w:styleId="y2iqfc">
    <w:name w:val="y2iqfc"/>
    <w:basedOn w:val="DefaultParagraphFont"/>
    <w:rsid w:val="00835F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523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F95823-6A38-4DA7-A9B3-2291A551FC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314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NIELSEN Anja</cp:lastModifiedBy>
  <cp:revision>2</cp:revision>
  <cp:lastPrinted>2004-11-19T15:42:00Z</cp:lastPrinted>
  <dcterms:created xsi:type="dcterms:W3CDTF">2025-01-21T12:21:00Z</dcterms:created>
  <dcterms:modified xsi:type="dcterms:W3CDTF">2025-01-21T12:21:00Z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P9_TA(2024)0188_</vt:lpwstr>
  </property>
  <property fmtid="{D5CDD505-2E9C-101B-9397-08002B2CF9AE}" pid="4" name="&lt;Type&gt;">
    <vt:lpwstr>RR</vt:lpwstr>
  </property>
</Properties>
</file>