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E74F8" w:rsidRPr="00CF038E" w:rsidTr="00D206C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E74F8" w:rsidRPr="00CF038E" w:rsidRDefault="006E74F8" w:rsidP="00D206C8">
            <w:pPr>
              <w:pStyle w:val="EPName"/>
            </w:pPr>
            <w:bookmarkStart w:id="0" w:name="TANumber"/>
            <w:r w:rsidRPr="00CF038E">
              <w:t>Eiropas Parlaments</w:t>
            </w:r>
          </w:p>
          <w:p w:rsidR="006E74F8" w:rsidRPr="00CF038E" w:rsidRDefault="006E74F8" w:rsidP="00D206C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038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6E74F8" w:rsidRPr="00CF038E" w:rsidRDefault="006E74F8" w:rsidP="00D206C8">
            <w:pPr>
              <w:pStyle w:val="EPLogo"/>
            </w:pPr>
            <w:r w:rsidRPr="00CF038E">
              <w:rPr>
                <w:noProof/>
                <w:lang w:val="en-GB"/>
              </w:rPr>
              <w:drawing>
                <wp:inline distT="0" distB="0" distL="0" distR="0" wp14:anchorId="2C087DCB" wp14:editId="5CCEA4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4F8" w:rsidRPr="00CF038E" w:rsidRDefault="006E74F8" w:rsidP="006E74F8">
      <w:pPr>
        <w:pStyle w:val="LineTop"/>
      </w:pPr>
    </w:p>
    <w:p w:rsidR="006E74F8" w:rsidRPr="00CF038E" w:rsidRDefault="006E74F8" w:rsidP="006E74F8">
      <w:pPr>
        <w:pStyle w:val="EPBodyTA1"/>
      </w:pPr>
      <w:r w:rsidRPr="00CF038E">
        <w:t>PIEŅEMTIE TEKSTI</w:t>
      </w:r>
    </w:p>
    <w:p w:rsidR="006E74F8" w:rsidRPr="00CF038E" w:rsidRDefault="006E74F8" w:rsidP="006E74F8">
      <w:pPr>
        <w:pStyle w:val="LineBottom"/>
      </w:pPr>
    </w:p>
    <w:p w:rsidR="00164F7A" w:rsidRPr="00EF6A86" w:rsidRDefault="00164F7A" w:rsidP="00164F7A">
      <w:pPr>
        <w:pStyle w:val="ATHeading1"/>
      </w:pPr>
      <w:r w:rsidRPr="00EF6A86">
        <w:t>P</w:t>
      </w:r>
      <w:r w:rsidRPr="001D4CE2">
        <w:t>9</w:t>
      </w:r>
      <w:r w:rsidRPr="00EF6A86">
        <w:t>_TA(</w:t>
      </w:r>
      <w:r w:rsidRPr="001D4CE2">
        <w:t>2024</w:t>
      </w:r>
      <w:r w:rsidRPr="00EF6A86">
        <w:t>)</w:t>
      </w:r>
      <w:r w:rsidRPr="001D4CE2">
        <w:t>0</w:t>
      </w:r>
      <w:r w:rsidR="00CE3455" w:rsidRPr="001D4CE2">
        <w:t>190</w:t>
      </w:r>
      <w:bookmarkEnd w:id="0"/>
    </w:p>
    <w:p w:rsidR="00164F7A" w:rsidRPr="00EF6A86" w:rsidRDefault="00AA2A62" w:rsidP="00164F7A">
      <w:pPr>
        <w:pStyle w:val="ATHeading2"/>
      </w:pPr>
      <w:bookmarkStart w:id="1" w:name="title"/>
      <w:r w:rsidRPr="00EF6A86">
        <w:t>Metāna emisiju samazināšana enerģētikas sektorā</w:t>
      </w:r>
      <w:bookmarkEnd w:id="1"/>
    </w:p>
    <w:p w:rsidR="00164F7A" w:rsidRPr="00EF6A86" w:rsidRDefault="00164F7A" w:rsidP="00164F7A">
      <w:pPr>
        <w:rPr>
          <w:i/>
          <w:vanish/>
        </w:rPr>
      </w:pPr>
      <w:r w:rsidRPr="00EF6A86">
        <w:rPr>
          <w:i/>
        </w:rPr>
        <w:fldChar w:fldCharType="begin"/>
      </w:r>
      <w:r w:rsidRPr="00EF6A86">
        <w:rPr>
          <w:i/>
        </w:rPr>
        <w:instrText xml:space="preserve"> TC"(</w:instrText>
      </w:r>
      <w:bookmarkStart w:id="2" w:name="DocNumber"/>
      <w:r w:rsidRPr="00EF6A86">
        <w:rPr>
          <w:i/>
        </w:rPr>
        <w:instrText>A</w:instrText>
      </w:r>
      <w:r w:rsidRPr="001D4CE2">
        <w:rPr>
          <w:i/>
        </w:rPr>
        <w:instrText>9</w:instrText>
      </w:r>
      <w:r w:rsidRPr="00EF6A86">
        <w:rPr>
          <w:i/>
        </w:rPr>
        <w:instrText>-</w:instrText>
      </w:r>
      <w:r w:rsidRPr="001D4CE2">
        <w:rPr>
          <w:i/>
        </w:rPr>
        <w:instrText>0162</w:instrText>
      </w:r>
      <w:r w:rsidRPr="00EF6A86">
        <w:rPr>
          <w:i/>
        </w:rPr>
        <w:instrText>/</w:instrText>
      </w:r>
      <w:r w:rsidRPr="001D4CE2">
        <w:rPr>
          <w:i/>
        </w:rPr>
        <w:instrText>2023</w:instrText>
      </w:r>
      <w:bookmarkEnd w:id="2"/>
      <w:r w:rsidRPr="00EF6A86">
        <w:rPr>
          <w:i/>
        </w:rPr>
        <w:instrText xml:space="preserve"> - Referentes: </w:instrText>
      </w:r>
      <w:proofErr w:type="spellStart"/>
      <w:r w:rsidRPr="00EF6A86">
        <w:rPr>
          <w:i/>
        </w:rPr>
        <w:instrText>Silvia</w:instrText>
      </w:r>
      <w:proofErr w:type="spellEnd"/>
      <w:r w:rsidRPr="00EF6A86">
        <w:rPr>
          <w:i/>
        </w:rPr>
        <w:instrText xml:space="preserve"> </w:instrText>
      </w:r>
      <w:proofErr w:type="spellStart"/>
      <w:r w:rsidRPr="00EF6A86">
        <w:rPr>
          <w:i/>
        </w:rPr>
        <w:instrText>Sardone</w:instrText>
      </w:r>
      <w:proofErr w:type="spellEnd"/>
      <w:r w:rsidRPr="00EF6A86">
        <w:rPr>
          <w:i/>
        </w:rPr>
        <w:instrText xml:space="preserve">, </w:instrText>
      </w:r>
      <w:proofErr w:type="spellStart"/>
      <w:r w:rsidRPr="00EF6A86">
        <w:rPr>
          <w:i/>
        </w:rPr>
        <w:instrText>Jutta</w:instrText>
      </w:r>
      <w:proofErr w:type="spellEnd"/>
      <w:r w:rsidRPr="00EF6A86">
        <w:rPr>
          <w:i/>
        </w:rPr>
        <w:instrText xml:space="preserve"> Paulus)"\l</w:instrText>
      </w:r>
      <w:r w:rsidRPr="001D4CE2">
        <w:rPr>
          <w:i/>
        </w:rPr>
        <w:instrText>3</w:instrText>
      </w:r>
      <w:r w:rsidRPr="00EF6A86">
        <w:rPr>
          <w:i/>
        </w:rPr>
        <w:instrText xml:space="preserve"> \n&gt; \* MERGEFORMAT </w:instrText>
      </w:r>
      <w:r w:rsidRPr="00EF6A86">
        <w:rPr>
          <w:i/>
        </w:rPr>
        <w:fldChar w:fldCharType="end"/>
      </w:r>
    </w:p>
    <w:p w:rsidR="00164F7A" w:rsidRPr="00EF6A86" w:rsidRDefault="00164F7A" w:rsidP="00164F7A">
      <w:pPr>
        <w:rPr>
          <w:vanish/>
        </w:rPr>
      </w:pPr>
      <w:bookmarkStart w:id="3" w:name="Commission"/>
      <w:r w:rsidRPr="00EF6A86">
        <w:rPr>
          <w:vanish/>
        </w:rPr>
        <w:t>Vides, sabiedrības veselības un pārtikas nekaitīguma komiteja</w:t>
      </w:r>
      <w:bookmarkEnd w:id="3"/>
      <w:r w:rsidR="001812B4">
        <w:rPr>
          <w:vanish/>
        </w:rPr>
        <w:t xml:space="preserve">, </w:t>
      </w:r>
      <w:r w:rsidR="001812B4" w:rsidRPr="001812B4">
        <w:rPr>
          <w:vanish/>
        </w:rPr>
        <w:t>Rūpniecības, pētniecības un enerģētikas komiteja</w:t>
      </w:r>
    </w:p>
    <w:p w:rsidR="00164F7A" w:rsidRPr="00EF6A86" w:rsidRDefault="00164F7A" w:rsidP="00164F7A">
      <w:pPr>
        <w:rPr>
          <w:vanish/>
        </w:rPr>
      </w:pPr>
      <w:bookmarkStart w:id="4" w:name="PE"/>
      <w:r w:rsidRPr="00EF6A86">
        <w:rPr>
          <w:vanish/>
        </w:rPr>
        <w:t>PE</w:t>
      </w:r>
      <w:r w:rsidRPr="001D4CE2">
        <w:rPr>
          <w:vanish/>
        </w:rPr>
        <w:t>736</w:t>
      </w:r>
      <w:r w:rsidRPr="00EF6A86">
        <w:rPr>
          <w:vanish/>
        </w:rPr>
        <w:t>.</w:t>
      </w:r>
      <w:r w:rsidRPr="001D4CE2">
        <w:rPr>
          <w:vanish/>
        </w:rPr>
        <w:t>476</w:t>
      </w:r>
      <w:bookmarkEnd w:id="4"/>
    </w:p>
    <w:p w:rsidR="00E20DBC" w:rsidRPr="00EF6A86" w:rsidRDefault="00164F7A" w:rsidP="005A795A">
      <w:pPr>
        <w:pStyle w:val="ATHeading3"/>
      </w:pPr>
      <w:bookmarkStart w:id="5" w:name="Sujet"/>
      <w:r w:rsidRPr="00EF6A86">
        <w:t xml:space="preserve">Eiropas Parlamenta </w:t>
      </w:r>
      <w:r w:rsidRPr="001D4CE2">
        <w:t>2024</w:t>
      </w:r>
      <w:r w:rsidRPr="00EF6A86">
        <w:t xml:space="preserve">. gada </w:t>
      </w:r>
      <w:r w:rsidR="00AA2A62" w:rsidRPr="001D4CE2">
        <w:t>10</w:t>
      </w:r>
      <w:r w:rsidR="00AA2A62" w:rsidRPr="00EF6A86">
        <w:t>. aprīļa</w:t>
      </w:r>
      <w:r w:rsidRPr="00EF6A86">
        <w:t xml:space="preserve"> normatīvā rezolūcija par priekšlikumu Eiropas Parlamenta un Padomes Regulai par </w:t>
      </w:r>
      <w:bookmarkEnd w:id="5"/>
      <w:r w:rsidR="005A795A" w:rsidRPr="001D6B33">
        <w:rPr>
          <w:noProof/>
        </w:rPr>
        <w:t>metāna emisiju samazināšanu enerģētikas sektorā un ar ko groza Regulu (ES) 2019/942</w:t>
      </w:r>
      <w:r w:rsidRPr="00EF6A86">
        <w:t xml:space="preserve"> </w:t>
      </w:r>
      <w:bookmarkStart w:id="6" w:name="References"/>
      <w:r w:rsidRPr="00EF6A86">
        <w:t>(COM(</w:t>
      </w:r>
      <w:r w:rsidRPr="001D4CE2">
        <w:t>2021</w:t>
      </w:r>
      <w:r w:rsidRPr="00EF6A86">
        <w:t>)</w:t>
      </w:r>
      <w:r w:rsidRPr="001D4CE2">
        <w:t>0805</w:t>
      </w:r>
      <w:r w:rsidRPr="00EF6A86">
        <w:t xml:space="preserve"> – C</w:t>
      </w:r>
      <w:r w:rsidRPr="001D4CE2">
        <w:t>9</w:t>
      </w:r>
      <w:r w:rsidRPr="00EF6A86">
        <w:t>-</w:t>
      </w:r>
      <w:r w:rsidRPr="001D4CE2">
        <w:t>0467</w:t>
      </w:r>
      <w:r w:rsidRPr="00EF6A86">
        <w:t>/</w:t>
      </w:r>
      <w:r w:rsidRPr="001D4CE2">
        <w:t>2021</w:t>
      </w:r>
      <w:r w:rsidRPr="00EF6A86">
        <w:t xml:space="preserve"> – </w:t>
      </w:r>
      <w:r w:rsidRPr="001D4CE2">
        <w:t>2021</w:t>
      </w:r>
      <w:r w:rsidRPr="00EF6A86">
        <w:t>/</w:t>
      </w:r>
      <w:r w:rsidRPr="001D4CE2">
        <w:t>0423</w:t>
      </w:r>
      <w:r w:rsidRPr="00EF6A86">
        <w:t>(COD))</w:t>
      </w:r>
      <w:bookmarkStart w:id="7" w:name="TextBodyBegin"/>
      <w:bookmarkEnd w:id="6"/>
      <w:bookmarkEnd w:id="7"/>
    </w:p>
    <w:p w:rsidR="00E20DBC" w:rsidRPr="00EF6A86" w:rsidRDefault="00E20DBC" w:rsidP="00E20DBC">
      <w:pPr>
        <w:pStyle w:val="NormalBold"/>
      </w:pPr>
      <w:r w:rsidRPr="00EF6A86">
        <w:t>(Parastā likumdošanas procedūra: pirmais lasījums)</w:t>
      </w:r>
    </w:p>
    <w:p w:rsidR="00E20DBC" w:rsidRPr="00EF6A86" w:rsidRDefault="00E20DBC" w:rsidP="00E20DBC">
      <w:pPr>
        <w:pStyle w:val="EPComma"/>
      </w:pPr>
      <w:r w:rsidRPr="00EF6A86">
        <w:rPr>
          <w:i/>
        </w:rPr>
        <w:t>Eiropas Parlaments,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>ņemot vērā Komisijas priekšlikumu Eiropas Parlamentam un Padomei (COM(</w:t>
      </w:r>
      <w:r w:rsidRPr="001D4CE2">
        <w:t>2021</w:t>
      </w:r>
      <w:r w:rsidRPr="00EF6A86">
        <w:t>)</w:t>
      </w:r>
      <w:r w:rsidRPr="001D4CE2">
        <w:t>0805</w:t>
      </w:r>
      <w:r w:rsidRPr="00EF6A86">
        <w:t>),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 xml:space="preserve">ņemot vērā Līguma par Eiropas Savienības darbību </w:t>
      </w:r>
      <w:r w:rsidRPr="001D4CE2">
        <w:t>294</w:t>
      </w:r>
      <w:r w:rsidRPr="00EF6A86">
        <w:t xml:space="preserve">. panta </w:t>
      </w:r>
      <w:r w:rsidRPr="001D4CE2">
        <w:t>2</w:t>
      </w:r>
      <w:r w:rsidRPr="00EF6A86">
        <w:t xml:space="preserve">. punktu un </w:t>
      </w:r>
      <w:r w:rsidRPr="001D4CE2">
        <w:t>194</w:t>
      </w:r>
      <w:r w:rsidRPr="00EF6A86">
        <w:t xml:space="preserve">. panta </w:t>
      </w:r>
      <w:r w:rsidRPr="001D4CE2">
        <w:t>2</w:t>
      </w:r>
      <w:r w:rsidRPr="00EF6A86">
        <w:t>. punktu, saskaņā ar kuriem Komisija tam ir iesniegusi priekšlikumu (C</w:t>
      </w:r>
      <w:r w:rsidRPr="001D4CE2">
        <w:t>9</w:t>
      </w:r>
      <w:r w:rsidRPr="00EF6A86">
        <w:noBreakHyphen/>
      </w:r>
      <w:r w:rsidRPr="001D4CE2">
        <w:t>0467</w:t>
      </w:r>
      <w:r w:rsidRPr="00EF6A86">
        <w:t>/</w:t>
      </w:r>
      <w:r w:rsidRPr="001D4CE2">
        <w:t>2021</w:t>
      </w:r>
      <w:r w:rsidRPr="00EF6A86">
        <w:t>),</w:t>
      </w:r>
    </w:p>
    <w:p w:rsidR="00E015AC" w:rsidRPr="00EF6A86" w:rsidRDefault="00E015AC" w:rsidP="00E20DBC">
      <w:pPr>
        <w:pStyle w:val="NormalHanging12a"/>
      </w:pPr>
      <w:r w:rsidRPr="00EF6A86">
        <w:t>–</w:t>
      </w:r>
      <w:r w:rsidRPr="00EF6A86">
        <w:tab/>
        <w:t>ņemot vērā Juridiskās komitejas atzinumu par ierosināto juridisko pamatu,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 xml:space="preserve">ņemot vērā Līguma par Eiropas Savienības darbību </w:t>
      </w:r>
      <w:r w:rsidRPr="001D4CE2">
        <w:t>294</w:t>
      </w:r>
      <w:r w:rsidRPr="00EF6A86">
        <w:t xml:space="preserve">. panta </w:t>
      </w:r>
      <w:r w:rsidRPr="001D4CE2">
        <w:t>3</w:t>
      </w:r>
      <w:r w:rsidRPr="00EF6A86">
        <w:t>. punktu</w:t>
      </w:r>
      <w:r w:rsidR="00E015AC" w:rsidRPr="00EF6A86">
        <w:t xml:space="preserve"> un </w:t>
      </w:r>
      <w:r w:rsidR="00E015AC" w:rsidRPr="001D4CE2">
        <w:t>192</w:t>
      </w:r>
      <w:r w:rsidR="00E015AC" w:rsidRPr="00EF6A86">
        <w:t xml:space="preserve">. panta </w:t>
      </w:r>
      <w:r w:rsidR="00E015AC" w:rsidRPr="001D4CE2">
        <w:t>1</w:t>
      </w:r>
      <w:r w:rsidR="00E015AC" w:rsidRPr="00EF6A86">
        <w:t>. punkt</w:t>
      </w:r>
      <w:r w:rsidR="0080195B" w:rsidRPr="00EF6A86">
        <w:t>u</w:t>
      </w:r>
      <w:r w:rsidRPr="00EF6A86">
        <w:t>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>ņemot vērā pamatoto atzinumu, kuru saskaņā ar Protokolu Nr. </w:t>
      </w:r>
      <w:r w:rsidRPr="001D4CE2">
        <w:t>2</w:t>
      </w:r>
      <w:r w:rsidRPr="00EF6A86">
        <w:t xml:space="preserve"> par subsidiaritātes principa un proporcionalitātes principa piemērošanu iesniedzis Čehijas parlamenta Deputātu palāta un kurā norādīts, ka leģislatīvā akta projekts neatbilst subsidiaritātes principam,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 xml:space="preserve">ņemot vērā Eiropas Ekonomikas un sociālo lietu komitejas </w:t>
      </w:r>
      <w:r w:rsidRPr="001D4CE2">
        <w:t>2022</w:t>
      </w:r>
      <w:r w:rsidRPr="00EF6A86">
        <w:t xml:space="preserve">. gada </w:t>
      </w:r>
      <w:r w:rsidRPr="001D4CE2">
        <w:t>19</w:t>
      </w:r>
      <w:r w:rsidRPr="00EF6A86">
        <w:t>. maija atzinumu</w:t>
      </w:r>
      <w:r w:rsidRPr="00EF6A86">
        <w:rPr>
          <w:rStyle w:val="FootnoteReference"/>
        </w:rPr>
        <w:footnoteReference w:id="1"/>
      </w:r>
      <w:r w:rsidRPr="00EF6A86">
        <w:t>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 xml:space="preserve">ņemot vērā Reģionu komitejas </w:t>
      </w:r>
      <w:r w:rsidRPr="001D4CE2">
        <w:t>2022</w:t>
      </w:r>
      <w:r w:rsidRPr="00EF6A86">
        <w:t xml:space="preserve">. gada </w:t>
      </w:r>
      <w:r w:rsidRPr="001D4CE2">
        <w:t>12</w:t>
      </w:r>
      <w:r w:rsidRPr="00EF6A86">
        <w:t>. oktobra atzinumu</w:t>
      </w:r>
      <w:r w:rsidRPr="00EF6A86">
        <w:rPr>
          <w:rStyle w:val="FootnoteReference"/>
          <w:rFonts w:eastAsiaTheme="minorHAnsi"/>
        </w:rPr>
        <w:footnoteReference w:id="2"/>
      </w:r>
      <w:r w:rsidRPr="00EF6A86">
        <w:t>,</w:t>
      </w:r>
    </w:p>
    <w:p w:rsidR="00E015AC" w:rsidRPr="00EF6A86" w:rsidRDefault="00E015AC" w:rsidP="00E015AC">
      <w:pPr>
        <w:spacing w:after="240"/>
        <w:ind w:left="567" w:hanging="567"/>
      </w:pPr>
      <w:r w:rsidRPr="00EF6A86">
        <w:t>–</w:t>
      </w:r>
      <w:r w:rsidRPr="00EF6A86">
        <w:tab/>
        <w:t xml:space="preserve">ņemot vērā provizorisko vienošanos, ko atbildīgā komiteja apstiprināja saskaņā ar Reglamenta </w:t>
      </w:r>
      <w:r w:rsidRPr="001D4CE2">
        <w:t>74</w:t>
      </w:r>
      <w:r w:rsidRPr="00EF6A86">
        <w:t xml:space="preserve">. panta </w:t>
      </w:r>
      <w:r w:rsidRPr="001D4CE2">
        <w:t>4</w:t>
      </w:r>
      <w:r w:rsidRPr="00EF6A86">
        <w:t xml:space="preserve">. punktu, un Padomes pārstāvja </w:t>
      </w:r>
      <w:r w:rsidRPr="001D4CE2">
        <w:t>2024</w:t>
      </w:r>
      <w:r w:rsidRPr="00EF6A86">
        <w:t xml:space="preserve">. gada </w:t>
      </w:r>
      <w:r w:rsidRPr="001D4CE2">
        <w:t>15</w:t>
      </w:r>
      <w:r w:rsidRPr="00EF6A86">
        <w:t xml:space="preserve">. marta vēstulē pausto apņemšanos apstiprināt Parlamenta nostāju saskaņā ar Līguma par Eiropas Savienības darbību </w:t>
      </w:r>
      <w:r w:rsidRPr="001D4CE2">
        <w:t>294</w:t>
      </w:r>
      <w:r w:rsidRPr="00EF6A86">
        <w:t xml:space="preserve">. panta </w:t>
      </w:r>
      <w:r w:rsidRPr="001D4CE2">
        <w:t>4</w:t>
      </w:r>
      <w:r w:rsidRPr="00EF6A86">
        <w:t>. punktu,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 xml:space="preserve">ņemot vērā Reglamenta </w:t>
      </w:r>
      <w:r w:rsidRPr="001D4CE2">
        <w:t>59</w:t>
      </w:r>
      <w:r w:rsidRPr="00EF6A86">
        <w:t>. </w:t>
      </w:r>
      <w:r w:rsidR="00E015AC" w:rsidRPr="00EF6A86">
        <w:t xml:space="preserve">un </w:t>
      </w:r>
      <w:r w:rsidR="00E015AC" w:rsidRPr="001D4CE2">
        <w:t>40</w:t>
      </w:r>
      <w:r w:rsidR="00E015AC" w:rsidRPr="00EF6A86">
        <w:t xml:space="preserve">. </w:t>
      </w:r>
      <w:r w:rsidRPr="00EF6A86">
        <w:t>pantu,</w:t>
      </w:r>
    </w:p>
    <w:p w:rsidR="00E015AC" w:rsidRPr="00EF6A86" w:rsidRDefault="00E015AC" w:rsidP="00E20DBC">
      <w:pPr>
        <w:pStyle w:val="NormalHanging12a"/>
      </w:pPr>
      <w:r w:rsidRPr="00EF6A86">
        <w:t>–</w:t>
      </w:r>
      <w:r w:rsidRPr="00EF6A86">
        <w:tab/>
      </w:r>
      <w:r w:rsidR="0080195B" w:rsidRPr="00EF6A86">
        <w:t>ņ</w:t>
      </w:r>
      <w:r w:rsidRPr="00EF6A86">
        <w:t xml:space="preserve">emot vērā Vides, sabiedrības veselības un pārtikas nekaitīguma komitejas un Iekšējā tirgus </w:t>
      </w:r>
      <w:r w:rsidRPr="00EF6A86">
        <w:lastRenderedPageBreak/>
        <w:t xml:space="preserve">un patērētāju aizsardzības komitejas kopīgās apspriedes saskaņā ar Reglamenta </w:t>
      </w:r>
      <w:r w:rsidRPr="001D4CE2">
        <w:t>58</w:t>
      </w:r>
      <w:r w:rsidRPr="00EF6A86">
        <w:t>. pantu,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>ņemot vērā Lauksaimniecības un lauku attīstības komitejas vēstuli,</w:t>
      </w:r>
    </w:p>
    <w:p w:rsidR="00E20DBC" w:rsidRPr="00EF6A86" w:rsidRDefault="00E20DBC" w:rsidP="00E20DBC">
      <w:pPr>
        <w:pStyle w:val="NormalHanging12a"/>
      </w:pPr>
      <w:r w:rsidRPr="00EF6A86">
        <w:t>–</w:t>
      </w:r>
      <w:r w:rsidRPr="00EF6A86">
        <w:tab/>
        <w:t>ņemot vērā Vides, sabiedrības veselības un pārtikas nekaitīguma komitejas un Rūpniecības, pētniecības un enerģētikas komitejas ziņojumu (A</w:t>
      </w:r>
      <w:r w:rsidRPr="001D4CE2">
        <w:t>9</w:t>
      </w:r>
      <w:r w:rsidRPr="00EF6A86">
        <w:noBreakHyphen/>
      </w:r>
      <w:r w:rsidRPr="001D4CE2">
        <w:t>0162</w:t>
      </w:r>
      <w:r w:rsidRPr="00EF6A86">
        <w:t>/</w:t>
      </w:r>
      <w:r w:rsidRPr="001D4CE2">
        <w:t>2023</w:t>
      </w:r>
      <w:r w:rsidRPr="00EF6A86">
        <w:t>),</w:t>
      </w:r>
    </w:p>
    <w:p w:rsidR="00E20DBC" w:rsidRPr="00EF6A86" w:rsidRDefault="00E20DBC" w:rsidP="00E20DBC">
      <w:pPr>
        <w:pStyle w:val="NormalHanging12a"/>
      </w:pPr>
      <w:r w:rsidRPr="001D4CE2">
        <w:t>1</w:t>
      </w:r>
      <w:r w:rsidRPr="00EF6A86">
        <w:t>.</w:t>
      </w:r>
      <w:r w:rsidRPr="00EF6A86">
        <w:tab/>
        <w:t xml:space="preserve">pieņem </w:t>
      </w:r>
      <w:r w:rsidR="00E015AC" w:rsidRPr="00EF6A86">
        <w:t>pirmajā lasījumā turpmāk izklāstīto nostāju</w:t>
      </w:r>
      <w:r w:rsidR="00E015AC" w:rsidRPr="00EF6A86">
        <w:rPr>
          <w:rStyle w:val="FootnoteReference"/>
        </w:rPr>
        <w:footnoteReference w:id="3"/>
      </w:r>
      <w:r w:rsidRPr="00EF6A86">
        <w:t>;</w:t>
      </w:r>
    </w:p>
    <w:p w:rsidR="00E20DBC" w:rsidRPr="00EF6A86" w:rsidRDefault="00E20DBC" w:rsidP="00E20DBC">
      <w:pPr>
        <w:pStyle w:val="NormalHanging12a"/>
      </w:pPr>
      <w:r w:rsidRPr="001D4CE2">
        <w:t>2</w:t>
      </w:r>
      <w:r w:rsidRPr="00EF6A86">
        <w:t>.</w:t>
      </w:r>
      <w:r w:rsidRPr="00EF6A86">
        <w:tab/>
        <w:t>prasa Komisijai priekšlikumu Parlamentam iesniegt vēlreiz, ja tā savu priekšlikumu aizstāj, būtiski groza vai ir paredzējusi to būtiski grozīt;</w:t>
      </w:r>
    </w:p>
    <w:p w:rsidR="00E20DBC" w:rsidRPr="00EF6A86" w:rsidRDefault="00E20DBC" w:rsidP="00E20DBC">
      <w:pPr>
        <w:pStyle w:val="NormalHanging12a"/>
      </w:pPr>
      <w:r w:rsidRPr="001D4CE2">
        <w:t>3</w:t>
      </w:r>
      <w:r w:rsidRPr="00EF6A86">
        <w:t>.</w:t>
      </w:r>
      <w:r w:rsidRPr="00EF6A86">
        <w:tab/>
        <w:t>uzdod priekšsēdētājai Parlamenta nostāju nosūtīt Padomei un Komisijai, kā arī dalībvalstu parlamentiem.</w:t>
      </w:r>
    </w:p>
    <w:p w:rsidR="00E015AC" w:rsidRPr="00EF6A86" w:rsidRDefault="00E015AC">
      <w:pPr>
        <w:widowControl/>
      </w:pPr>
    </w:p>
    <w:p w:rsidR="00E015AC" w:rsidRPr="00EF6A86" w:rsidRDefault="00E015AC" w:rsidP="00E015AC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  <w:sectPr w:rsidR="00E015AC" w:rsidRPr="00EF6A86" w:rsidSect="00E015AC">
          <w:pgSz w:w="11907" w:h="16840" w:code="9"/>
          <w:pgMar w:top="1134" w:right="1134" w:bottom="1134" w:left="1134" w:header="567" w:footer="567" w:gutter="0"/>
          <w:cols w:space="708"/>
          <w:noEndnote/>
          <w:docGrid w:linePitch="326"/>
        </w:sectPr>
      </w:pPr>
    </w:p>
    <w:p w:rsidR="00E015AC" w:rsidRPr="00EF6A86" w:rsidRDefault="00E015AC" w:rsidP="00E015AC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EF6A86">
        <w:rPr>
          <w:b/>
        </w:rPr>
        <w:lastRenderedPageBreak/>
        <w:t>P</w:t>
      </w:r>
      <w:r w:rsidRPr="001D4CE2">
        <w:rPr>
          <w:b/>
        </w:rPr>
        <w:t>9</w:t>
      </w:r>
      <w:r w:rsidRPr="00EF6A86">
        <w:rPr>
          <w:b/>
        </w:rPr>
        <w:t>_TC</w:t>
      </w:r>
      <w:r w:rsidRPr="001D4CE2">
        <w:rPr>
          <w:b/>
        </w:rPr>
        <w:t>1</w:t>
      </w:r>
      <w:r w:rsidRPr="00EF6A86">
        <w:rPr>
          <w:b/>
        </w:rPr>
        <w:t>-COD(</w:t>
      </w:r>
      <w:r w:rsidRPr="001D4CE2">
        <w:rPr>
          <w:b/>
        </w:rPr>
        <w:t>2021</w:t>
      </w:r>
      <w:r w:rsidRPr="00EF6A86">
        <w:rPr>
          <w:b/>
        </w:rPr>
        <w:t>)</w:t>
      </w:r>
      <w:r w:rsidRPr="001D4CE2">
        <w:rPr>
          <w:b/>
        </w:rPr>
        <w:t>0423</w:t>
      </w:r>
    </w:p>
    <w:p w:rsidR="00E015AC" w:rsidRDefault="00E015AC" w:rsidP="00E015AC">
      <w:pPr>
        <w:pStyle w:val="Normal12Hanging"/>
        <w:tabs>
          <w:tab w:val="clear" w:pos="4679"/>
          <w:tab w:val="left" w:pos="2551"/>
        </w:tabs>
        <w:ind w:left="0" w:firstLine="0"/>
        <w:rPr>
          <w:b/>
          <w:szCs w:val="22"/>
          <w:lang w:eastAsia="sl-SI"/>
        </w:rPr>
      </w:pPr>
      <w:r w:rsidRPr="00EF6A86">
        <w:rPr>
          <w:b/>
        </w:rPr>
        <w:t xml:space="preserve">Eiropas Parlamenta nostāja, pieņemta pirmajā lasījumā </w:t>
      </w:r>
      <w:r w:rsidRPr="001D4CE2">
        <w:rPr>
          <w:b/>
        </w:rPr>
        <w:t>2024</w:t>
      </w:r>
      <w:r w:rsidRPr="00EF6A86">
        <w:rPr>
          <w:b/>
        </w:rPr>
        <w:t xml:space="preserve">. gada </w:t>
      </w:r>
      <w:r w:rsidRPr="001D4CE2">
        <w:rPr>
          <w:b/>
        </w:rPr>
        <w:t>10</w:t>
      </w:r>
      <w:r w:rsidRPr="00EF6A86">
        <w:rPr>
          <w:b/>
        </w:rPr>
        <w:t xml:space="preserve">. aprīlī, lai pieņemtu Eiropas Parlamenta un Padomes Regulu (ES) </w:t>
      </w:r>
      <w:r w:rsidRPr="001D4CE2">
        <w:rPr>
          <w:b/>
        </w:rPr>
        <w:t>2024</w:t>
      </w:r>
      <w:r w:rsidRPr="00EF6A86">
        <w:rPr>
          <w:b/>
        </w:rPr>
        <w:t xml:space="preserve">/... </w:t>
      </w:r>
      <w:r w:rsidR="005A795A">
        <w:rPr>
          <w:b/>
          <w:bCs/>
          <w:color w:val="000000"/>
          <w:shd w:val="clear" w:color="auto" w:fill="FFFFFF"/>
        </w:rPr>
        <w:t>par metāna emisiju samazināšanu enerģētikas sektorā un ar ko groza Regulu (ES) 2019/942</w:t>
      </w:r>
    </w:p>
    <w:p w:rsidR="005A795A" w:rsidRPr="005A795A" w:rsidRDefault="005A795A" w:rsidP="00E015AC">
      <w:pPr>
        <w:pStyle w:val="Normal12Hanging"/>
        <w:tabs>
          <w:tab w:val="clear" w:pos="4679"/>
          <w:tab w:val="left" w:pos="2551"/>
        </w:tabs>
        <w:ind w:left="0" w:firstLine="0"/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5A795A">
        <w:rPr>
          <w:i/>
        </w:rPr>
        <w:t>(ES) 202</w:t>
      </w:r>
      <w:r w:rsidR="00B45EEE">
        <w:rPr>
          <w:i/>
        </w:rPr>
        <w:t>4</w:t>
      </w:r>
      <w:r w:rsidRPr="005A795A">
        <w:rPr>
          <w:i/>
        </w:rPr>
        <w:t>/</w:t>
      </w:r>
      <w:r w:rsidR="00B45EEE">
        <w:rPr>
          <w:i/>
        </w:rPr>
        <w:t>1787</w:t>
      </w:r>
      <w:r w:rsidRPr="005A795A">
        <w:rPr>
          <w:i/>
        </w:rPr>
        <w:t>.)</w:t>
      </w:r>
      <w:bookmarkStart w:id="8" w:name="_GoBack"/>
      <w:bookmarkEnd w:id="8"/>
    </w:p>
    <w:sectPr w:rsidR="005A795A" w:rsidRPr="005A795A" w:rsidSect="005A79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AC" w:rsidRPr="00D93008" w:rsidRDefault="00E015AC">
      <w:r w:rsidRPr="00D93008">
        <w:separator/>
      </w:r>
    </w:p>
  </w:endnote>
  <w:endnote w:type="continuationSeparator" w:id="0">
    <w:p w:rsidR="00E015AC" w:rsidRPr="00D93008" w:rsidRDefault="00E015AC">
      <w:r w:rsidRPr="00D930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AC" w:rsidRPr="00D93008" w:rsidRDefault="00E015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AC" w:rsidRPr="00D93008" w:rsidRDefault="00E015A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AC" w:rsidRPr="00D93008" w:rsidRDefault="00E015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AC" w:rsidRPr="00D93008" w:rsidRDefault="00E015AC">
      <w:r w:rsidRPr="00D93008">
        <w:separator/>
      </w:r>
    </w:p>
  </w:footnote>
  <w:footnote w:type="continuationSeparator" w:id="0">
    <w:p w:rsidR="00E015AC" w:rsidRPr="00D93008" w:rsidRDefault="00E015AC">
      <w:r w:rsidRPr="00D93008">
        <w:continuationSeparator/>
      </w:r>
    </w:p>
  </w:footnote>
  <w:footnote w:id="1">
    <w:p w:rsidR="00E015AC" w:rsidRPr="001D4CE2" w:rsidRDefault="00E015AC" w:rsidP="00D93008">
      <w:pPr>
        <w:pStyle w:val="FootnoteText"/>
        <w:ind w:left="567" w:hanging="567"/>
        <w:rPr>
          <w:sz w:val="24"/>
          <w:szCs w:val="24"/>
          <w:lang w:val="lv-LV"/>
        </w:rPr>
      </w:pPr>
      <w:r w:rsidRPr="001D4CE2">
        <w:rPr>
          <w:rStyle w:val="FootnoteReference"/>
          <w:sz w:val="24"/>
          <w:szCs w:val="24"/>
          <w:lang w:val="lv-LV"/>
        </w:rPr>
        <w:footnoteRef/>
      </w:r>
      <w:r w:rsidRPr="001D4CE2">
        <w:rPr>
          <w:color w:val="333333"/>
          <w:sz w:val="24"/>
          <w:szCs w:val="24"/>
          <w:shd w:val="clear" w:color="auto" w:fill="FFFFFF"/>
          <w:lang w:val="lv-LV"/>
        </w:rPr>
        <w:t xml:space="preserve"> </w:t>
      </w:r>
      <w:r w:rsidRPr="001D4CE2">
        <w:rPr>
          <w:color w:val="333333"/>
          <w:sz w:val="24"/>
          <w:szCs w:val="24"/>
          <w:shd w:val="clear" w:color="auto" w:fill="FFFFFF"/>
          <w:lang w:val="lv-LV"/>
        </w:rPr>
        <w:tab/>
        <w:t>OV C 323, 26.8.2022., 101. lpp.</w:t>
      </w:r>
    </w:p>
  </w:footnote>
  <w:footnote w:id="2">
    <w:p w:rsidR="00E015AC" w:rsidRPr="001D4CE2" w:rsidRDefault="00E015AC" w:rsidP="00D93008">
      <w:pPr>
        <w:pStyle w:val="FootnoteText"/>
        <w:ind w:left="567" w:hanging="567"/>
        <w:rPr>
          <w:sz w:val="24"/>
          <w:szCs w:val="24"/>
          <w:lang w:val="lv-LV"/>
        </w:rPr>
      </w:pPr>
      <w:r w:rsidRPr="001D4CE2">
        <w:rPr>
          <w:rStyle w:val="FootnoteReference"/>
          <w:sz w:val="24"/>
          <w:szCs w:val="24"/>
          <w:lang w:val="lv-LV"/>
        </w:rPr>
        <w:footnoteRef/>
      </w:r>
      <w:r w:rsidRPr="001D4CE2">
        <w:rPr>
          <w:color w:val="333333"/>
          <w:sz w:val="24"/>
          <w:szCs w:val="24"/>
          <w:shd w:val="clear" w:color="auto" w:fill="FFFFFF"/>
          <w:lang w:val="lv-LV"/>
        </w:rPr>
        <w:t xml:space="preserve"> </w:t>
      </w:r>
      <w:r w:rsidRPr="001D4CE2">
        <w:rPr>
          <w:color w:val="333333"/>
          <w:sz w:val="24"/>
          <w:szCs w:val="24"/>
          <w:shd w:val="clear" w:color="auto" w:fill="FFFFFF"/>
          <w:lang w:val="lv-LV"/>
        </w:rPr>
        <w:tab/>
      </w:r>
      <w:r w:rsidRPr="001D4CE2">
        <w:rPr>
          <w:color w:val="333333"/>
          <w:sz w:val="24"/>
          <w:szCs w:val="24"/>
          <w:shd w:val="clear" w:color="auto" w:fill="FFFFFF"/>
          <w:lang w:val="lv-LV"/>
        </w:rPr>
        <w:t xml:space="preserve">OV C </w:t>
      </w:r>
      <w:r w:rsidRPr="001D4CE2">
        <w:rPr>
          <w:sz w:val="24"/>
          <w:szCs w:val="24"/>
          <w:lang w:val="lv-LV"/>
        </w:rPr>
        <w:t>498, 30.12.2022., 83. lpp.</w:t>
      </w:r>
    </w:p>
  </w:footnote>
  <w:footnote w:id="3">
    <w:p w:rsidR="00E015AC" w:rsidRPr="001D4CE2" w:rsidRDefault="00E015AC" w:rsidP="00CE3455">
      <w:pPr>
        <w:pStyle w:val="FootnoteText"/>
        <w:ind w:left="567" w:hanging="567"/>
        <w:rPr>
          <w:sz w:val="24"/>
          <w:szCs w:val="24"/>
          <w:lang w:val="lv-LV"/>
        </w:rPr>
      </w:pPr>
      <w:r w:rsidRPr="001D4CE2">
        <w:rPr>
          <w:rStyle w:val="FootnoteReference"/>
          <w:sz w:val="24"/>
          <w:szCs w:val="24"/>
        </w:rPr>
        <w:footnoteRef/>
      </w:r>
      <w:r w:rsidRPr="001D4CE2">
        <w:rPr>
          <w:sz w:val="24"/>
          <w:szCs w:val="24"/>
          <w:lang w:val="lv-LV"/>
        </w:rPr>
        <w:t xml:space="preserve"> </w:t>
      </w:r>
      <w:r w:rsidRPr="001D4CE2">
        <w:rPr>
          <w:sz w:val="24"/>
          <w:szCs w:val="24"/>
          <w:lang w:val="lv-LV"/>
        </w:rPr>
        <w:tab/>
      </w:r>
      <w:r w:rsidRPr="001D4CE2">
        <w:rPr>
          <w:sz w:val="24"/>
          <w:szCs w:val="24"/>
          <w:lang w:val="lv-LV"/>
        </w:rPr>
        <w:t xml:space="preserve">Ar šo nostāju aizstāj 2023. gada 9. maijā pieņemtos grozījumus </w:t>
      </w:r>
      <w:r w:rsidR="0080195B" w:rsidRPr="001D4CE2">
        <w:rPr>
          <w:sz w:val="24"/>
          <w:szCs w:val="24"/>
          <w:lang w:val="lv-LV"/>
        </w:rPr>
        <w:t>(</w:t>
      </w:r>
      <w:r w:rsidRPr="001D4CE2">
        <w:rPr>
          <w:sz w:val="24"/>
          <w:szCs w:val="24"/>
          <w:lang w:val="lv-LV"/>
        </w:rPr>
        <w:t>O</w:t>
      </w:r>
      <w:r w:rsidR="008A1B5E" w:rsidRPr="001D4CE2">
        <w:rPr>
          <w:sz w:val="24"/>
          <w:szCs w:val="24"/>
          <w:lang w:val="lv-LV"/>
        </w:rPr>
        <w:t>V</w:t>
      </w:r>
      <w:r w:rsidRPr="001D4CE2">
        <w:rPr>
          <w:sz w:val="24"/>
          <w:szCs w:val="24"/>
          <w:lang w:val="lv-LV"/>
        </w:rPr>
        <w:t xml:space="preserve"> C, C/2023/1081, 15.12.2023</w:t>
      </w:r>
      <w:r w:rsidR="008A1B5E" w:rsidRPr="001D4CE2">
        <w:rPr>
          <w:sz w:val="24"/>
          <w:szCs w:val="24"/>
          <w:lang w:val="lv-LV"/>
        </w:rPr>
        <w:t>.</w:t>
      </w:r>
      <w:r w:rsidRPr="001D4CE2">
        <w:rPr>
          <w:sz w:val="24"/>
          <w:szCs w:val="24"/>
          <w:lang w:val="lv-LV"/>
        </w:rPr>
        <w:t xml:space="preserve">, ELI: </w:t>
      </w:r>
      <w:r w:rsidR="00B45EEE">
        <w:fldChar w:fldCharType="begin"/>
      </w:r>
      <w:r w:rsidR="00B45EEE" w:rsidRPr="00B45EEE">
        <w:rPr>
          <w:lang w:val="lv-LV"/>
        </w:rPr>
        <w:instrText xml:space="preserve"> HYPERLINK "http://data.europa.eu/eli/C/2023/1081/oj" </w:instrText>
      </w:r>
      <w:r w:rsidR="00B45EEE">
        <w:fldChar w:fldCharType="separate"/>
      </w:r>
      <w:r w:rsidRPr="001D4CE2">
        <w:rPr>
          <w:rStyle w:val="Hyperlink"/>
          <w:sz w:val="24"/>
          <w:szCs w:val="24"/>
          <w:lang w:val="lv-LV"/>
        </w:rPr>
        <w:t>http://data.europa.eu/eli/C/2023/1081/oj</w:t>
      </w:r>
      <w:r w:rsidR="00B45EEE">
        <w:rPr>
          <w:rStyle w:val="Hyperlink"/>
          <w:sz w:val="24"/>
          <w:szCs w:val="24"/>
          <w:lang w:val="lv-LV"/>
        </w:rPr>
        <w:fldChar w:fldCharType="end"/>
      </w:r>
      <w:r w:rsidRPr="001D4CE2">
        <w:rPr>
          <w:sz w:val="24"/>
          <w:szCs w:val="24"/>
          <w:lang w:val="lv-LV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AC" w:rsidRPr="00D93008" w:rsidRDefault="00E015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AC" w:rsidRPr="00D93008" w:rsidRDefault="00E015A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AC" w:rsidRPr="00D93008" w:rsidRDefault="00E015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LV"/>
    <w:docVar w:name="dvnumam" w:val="267"/>
    <w:docVar w:name="dvpe" w:val="736.476"/>
    <w:docVar w:name="dvrapporteur" w:val="Referentes: "/>
    <w:docVar w:name="dvstar" w:val="***I"/>
    <w:docVar w:name="dvtitre" w:val="Eiropas Parlamenta 2024. gada XX. XXX normatīvā rezolūcija par priekšlikumu Eiropas Parlamenta un Padomes Regulai par metāna emisiju samazināšanu enerģētikas sektorā un ar ko groza Regulu (ES) 2019/942(COM(2021)0805 – C9-0467/2021 – 2021/0423(COD))"/>
  </w:docVars>
  <w:rsids>
    <w:rsidRoot w:val="00164F7A"/>
    <w:rsid w:val="00002272"/>
    <w:rsid w:val="00064002"/>
    <w:rsid w:val="000677B9"/>
    <w:rsid w:val="000831BA"/>
    <w:rsid w:val="000A42CC"/>
    <w:rsid w:val="000E7DD9"/>
    <w:rsid w:val="0010095E"/>
    <w:rsid w:val="00125B37"/>
    <w:rsid w:val="00164F7A"/>
    <w:rsid w:val="001812B4"/>
    <w:rsid w:val="00187494"/>
    <w:rsid w:val="001D4CE2"/>
    <w:rsid w:val="001F32AE"/>
    <w:rsid w:val="002767FF"/>
    <w:rsid w:val="002B18FE"/>
    <w:rsid w:val="002B5493"/>
    <w:rsid w:val="002C1AF9"/>
    <w:rsid w:val="002C426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95A"/>
    <w:rsid w:val="005C2568"/>
    <w:rsid w:val="006037C0"/>
    <w:rsid w:val="006631B6"/>
    <w:rsid w:val="00680577"/>
    <w:rsid w:val="006E74F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95B"/>
    <w:rsid w:val="00817416"/>
    <w:rsid w:val="00842779"/>
    <w:rsid w:val="00865F67"/>
    <w:rsid w:val="00881A7B"/>
    <w:rsid w:val="008840E5"/>
    <w:rsid w:val="00887B3E"/>
    <w:rsid w:val="008A1B5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A62"/>
    <w:rsid w:val="00AB441E"/>
    <w:rsid w:val="00AB6293"/>
    <w:rsid w:val="00AE0928"/>
    <w:rsid w:val="00AF3B82"/>
    <w:rsid w:val="00B12E95"/>
    <w:rsid w:val="00B22876"/>
    <w:rsid w:val="00B45EE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455"/>
    <w:rsid w:val="00CF071A"/>
    <w:rsid w:val="00D058B8"/>
    <w:rsid w:val="00D078AD"/>
    <w:rsid w:val="00D54C01"/>
    <w:rsid w:val="00D56C11"/>
    <w:rsid w:val="00D834A0"/>
    <w:rsid w:val="00D872DF"/>
    <w:rsid w:val="00D91E21"/>
    <w:rsid w:val="00D93008"/>
    <w:rsid w:val="00DA7FCD"/>
    <w:rsid w:val="00DF037C"/>
    <w:rsid w:val="00E015AC"/>
    <w:rsid w:val="00E20DBC"/>
    <w:rsid w:val="00E365E1"/>
    <w:rsid w:val="00E820A4"/>
    <w:rsid w:val="00EB006A"/>
    <w:rsid w:val="00EB4772"/>
    <w:rsid w:val="00ED169E"/>
    <w:rsid w:val="00ED4235"/>
    <w:rsid w:val="00EF6A8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457B7"/>
  <w15:chartTrackingRefBased/>
  <w15:docId w15:val="{F0EDD964-02A7-405B-B07E-B2A7035E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20DB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20DB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20DB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20DB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20DB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20DBC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rsid w:val="00E20DBC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E20DBC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E20DBC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E20DB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20D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20DB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20DBC"/>
    <w:pPr>
      <w:spacing w:after="120"/>
    </w:pPr>
  </w:style>
  <w:style w:type="paragraph" w:customStyle="1" w:styleId="PageHeading">
    <w:name w:val="PageHeading"/>
    <w:basedOn w:val="Normal"/>
    <w:rsid w:val="00E20DB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20DBC"/>
    <w:rPr>
      <w:b/>
    </w:rPr>
  </w:style>
  <w:style w:type="character" w:customStyle="1" w:styleId="NormalBoldChar">
    <w:name w:val="NormalBold Char"/>
    <w:basedOn w:val="DefaultParagraphFont"/>
    <w:link w:val="NormalBold"/>
    <w:rsid w:val="00E20DBC"/>
    <w:rPr>
      <w:b/>
      <w:sz w:val="24"/>
      <w:lang w:val="lv-LV"/>
    </w:rPr>
  </w:style>
  <w:style w:type="paragraph" w:customStyle="1" w:styleId="NormalBold12a">
    <w:name w:val="NormalBold12a"/>
    <w:basedOn w:val="Normal"/>
    <w:rsid w:val="00E20DBC"/>
    <w:pPr>
      <w:spacing w:after="240"/>
    </w:pPr>
    <w:rPr>
      <w:b/>
    </w:rPr>
  </w:style>
  <w:style w:type="paragraph" w:customStyle="1" w:styleId="AmJustText">
    <w:name w:val="AmJustText"/>
    <w:basedOn w:val="Normal"/>
    <w:rsid w:val="00E20DB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20DB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20DBC"/>
    <w:pPr>
      <w:spacing w:after="480"/>
      <w:ind w:left="1417"/>
    </w:pPr>
  </w:style>
  <w:style w:type="paragraph" w:customStyle="1" w:styleId="CoverNormal">
    <w:name w:val="CoverNormal"/>
    <w:basedOn w:val="Normal"/>
    <w:rsid w:val="00E20DBC"/>
    <w:pPr>
      <w:ind w:left="1418"/>
    </w:pPr>
  </w:style>
  <w:style w:type="paragraph" w:customStyle="1" w:styleId="AmCrossRef">
    <w:name w:val="AmCrossRef"/>
    <w:basedOn w:val="Normal"/>
    <w:rsid w:val="00E20DB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20DB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20DB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20DB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20DB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20DB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20D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DBC"/>
    <w:rPr>
      <w:sz w:val="24"/>
      <w:lang w:val="lv-LV"/>
    </w:rPr>
  </w:style>
  <w:style w:type="paragraph" w:customStyle="1" w:styleId="AmOrLang">
    <w:name w:val="AmOrLang"/>
    <w:basedOn w:val="Normal"/>
    <w:rsid w:val="00E20DB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20DB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20D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20DBC"/>
    <w:pPr>
      <w:spacing w:before="240"/>
    </w:pPr>
    <w:rPr>
      <w:b/>
    </w:rPr>
  </w:style>
  <w:style w:type="paragraph" w:customStyle="1" w:styleId="EPBody">
    <w:name w:val="EPBody"/>
    <w:basedOn w:val="Normal"/>
    <w:rsid w:val="00E20DB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20D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20DBC"/>
    <w:pPr>
      <w:spacing w:before="480" w:after="240"/>
    </w:pPr>
  </w:style>
  <w:style w:type="paragraph" w:customStyle="1" w:styleId="Lgendesigne">
    <w:name w:val="Légende signe"/>
    <w:basedOn w:val="Normal"/>
    <w:rsid w:val="00E20DB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20DB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20DBC"/>
    <w:rPr>
      <w:sz w:val="18"/>
    </w:rPr>
  </w:style>
  <w:style w:type="paragraph" w:customStyle="1" w:styleId="EntPE">
    <w:name w:val="EntPE"/>
    <w:basedOn w:val="Normal12"/>
    <w:rsid w:val="00E20DB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E20DB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E20DBC"/>
    <w:rPr>
      <w:noProof/>
      <w:sz w:val="24"/>
      <w:lang w:val="lv-LV"/>
    </w:rPr>
  </w:style>
  <w:style w:type="paragraph" w:customStyle="1" w:styleId="CommitteeAM">
    <w:name w:val="CommitteeAM"/>
    <w:basedOn w:val="Normal"/>
    <w:rsid w:val="00E20DB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20DB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20DB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20DB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20DB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E20DB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20DBC"/>
    <w:rPr>
      <w:sz w:val="24"/>
      <w:lang w:val="lv-LV"/>
    </w:rPr>
  </w:style>
  <w:style w:type="paragraph" w:customStyle="1" w:styleId="Normal12Italic">
    <w:name w:val="Normal12Italic"/>
    <w:basedOn w:val="Normal12"/>
    <w:rsid w:val="00E20DBC"/>
    <w:rPr>
      <w:i/>
    </w:rPr>
  </w:style>
  <w:style w:type="paragraph" w:customStyle="1" w:styleId="JustificationTitle">
    <w:name w:val="JustificationTitle"/>
    <w:basedOn w:val="Normal"/>
    <w:next w:val="Normal12"/>
    <w:rsid w:val="00E20DB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20DB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20DB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20D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20DBC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E20DBC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E20DBC"/>
    <w:rPr>
      <w:sz w:val="22"/>
      <w:lang w:val="lv-LV"/>
    </w:rPr>
  </w:style>
  <w:style w:type="paragraph" w:customStyle="1" w:styleId="Footer2">
    <w:name w:val="Footer2"/>
    <w:basedOn w:val="Normal12"/>
    <w:rsid w:val="00E20DB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E20DBC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E20DB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E20D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20DBC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uiPriority w:val="99"/>
    <w:rsid w:val="00E20D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20DB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0DBC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20D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20DBC"/>
    <w:rPr>
      <w:b/>
      <w:bCs/>
      <w:lang w:val="lv-LV"/>
    </w:rPr>
  </w:style>
  <w:style w:type="paragraph" w:customStyle="1" w:styleId="Normal12a">
    <w:name w:val="Normal12a"/>
    <w:basedOn w:val="Normal"/>
    <w:rsid w:val="00E20DBC"/>
    <w:pPr>
      <w:spacing w:after="240"/>
    </w:pPr>
  </w:style>
  <w:style w:type="paragraph" w:customStyle="1" w:styleId="LetterSalutation">
    <w:name w:val="LetterSalutation"/>
    <w:basedOn w:val="Normal"/>
    <w:rsid w:val="00E20DBC"/>
    <w:pPr>
      <w:spacing w:before="600" w:after="360"/>
    </w:pPr>
  </w:style>
  <w:style w:type="paragraph" w:customStyle="1" w:styleId="LetterSubject">
    <w:name w:val="LetterSubject"/>
    <w:basedOn w:val="Normal"/>
    <w:rsid w:val="00E20DBC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E20DBC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E20DBC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E20DBC"/>
    <w:rPr>
      <w:sz w:val="24"/>
      <w:lang w:val="lv-LV"/>
    </w:rPr>
  </w:style>
  <w:style w:type="paragraph" w:customStyle="1" w:styleId="NormalBoldCenter">
    <w:name w:val="NormalBoldCenter"/>
    <w:basedOn w:val="Normal"/>
    <w:uiPriority w:val="99"/>
    <w:rsid w:val="00E20DBC"/>
    <w:pPr>
      <w:jc w:val="center"/>
    </w:pPr>
    <w:rPr>
      <w:b/>
    </w:rPr>
  </w:style>
  <w:style w:type="paragraph" w:customStyle="1" w:styleId="Point0number">
    <w:name w:val="Point 0 (number)"/>
    <w:basedOn w:val="Normal"/>
    <w:qFormat/>
    <w:rsid w:val="00E20DB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20DB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20DB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20DB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20DB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20DB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20DB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20DB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20DBC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E20DB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20DB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20DB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20DBC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Normal12HangingChar"/>
    <w:qFormat/>
    <w:rsid w:val="00E015AC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E015AC"/>
    <w:rPr>
      <w:snapToGrid w:val="0"/>
      <w:sz w:val="24"/>
      <w:lang w:val="lv-LV"/>
    </w:rPr>
  </w:style>
  <w:style w:type="paragraph" w:customStyle="1" w:styleId="AmDocTypeTab">
    <w:name w:val="AmDocTypeTab"/>
    <w:basedOn w:val="Normal"/>
    <w:rsid w:val="00E015A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015AC"/>
    <w:pPr>
      <w:spacing w:after="240"/>
      <w:jc w:val="center"/>
    </w:pPr>
  </w:style>
  <w:style w:type="paragraph" w:customStyle="1" w:styleId="AmDateTab">
    <w:name w:val="AmDateTab"/>
    <w:basedOn w:val="Normal"/>
    <w:rsid w:val="00E015A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015AC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E015AC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015AC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E015AC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015AC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015AC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E015AC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015AC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015AC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015A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015A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E015AC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015AC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015AC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015AC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E015AC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E015AC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E015AC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E015AC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E015AC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E015AC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E015AC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E015A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E015A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E015A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E015A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E015A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E015AC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E015AC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E015AC"/>
    <w:pPr>
      <w:widowControl/>
      <w:numPr>
        <w:ilvl w:val="5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E015AC"/>
    <w:pPr>
      <w:widowControl/>
      <w:numPr>
        <w:ilvl w:val="7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E015AC"/>
    <w:pPr>
      <w:widowControl/>
      <w:numPr>
        <w:ilvl w:val="8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E015AC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E015AC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E015AC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E015AC"/>
    <w:pPr>
      <w:widowControl/>
      <w:numPr>
        <w:ilvl w:val="6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E015AC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E015AC"/>
    <w:pPr>
      <w:widowControl/>
      <w:numPr>
        <w:ilvl w:val="1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E015AC"/>
    <w:pPr>
      <w:widowControl/>
      <w:numPr>
        <w:ilvl w:val="2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E015AC"/>
    <w:pPr>
      <w:widowControl/>
      <w:numPr>
        <w:ilvl w:val="3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E015AC"/>
    <w:pPr>
      <w:widowControl/>
      <w:numPr>
        <w:ilvl w:val="4"/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E015AC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015A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015AC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015AC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015AC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E015AC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E015AC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E015AC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E015AC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E015AC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E015AC"/>
    <w:pPr>
      <w:numPr>
        <w:numId w:val="9"/>
      </w:numPr>
    </w:pPr>
  </w:style>
  <w:style w:type="paragraph" w:customStyle="1" w:styleId="DashEqual1">
    <w:name w:val="Dash Equal 1"/>
    <w:basedOn w:val="Dash1"/>
    <w:rsid w:val="00E015AC"/>
    <w:pPr>
      <w:numPr>
        <w:numId w:val="10"/>
      </w:numPr>
    </w:pPr>
  </w:style>
  <w:style w:type="paragraph" w:customStyle="1" w:styleId="DashEqual2">
    <w:name w:val="Dash Equal 2"/>
    <w:basedOn w:val="Dash2"/>
    <w:rsid w:val="00E015AC"/>
    <w:pPr>
      <w:numPr>
        <w:numId w:val="11"/>
      </w:numPr>
    </w:pPr>
  </w:style>
  <w:style w:type="paragraph" w:customStyle="1" w:styleId="DashEqual3">
    <w:name w:val="Dash Equal 3"/>
    <w:basedOn w:val="Dash3"/>
    <w:rsid w:val="00E015AC"/>
    <w:pPr>
      <w:numPr>
        <w:numId w:val="12"/>
      </w:numPr>
    </w:pPr>
  </w:style>
  <w:style w:type="paragraph" w:customStyle="1" w:styleId="DashEqual4">
    <w:name w:val="Dash Equal 4"/>
    <w:basedOn w:val="Dash4"/>
    <w:rsid w:val="00E015AC"/>
    <w:pPr>
      <w:numPr>
        <w:numId w:val="13"/>
      </w:numPr>
    </w:pPr>
  </w:style>
  <w:style w:type="character" w:customStyle="1" w:styleId="Marker">
    <w:name w:val="Marker"/>
    <w:basedOn w:val="DefaultParagraphFont"/>
    <w:rsid w:val="00E015A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015A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015AC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015AC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E015AC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E015AC"/>
    <w:pPr>
      <w:numPr>
        <w:numId w:val="21"/>
      </w:numPr>
    </w:pPr>
  </w:style>
  <w:style w:type="paragraph" w:customStyle="1" w:styleId="HeadingCentered">
    <w:name w:val="Heading Centered"/>
    <w:basedOn w:val="HeadingLeft"/>
    <w:next w:val="Normal"/>
    <w:rsid w:val="00E015AC"/>
    <w:pPr>
      <w:jc w:val="center"/>
    </w:pPr>
  </w:style>
  <w:style w:type="paragraph" w:customStyle="1" w:styleId="Jardin">
    <w:name w:val="Jardin"/>
    <w:basedOn w:val="Normal"/>
    <w:rsid w:val="00E015AC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E015AC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015AC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E015AC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015AC"/>
    <w:rPr>
      <w:b/>
    </w:rPr>
  </w:style>
  <w:style w:type="paragraph" w:customStyle="1" w:styleId="Annex">
    <w:name w:val="Annex"/>
    <w:basedOn w:val="Normal"/>
    <w:next w:val="Normal"/>
    <w:rsid w:val="00E015AC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015AC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015AC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015A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015A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015AC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15AC"/>
    <w:rPr>
      <w:rFonts w:eastAsiaTheme="minorHAnsi"/>
      <w:lang w:val="lv-LV" w:eastAsia="en-US"/>
    </w:rPr>
  </w:style>
  <w:style w:type="character" w:styleId="EndnoteReference">
    <w:name w:val="endnote reference"/>
    <w:basedOn w:val="DefaultParagraphFont"/>
    <w:uiPriority w:val="99"/>
    <w:unhideWhenUsed/>
    <w:rsid w:val="00E015A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E015AC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015AC"/>
    <w:rPr>
      <w:rFonts w:eastAsiaTheme="minorHAnsi"/>
      <w:sz w:val="24"/>
      <w:szCs w:val="22"/>
      <w:lang w:val="lv-LV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015AC"/>
    <w:rPr>
      <w:rFonts w:eastAsiaTheme="minorHAnsi"/>
      <w:sz w:val="2"/>
      <w:szCs w:val="22"/>
      <w:lang w:val="lv-LV" w:eastAsia="en-US"/>
    </w:rPr>
  </w:style>
  <w:style w:type="paragraph" w:customStyle="1" w:styleId="FooterText">
    <w:name w:val="Footer Text"/>
    <w:basedOn w:val="Normal"/>
    <w:rsid w:val="00E015A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E015AC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E015AC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E015AC"/>
    <w:pPr>
      <w:autoSpaceDE w:val="0"/>
      <w:autoSpaceDN w:val="0"/>
      <w:adjustRightInd w:val="0"/>
      <w:spacing w:line="360" w:lineRule="auto"/>
    </w:pPr>
    <w:rPr>
      <w:rFonts w:eastAsiaTheme="minorEastAsia"/>
      <w:lang w:eastAsia="sl-SI"/>
    </w:rPr>
  </w:style>
  <w:style w:type="paragraph" w:styleId="Revision">
    <w:name w:val="Revision"/>
    <w:hidden/>
    <w:uiPriority w:val="99"/>
    <w:rsid w:val="00E015AC"/>
    <w:pPr>
      <w:widowControl w:val="0"/>
      <w:autoSpaceDE w:val="0"/>
      <w:autoSpaceDN w:val="0"/>
      <w:adjustRightInd w:val="0"/>
    </w:pPr>
    <w:rPr>
      <w:sz w:val="24"/>
      <w:szCs w:val="22"/>
      <w:lang w:val="lv-LV" w:eastAsia="sl-SI"/>
    </w:rPr>
  </w:style>
  <w:style w:type="paragraph" w:styleId="TOC4">
    <w:name w:val="toc 4"/>
    <w:basedOn w:val="Normal"/>
    <w:next w:val="Normal"/>
    <w:uiPriority w:val="39"/>
    <w:rsid w:val="00E015AC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E015AC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E015AC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E015AC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E015AC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E015AC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E015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E015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E015AC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E015AC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E015AC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E015AC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E015AC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E015AC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E015AC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E015A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E015AC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E015AC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E015AC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E015AC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E015AC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E015AC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E015AC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E015AC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E015AC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E015AC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E015AC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E015AC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E015A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E015A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E015A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E015A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E015AC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E015AC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E015AC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E015AC"/>
    <w:rPr>
      <w:color w:val="FF0000"/>
    </w:rPr>
  </w:style>
  <w:style w:type="paragraph" w:customStyle="1" w:styleId="Bullet0">
    <w:name w:val="Bullet 0"/>
    <w:basedOn w:val="Normal"/>
    <w:rsid w:val="00E015AC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E015AC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E015AC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E015A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E015A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E015AC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E015AC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E015AC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E015AC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E015AC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E015AC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E015AC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E015AC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E015AC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E015AC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E015AC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E015AC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E015AC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E015AC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E015A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E015A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E015A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E015AC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E015AC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E015AC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E015AC"/>
    <w:rPr>
      <w:b/>
      <w:u w:val="single"/>
    </w:rPr>
  </w:style>
  <w:style w:type="character" w:customStyle="1" w:styleId="Deleted">
    <w:name w:val="Deleted"/>
    <w:basedOn w:val="DefaultParagraphFont"/>
    <w:rsid w:val="00E015AC"/>
    <w:rPr>
      <w:strike/>
    </w:rPr>
  </w:style>
  <w:style w:type="paragraph" w:customStyle="1" w:styleId="Address">
    <w:name w:val="Address"/>
    <w:basedOn w:val="Normal"/>
    <w:next w:val="Normal"/>
    <w:rsid w:val="00E015AC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E015AC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E015A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E015AC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015A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015AC"/>
  </w:style>
  <w:style w:type="paragraph" w:customStyle="1" w:styleId="StatutPagedecouverture">
    <w:name w:val="Statut (Page de couverture)"/>
    <w:basedOn w:val="Statut"/>
    <w:next w:val="TypedudocumentPagedecouverture"/>
    <w:rsid w:val="00E015AC"/>
  </w:style>
  <w:style w:type="paragraph" w:customStyle="1" w:styleId="TitreobjetPagedecouverture">
    <w:name w:val="Titre objet (Page de couverture)"/>
    <w:basedOn w:val="Titreobjet"/>
    <w:next w:val="IntrtEEEPagedecouverture"/>
    <w:rsid w:val="00E015A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015AC"/>
  </w:style>
  <w:style w:type="paragraph" w:customStyle="1" w:styleId="Volume">
    <w:name w:val="Volume"/>
    <w:basedOn w:val="Normal"/>
    <w:next w:val="Confidentialit"/>
    <w:rsid w:val="00E015A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E015AC"/>
    <w:pPr>
      <w:spacing w:after="240"/>
    </w:pPr>
  </w:style>
  <w:style w:type="paragraph" w:customStyle="1" w:styleId="Accompagnant">
    <w:name w:val="Accompagnant"/>
    <w:basedOn w:val="Normal"/>
    <w:next w:val="Typeacteprincipal"/>
    <w:rsid w:val="00E015AC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E015AC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E015AC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E015AC"/>
  </w:style>
  <w:style w:type="paragraph" w:customStyle="1" w:styleId="AccompagnantPagedecouverture">
    <w:name w:val="Accompagnant (Page de couverture)"/>
    <w:basedOn w:val="Accompagnant"/>
    <w:next w:val="TypeacteprincipalPagedecouverture"/>
    <w:rsid w:val="00E015A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015AC"/>
  </w:style>
  <w:style w:type="paragraph" w:customStyle="1" w:styleId="ObjetacteprincipalPagedecouverture">
    <w:name w:val="Objet acte principal (Page de couverture)"/>
    <w:basedOn w:val="Objetacteprincipal"/>
    <w:next w:val="Rfrencecroise"/>
    <w:rsid w:val="00E015AC"/>
  </w:style>
  <w:style w:type="paragraph" w:customStyle="1" w:styleId="LanguesfaisantfoiPagedecouverture">
    <w:name w:val="Langues faisant foi (Page de couverture)"/>
    <w:basedOn w:val="Normal"/>
    <w:next w:val="Normal"/>
    <w:rsid w:val="00E015A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E015AC"/>
    <w:pPr>
      <w:autoSpaceDE w:val="0"/>
      <w:autoSpaceDN w:val="0"/>
      <w:adjustRightInd w:val="0"/>
      <w:spacing w:line="360" w:lineRule="auto"/>
      <w:jc w:val="center"/>
    </w:pPr>
    <w:rPr>
      <w:rFonts w:eastAsiaTheme="minorEastAsia"/>
      <w:b/>
      <w:szCs w:val="24"/>
      <w:lang w:eastAsia="sl-SI"/>
    </w:rPr>
  </w:style>
  <w:style w:type="paragraph" w:customStyle="1" w:styleId="ListNumberLevel2">
    <w:name w:val="List Number (Level 2)"/>
    <w:basedOn w:val="Normal"/>
    <w:rsid w:val="00E015AC"/>
    <w:pPr>
      <w:numPr>
        <w:ilvl w:val="1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rFonts w:eastAsiaTheme="minorEastAsia"/>
      <w:szCs w:val="24"/>
      <w:lang w:eastAsia="sl-SI"/>
    </w:rPr>
  </w:style>
  <w:style w:type="paragraph" w:customStyle="1" w:styleId="Normale">
    <w:name w:val="Normale"/>
    <w:qFormat/>
    <w:rsid w:val="00E015AC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lv-LV" w:eastAsia="sl-SI"/>
    </w:rPr>
  </w:style>
  <w:style w:type="character" w:customStyle="1" w:styleId="Sub">
    <w:name w:val="Sub"/>
    <w:uiPriority w:val="1"/>
    <w:qFormat/>
    <w:rsid w:val="00E015AC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E015A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015A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015A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015AC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E015AC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E015A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015A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015AC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E015AC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b">
    <w:name w:val="Normal12b"/>
    <w:basedOn w:val="Normal"/>
    <w:qFormat/>
    <w:rsid w:val="00E015AC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E015AC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E015AC"/>
    <w:pPr>
      <w:spacing w:before="120"/>
    </w:pPr>
  </w:style>
  <w:style w:type="paragraph" w:customStyle="1" w:styleId="TitlePar3">
    <w:name w:val="TitlePar 3"/>
    <w:basedOn w:val="TitlePar2"/>
    <w:qFormat/>
    <w:rsid w:val="00E015AC"/>
    <w:rPr>
      <w:b w:val="0"/>
      <w:i/>
    </w:rPr>
  </w:style>
  <w:style w:type="paragraph" w:customStyle="1" w:styleId="SubsectionTitle">
    <w:name w:val="SubsectionTitle"/>
    <w:basedOn w:val="SectionTitle"/>
    <w:qFormat/>
    <w:rsid w:val="00E015AC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015AC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E015AC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E015AC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E015AC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E015AC"/>
  </w:style>
  <w:style w:type="paragraph" w:customStyle="1" w:styleId="Text0">
    <w:name w:val="Text 0"/>
    <w:basedOn w:val="Normal"/>
    <w:qFormat/>
    <w:rsid w:val="00E015AC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E015AC"/>
    <w:pPr>
      <w:spacing w:before="360" w:after="120"/>
    </w:pPr>
  </w:style>
  <w:style w:type="paragraph" w:customStyle="1" w:styleId="PartNum">
    <w:name w:val="PartNum"/>
    <w:basedOn w:val="PartTitle"/>
    <w:qFormat/>
    <w:rsid w:val="00E015AC"/>
    <w:pPr>
      <w:spacing w:before="360" w:after="120"/>
    </w:pPr>
  </w:style>
  <w:style w:type="paragraph" w:customStyle="1" w:styleId="SectionNum">
    <w:name w:val="SectionNum"/>
    <w:basedOn w:val="SectionTitle"/>
    <w:qFormat/>
    <w:rsid w:val="00E015AC"/>
    <w:pPr>
      <w:spacing w:before="360" w:after="120"/>
    </w:pPr>
  </w:style>
  <w:style w:type="paragraph" w:customStyle="1" w:styleId="TitleHeading">
    <w:name w:val="TitleHeading"/>
    <w:basedOn w:val="NumTitle"/>
    <w:qFormat/>
    <w:rsid w:val="00E015A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015A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015AC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015AC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E015AC"/>
    <w:pPr>
      <w:ind w:left="4253"/>
    </w:pPr>
  </w:style>
  <w:style w:type="paragraph" w:customStyle="1" w:styleId="Text7">
    <w:name w:val="Text 7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E015A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E015AC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E015AC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E015AC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E015AC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E015AC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E015AC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E015A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E015A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E015A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E015A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E015A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E015A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E015A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E015AC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E015AC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E015AC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E015AC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E015A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E015A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E015A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E015AC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E015AC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E015AC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E015AC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E015AC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E015AC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E015AC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E015AC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E015AC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E015AC"/>
    <w:pPr>
      <w:spacing w:before="240"/>
    </w:pPr>
  </w:style>
  <w:style w:type="paragraph" w:customStyle="1" w:styleId="Accordtitre">
    <w:name w:val="Accord titre"/>
    <w:basedOn w:val="Normal"/>
    <w:rsid w:val="00E015AC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E015AC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E015AC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E015AC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E015AC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E015A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E015A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E015A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E015A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E015A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E015AC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lv-LV" w:eastAsia="sl-SI"/>
    </w:rPr>
  </w:style>
  <w:style w:type="paragraph" w:customStyle="1" w:styleId="CommentFwdQuotedText">
    <w:name w:val="CommentFwdQuotedText"/>
    <w:basedOn w:val="Normal"/>
    <w:rsid w:val="00E015AC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E015A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015AC"/>
    <w:rPr>
      <w:b/>
      <w:i/>
    </w:rPr>
  </w:style>
  <w:style w:type="character" w:customStyle="1" w:styleId="diff-tte-removed">
    <w:name w:val="diff-tte-removed"/>
    <w:basedOn w:val="DefaultParagraphFont"/>
    <w:rsid w:val="00E015AC"/>
    <w:rPr>
      <w:strike/>
    </w:rPr>
  </w:style>
  <w:style w:type="paragraph" w:customStyle="1" w:styleId="paragraph">
    <w:name w:val="paragraph"/>
    <w:basedOn w:val="Normal"/>
    <w:rsid w:val="00E015AC"/>
    <w:pPr>
      <w:autoSpaceDE w:val="0"/>
      <w:autoSpaceDN w:val="0"/>
      <w:adjustRightInd w:val="0"/>
      <w:spacing w:before="100" w:beforeAutospacing="1" w:after="100" w:afterAutospacing="1"/>
    </w:pPr>
    <w:rPr>
      <w:rFonts w:eastAsiaTheme="minorEastAsia"/>
      <w:szCs w:val="24"/>
      <w:lang w:eastAsia="sl-SI"/>
    </w:rPr>
  </w:style>
  <w:style w:type="character" w:customStyle="1" w:styleId="normaltextrun">
    <w:name w:val="normaltextrun"/>
    <w:basedOn w:val="DefaultParagraphFont"/>
    <w:rsid w:val="00E015AC"/>
  </w:style>
  <w:style w:type="character" w:customStyle="1" w:styleId="eop">
    <w:name w:val="eop"/>
    <w:basedOn w:val="DefaultParagraphFont"/>
    <w:rsid w:val="00E015AC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E015AC"/>
    <w:rPr>
      <w:lang w:val="lv-LV"/>
    </w:rPr>
  </w:style>
  <w:style w:type="paragraph" w:styleId="ListBullet">
    <w:name w:val="List Bullet"/>
    <w:basedOn w:val="Normal"/>
    <w:uiPriority w:val="99"/>
    <w:rsid w:val="00E015AC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E015AC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E015AC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E015AC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E015AC"/>
    <w:rPr>
      <w:color w:val="800080"/>
      <w:u w:val="single"/>
    </w:rPr>
  </w:style>
  <w:style w:type="paragraph" w:customStyle="1" w:styleId="ti-art">
    <w:name w:val="ti-art"/>
    <w:basedOn w:val="Normal"/>
    <w:rsid w:val="00E015A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E015A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E015A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E015A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E015AC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E015AC"/>
    <w:rPr>
      <w:rFonts w:ascii="Calibri" w:hAnsi="Calibri" w:cs="Cambria"/>
      <w:sz w:val="22"/>
      <w:szCs w:val="22"/>
      <w:lang w:val="lv-LV" w:eastAsia="sl-SI"/>
    </w:rPr>
  </w:style>
  <w:style w:type="paragraph" w:styleId="NoSpacing">
    <w:name w:val="No Spacing"/>
    <w:uiPriority w:val="1"/>
    <w:qFormat/>
    <w:rsid w:val="00E015AC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lv-LV" w:eastAsia="sl-SI"/>
    </w:rPr>
  </w:style>
  <w:style w:type="paragraph" w:styleId="Caption">
    <w:name w:val="caption"/>
    <w:basedOn w:val="Normal"/>
    <w:next w:val="Normal"/>
    <w:uiPriority w:val="35"/>
    <w:qFormat/>
    <w:rsid w:val="00E015AC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E015AC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E015AC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E015AC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E015AC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E015A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E015AC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E015AC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E015AC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E015AC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E015A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E015AC"/>
    <w:pPr>
      <w:spacing w:line="240" w:lineRule="auto"/>
    </w:pPr>
    <w:rPr>
      <w:rFonts w:eastAsia="Times New Roman"/>
      <w:szCs w:val="22"/>
    </w:rPr>
  </w:style>
  <w:style w:type="paragraph" w:customStyle="1" w:styleId="FooterCoverPage">
    <w:name w:val="Footer Cover Page"/>
    <w:basedOn w:val="Normal"/>
    <w:rsid w:val="00E015AC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E015AC"/>
    <w:rPr>
      <w:rFonts w:ascii="Times New Roman" w:hAnsi="Times New Roman" w:cs="Times New Roman"/>
      <w:b/>
      <w:sz w:val="28"/>
      <w:lang w:val="lv-LV"/>
    </w:rPr>
  </w:style>
  <w:style w:type="character" w:customStyle="1" w:styleId="FooterCoverPageChar">
    <w:name w:val="Footer Cover Page Char"/>
    <w:basedOn w:val="TOCHeadingChar"/>
    <w:rsid w:val="00E015AC"/>
    <w:rPr>
      <w:rFonts w:ascii="Times New Roman" w:hAnsi="Times New Roman" w:cs="Times New Roman"/>
      <w:b w:val="0"/>
      <w:sz w:val="24"/>
      <w:lang w:val="lv-LV"/>
    </w:rPr>
  </w:style>
  <w:style w:type="paragraph" w:customStyle="1" w:styleId="HeaderCoverPage">
    <w:name w:val="Header Cover Page"/>
    <w:basedOn w:val="Normal"/>
    <w:rsid w:val="00E015AC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E015AC"/>
    <w:rPr>
      <w:rFonts w:ascii="Times New Roman" w:hAnsi="Times New Roman" w:cs="Times New Roman"/>
      <w:b w:val="0"/>
      <w:sz w:val="24"/>
      <w:lang w:val="lv-LV"/>
    </w:rPr>
  </w:style>
  <w:style w:type="paragraph" w:styleId="BodyTextIndent">
    <w:name w:val="Body Text Indent"/>
    <w:basedOn w:val="Normal"/>
    <w:link w:val="BodyTextIndentChar"/>
    <w:uiPriority w:val="99"/>
    <w:rsid w:val="00E015AC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015AC"/>
    <w:rPr>
      <w:noProof/>
      <w:sz w:val="24"/>
      <w:szCs w:val="22"/>
      <w:lang w:val="lv-LV" w:eastAsia="sl-SI"/>
    </w:rPr>
  </w:style>
  <w:style w:type="paragraph" w:customStyle="1" w:styleId="Body">
    <w:name w:val="Body"/>
    <w:rsid w:val="00E015AC"/>
    <w:pPr>
      <w:widowControl w:val="0"/>
      <w:autoSpaceDE w:val="0"/>
      <w:autoSpaceDN w:val="0"/>
      <w:adjustRightInd w:val="0"/>
      <w:spacing w:before="120" w:after="120"/>
      <w:jc w:val="both"/>
    </w:pPr>
    <w:rPr>
      <w:rFonts w:eastAsiaTheme="minorEastAsia"/>
      <w:color w:val="000000"/>
      <w:sz w:val="24"/>
      <w:szCs w:val="24"/>
      <w:lang w:val="lv-LV" w:eastAsia="sl-SI"/>
    </w:rPr>
  </w:style>
  <w:style w:type="paragraph" w:customStyle="1" w:styleId="LegalNumPar">
    <w:name w:val="LegalNumPar"/>
    <w:basedOn w:val="Normal"/>
    <w:rsid w:val="00E015AC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E015AC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E015AC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E015A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E015AC"/>
  </w:style>
  <w:style w:type="character" w:customStyle="1" w:styleId="tw4winMark">
    <w:name w:val="tw4winMark"/>
    <w:rsid w:val="00E015AC"/>
    <w:rPr>
      <w:rFonts w:ascii="Times New Roman" w:hAnsi="Times New Roman"/>
      <w:vanish/>
      <w:color w:val="800080"/>
      <w:sz w:val="24"/>
      <w:vertAlign w:val="subscript"/>
      <w:lang w:val="lv-LV"/>
    </w:rPr>
  </w:style>
  <w:style w:type="character" w:customStyle="1" w:styleId="tw4winError">
    <w:name w:val="tw4winError"/>
    <w:rsid w:val="00E015AC"/>
    <w:rPr>
      <w:color w:val="00FF00"/>
      <w:sz w:val="40"/>
      <w:lang w:val="lv-LV"/>
    </w:rPr>
  </w:style>
  <w:style w:type="character" w:customStyle="1" w:styleId="tw4winTerm">
    <w:name w:val="tw4winTerm"/>
    <w:rsid w:val="00E015AC"/>
    <w:rPr>
      <w:color w:val="0000FF"/>
      <w:lang w:val="lv-LV"/>
    </w:rPr>
  </w:style>
  <w:style w:type="character" w:customStyle="1" w:styleId="tw4winPopup">
    <w:name w:val="tw4winPopup"/>
    <w:rsid w:val="00E015AC"/>
    <w:rPr>
      <w:noProof/>
      <w:color w:val="008000"/>
    </w:rPr>
  </w:style>
  <w:style w:type="character" w:customStyle="1" w:styleId="tw4winJump">
    <w:name w:val="tw4winJump"/>
    <w:rsid w:val="00E015AC"/>
    <w:rPr>
      <w:noProof/>
      <w:color w:val="008080"/>
    </w:rPr>
  </w:style>
  <w:style w:type="character" w:customStyle="1" w:styleId="tw4winExternal">
    <w:name w:val="tw4winExternal"/>
    <w:rsid w:val="00E015AC"/>
    <w:rPr>
      <w:noProof/>
      <w:color w:val="808080"/>
    </w:rPr>
  </w:style>
  <w:style w:type="character" w:customStyle="1" w:styleId="tw4winInternal">
    <w:name w:val="tw4winInternal"/>
    <w:rsid w:val="00E015AC"/>
    <w:rPr>
      <w:noProof/>
      <w:color w:val="FF0000"/>
    </w:rPr>
  </w:style>
  <w:style w:type="character" w:customStyle="1" w:styleId="DONOTTRANSLATE">
    <w:name w:val="DO_NOT_TRANSLATE"/>
    <w:rsid w:val="00E015AC"/>
    <w:rPr>
      <w:noProof/>
      <w:color w:val="800000"/>
    </w:rPr>
  </w:style>
  <w:style w:type="paragraph" w:customStyle="1" w:styleId="ListBullet1ListBullet1">
    <w:name w:val="List Bullet 1List Bullet 1"/>
    <w:basedOn w:val="Normal"/>
    <w:rsid w:val="00E015A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E015AC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E015AC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E015A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E015A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E015AC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E015AC"/>
    <w:rPr>
      <w:rFonts w:eastAsiaTheme="minorHAnsi"/>
      <w:sz w:val="24"/>
      <w:szCs w:val="22"/>
      <w:lang w:val="lv-LV" w:eastAsia="en-US"/>
    </w:rPr>
  </w:style>
  <w:style w:type="paragraph" w:customStyle="1" w:styleId="nbbordered">
    <w:name w:val="nb bordered"/>
    <w:basedOn w:val="TechnicalBlock"/>
    <w:rsid w:val="00E015AC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E015AC"/>
    <w:rPr>
      <w:rFonts w:eastAsiaTheme="minorHAnsi"/>
      <w:b/>
      <w:sz w:val="24"/>
      <w:szCs w:val="22"/>
      <w:lang w:val="lv-LV" w:eastAsia="en-US"/>
    </w:rPr>
  </w:style>
  <w:style w:type="character" w:customStyle="1" w:styleId="HeaderCouncilChar">
    <w:name w:val="Header Council Char"/>
    <w:basedOn w:val="DefaultParagraphFont"/>
    <w:rsid w:val="00E015AC"/>
    <w:rPr>
      <w:rFonts w:ascii="Times New Roman" w:hAnsi="Times New Roman" w:cs="Times New Roman"/>
      <w:sz w:val="2"/>
      <w:lang w:val="lv-LV"/>
    </w:rPr>
  </w:style>
  <w:style w:type="character" w:customStyle="1" w:styleId="FooterCouncilChar">
    <w:name w:val="Footer Council Char"/>
    <w:basedOn w:val="DefaultParagraphFont"/>
    <w:rsid w:val="00E015AC"/>
    <w:rPr>
      <w:rFonts w:ascii="Times New Roman" w:hAnsi="Times New Roman" w:cs="Times New Roman"/>
      <w:sz w:val="2"/>
      <w:lang w:val="lv-LV"/>
    </w:rPr>
  </w:style>
  <w:style w:type="paragraph" w:customStyle="1" w:styleId="DeltaViewTableHeading">
    <w:name w:val="DeltaView Table Heading"/>
    <w:basedOn w:val="Normal"/>
    <w:uiPriority w:val="99"/>
    <w:rsid w:val="00E015AC"/>
    <w:pPr>
      <w:widowControl/>
      <w:autoSpaceDE w:val="0"/>
      <w:autoSpaceDN w:val="0"/>
      <w:adjustRightInd w:val="0"/>
      <w:spacing w:after="120"/>
    </w:pPr>
    <w:rPr>
      <w:rFonts w:ascii="Arial" w:eastAsiaTheme="minorEastAsia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E015AC"/>
    <w:pPr>
      <w:widowControl/>
      <w:autoSpaceDE w:val="0"/>
      <w:autoSpaceDN w:val="0"/>
      <w:adjustRightInd w:val="0"/>
    </w:pPr>
    <w:rPr>
      <w:rFonts w:ascii="Arial" w:eastAsiaTheme="minorEastAsia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E015AC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 w:cs="Calibri"/>
      <w:sz w:val="24"/>
      <w:szCs w:val="24"/>
      <w:lang w:val="lv-LV" w:eastAsia="sl-SI"/>
    </w:rPr>
  </w:style>
  <w:style w:type="character" w:customStyle="1" w:styleId="DeltaViewInsertion">
    <w:name w:val="DeltaView Insertion"/>
    <w:uiPriority w:val="99"/>
    <w:rsid w:val="00E015AC"/>
    <w:rPr>
      <w:b/>
      <w:i/>
      <w:color w:val="000000"/>
    </w:rPr>
  </w:style>
  <w:style w:type="character" w:customStyle="1" w:styleId="DeltaViewDeletion">
    <w:name w:val="DeltaView Deletion"/>
    <w:uiPriority w:val="99"/>
    <w:rsid w:val="00E015AC"/>
    <w:rPr>
      <w:strike/>
      <w:color w:val="000000"/>
    </w:rPr>
  </w:style>
  <w:style w:type="character" w:customStyle="1" w:styleId="DeltaViewMoveSource">
    <w:name w:val="DeltaView Move Source"/>
    <w:uiPriority w:val="99"/>
    <w:rsid w:val="00E015A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015A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015A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015AC"/>
  </w:style>
  <w:style w:type="paragraph" w:styleId="DocumentMap">
    <w:name w:val="Document Map"/>
    <w:basedOn w:val="Normal"/>
    <w:next w:val="HeaderCouncil"/>
    <w:link w:val="DocumentMapChar"/>
    <w:uiPriority w:val="99"/>
    <w:rsid w:val="00E015AC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015AC"/>
    <w:rPr>
      <w:rFonts w:ascii="Tahoma" w:eastAsiaTheme="minorEastAsia" w:hAnsi="Tahoma" w:cs="Calibri"/>
      <w:sz w:val="24"/>
      <w:szCs w:val="24"/>
      <w:shd w:val="clear" w:color="auto" w:fill="000080"/>
      <w:lang w:val="lv-LV" w:eastAsia="sl-SI"/>
    </w:rPr>
  </w:style>
  <w:style w:type="character" w:customStyle="1" w:styleId="DeltaViewFormatChange">
    <w:name w:val="DeltaView Format Change"/>
    <w:uiPriority w:val="99"/>
    <w:rsid w:val="00E015AC"/>
    <w:rPr>
      <w:color w:val="000000"/>
    </w:rPr>
  </w:style>
  <w:style w:type="character" w:customStyle="1" w:styleId="DeltaViewMovedDeletion">
    <w:name w:val="DeltaView Moved Deletion"/>
    <w:uiPriority w:val="99"/>
    <w:rsid w:val="00E015A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E015AC"/>
    <w:rPr>
      <w:color w:val="000000"/>
    </w:rPr>
  </w:style>
  <w:style w:type="character" w:customStyle="1" w:styleId="DeltaViewStyleChangeText">
    <w:name w:val="DeltaView Style Change Text"/>
    <w:uiPriority w:val="99"/>
    <w:rsid w:val="00E015A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015A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E015A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E015A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E015A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890A-66F3-4A6A-88D9-B1E1B1BBE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350</Words>
  <Characters>2580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3</cp:revision>
  <cp:lastPrinted>2004-11-19T15:42:00Z</cp:lastPrinted>
  <dcterms:created xsi:type="dcterms:W3CDTF">2024-07-29T15:11:00Z</dcterms:created>
  <dcterms:modified xsi:type="dcterms:W3CDTF">2024-10-03T16:00:00Z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