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07BF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07BF9" w:rsidRDefault="0027084C" w:rsidP="0010095E">
            <w:pPr>
              <w:pStyle w:val="EPName"/>
            </w:pPr>
            <w:r w:rsidRPr="00607BF9">
              <w:t>Evropský parlament</w:t>
            </w:r>
          </w:p>
          <w:p w:rsidR="00751A4A" w:rsidRPr="00607BF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E5650">
              <w:t>2019</w:t>
            </w:r>
            <w:r w:rsidRPr="00607BF9">
              <w:t>-</w:t>
            </w:r>
            <w:r w:rsidRPr="00AE5650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607BF9" w:rsidRDefault="00187494" w:rsidP="0010095E">
            <w:pPr>
              <w:pStyle w:val="EPLogo"/>
            </w:pPr>
            <w:r w:rsidRPr="00607BF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07BF9" w:rsidRDefault="00D058B8" w:rsidP="004C5D52">
      <w:pPr>
        <w:pStyle w:val="LineTop"/>
      </w:pPr>
    </w:p>
    <w:p w:rsidR="00680577" w:rsidRPr="00607BF9" w:rsidRDefault="0027084C" w:rsidP="00680577">
      <w:pPr>
        <w:pStyle w:val="EPBodyTA1"/>
      </w:pPr>
      <w:r w:rsidRPr="00607BF9">
        <w:t>PŘIJATÉ TEXTY</w:t>
      </w:r>
    </w:p>
    <w:p w:rsidR="00D058B8" w:rsidRPr="00607BF9" w:rsidRDefault="00D058B8" w:rsidP="00D058B8">
      <w:pPr>
        <w:pStyle w:val="LineBottom"/>
      </w:pPr>
    </w:p>
    <w:p w:rsidR="0027084C" w:rsidRPr="00607BF9" w:rsidRDefault="0027084C" w:rsidP="0027084C">
      <w:pPr>
        <w:pStyle w:val="ATHeading1"/>
      </w:pPr>
      <w:bookmarkStart w:id="0" w:name="TANumber"/>
      <w:r w:rsidRPr="00607BF9">
        <w:t>P</w:t>
      </w:r>
      <w:r w:rsidRPr="00AE5650">
        <w:t>9</w:t>
      </w:r>
      <w:r w:rsidRPr="00607BF9">
        <w:t>_TA(</w:t>
      </w:r>
      <w:r w:rsidRPr="00AE5650">
        <w:t>2024</w:t>
      </w:r>
      <w:r w:rsidRPr="00607BF9">
        <w:t>)</w:t>
      </w:r>
      <w:bookmarkEnd w:id="0"/>
      <w:r w:rsidR="00822A4F" w:rsidRPr="00AE5650">
        <w:t>0</w:t>
      </w:r>
      <w:r w:rsidR="001D60FA" w:rsidRPr="00AE5650">
        <w:t>191</w:t>
      </w:r>
    </w:p>
    <w:p w:rsidR="0027084C" w:rsidRPr="00607BF9" w:rsidRDefault="0027084C" w:rsidP="0027084C">
      <w:pPr>
        <w:pStyle w:val="ATHeading2"/>
      </w:pPr>
      <w:bookmarkStart w:id="1" w:name="title"/>
      <w:r w:rsidRPr="00607BF9">
        <w:t>Rtuť: zubní amalgám a další výrobky s přidanou rtutí, na které se vztahuje omezení výroby, dovozu a vývozu</w:t>
      </w:r>
      <w:bookmarkEnd w:id="1"/>
    </w:p>
    <w:p w:rsidR="0027084C" w:rsidRPr="00607BF9" w:rsidRDefault="0027084C" w:rsidP="0027084C">
      <w:pPr>
        <w:rPr>
          <w:i/>
          <w:vanish/>
        </w:rPr>
      </w:pPr>
      <w:r w:rsidRPr="00607BF9">
        <w:rPr>
          <w:i/>
        </w:rPr>
        <w:fldChar w:fldCharType="begin"/>
      </w:r>
      <w:r w:rsidRPr="00607BF9">
        <w:rPr>
          <w:i/>
        </w:rPr>
        <w:instrText xml:space="preserve"> TC"(</w:instrText>
      </w:r>
      <w:bookmarkStart w:id="2" w:name="DocNumber"/>
      <w:r w:rsidRPr="00607BF9">
        <w:rPr>
          <w:i/>
        </w:rPr>
        <w:instrText>A</w:instrText>
      </w:r>
      <w:r w:rsidRPr="00AE5650">
        <w:rPr>
          <w:i/>
        </w:rPr>
        <w:instrText>9</w:instrText>
      </w:r>
      <w:r w:rsidRPr="00607BF9">
        <w:rPr>
          <w:i/>
        </w:rPr>
        <w:instrText>-</w:instrText>
      </w:r>
      <w:r w:rsidRPr="00AE5650">
        <w:rPr>
          <w:i/>
        </w:rPr>
        <w:instrText>0002</w:instrText>
      </w:r>
      <w:r w:rsidRPr="00607BF9">
        <w:rPr>
          <w:i/>
        </w:rPr>
        <w:instrText>/</w:instrText>
      </w:r>
      <w:r w:rsidRPr="00AE5650">
        <w:rPr>
          <w:i/>
        </w:rPr>
        <w:instrText>2024</w:instrText>
      </w:r>
      <w:bookmarkEnd w:id="2"/>
      <w:r w:rsidRPr="00607BF9">
        <w:rPr>
          <w:i/>
        </w:rPr>
        <w:instrText xml:space="preserve"> - Zpravodajka: Marlene Mortler)"\l</w:instrText>
      </w:r>
      <w:r w:rsidRPr="00AE5650">
        <w:rPr>
          <w:i/>
        </w:rPr>
        <w:instrText>3</w:instrText>
      </w:r>
      <w:r w:rsidRPr="00607BF9">
        <w:rPr>
          <w:i/>
        </w:rPr>
        <w:instrText xml:space="preserve"> \n&gt; \* MERGEFORMAT </w:instrText>
      </w:r>
      <w:r w:rsidRPr="00607BF9">
        <w:rPr>
          <w:i/>
        </w:rPr>
        <w:fldChar w:fldCharType="end"/>
      </w:r>
    </w:p>
    <w:p w:rsidR="0027084C" w:rsidRPr="00607BF9" w:rsidRDefault="0027084C" w:rsidP="0027084C">
      <w:pPr>
        <w:rPr>
          <w:vanish/>
        </w:rPr>
      </w:pPr>
      <w:bookmarkStart w:id="3" w:name="Commission"/>
      <w:r w:rsidRPr="00607BF9">
        <w:rPr>
          <w:vanish/>
        </w:rPr>
        <w:t>Výbor pro životní prostředí, veřejné zdraví a bezpečnost potravin</w:t>
      </w:r>
      <w:bookmarkEnd w:id="3"/>
    </w:p>
    <w:p w:rsidR="0027084C" w:rsidRPr="00607BF9" w:rsidRDefault="0027084C" w:rsidP="0027084C">
      <w:pPr>
        <w:rPr>
          <w:vanish/>
        </w:rPr>
      </w:pPr>
      <w:bookmarkStart w:id="4" w:name="PE"/>
      <w:r w:rsidRPr="00607BF9">
        <w:rPr>
          <w:vanish/>
        </w:rPr>
        <w:t>PE</w:t>
      </w:r>
      <w:r w:rsidRPr="00AE5650">
        <w:rPr>
          <w:vanish/>
        </w:rPr>
        <w:t>753</w:t>
      </w:r>
      <w:r w:rsidRPr="00607BF9">
        <w:rPr>
          <w:vanish/>
        </w:rPr>
        <w:t>.</w:t>
      </w:r>
      <w:r w:rsidRPr="00AE5650">
        <w:rPr>
          <w:vanish/>
        </w:rPr>
        <w:t>554</w:t>
      </w:r>
      <w:bookmarkEnd w:id="4"/>
    </w:p>
    <w:p w:rsidR="0027084C" w:rsidRPr="00607BF9" w:rsidRDefault="0027084C" w:rsidP="0027084C">
      <w:pPr>
        <w:pStyle w:val="ATHeading3"/>
      </w:pPr>
      <w:bookmarkStart w:id="5" w:name="Sujet"/>
      <w:r w:rsidRPr="00607BF9">
        <w:t xml:space="preserve">Legislativní usnesení </w:t>
      </w:r>
      <w:r w:rsidR="008D1507">
        <w:t xml:space="preserve">Evropského parlamentu ze dne </w:t>
      </w:r>
      <w:r w:rsidR="00822A4F" w:rsidRPr="00AE5650">
        <w:t>10</w:t>
      </w:r>
      <w:r w:rsidR="00822A4F">
        <w:t>. dubna</w:t>
      </w:r>
      <w:r w:rsidRPr="00607BF9">
        <w:t xml:space="preserve"> </w:t>
      </w:r>
      <w:r w:rsidRPr="00AE5650">
        <w:t>2024</w:t>
      </w:r>
      <w:r w:rsidRPr="00607BF9">
        <w:t xml:space="preserve"> </w:t>
      </w:r>
      <w:r w:rsidR="00C004C1">
        <w:t>o</w:t>
      </w:r>
      <w:r w:rsidR="00C004C1" w:rsidRPr="00607BF9">
        <w:t xml:space="preserve"> </w:t>
      </w:r>
      <w:r w:rsidRPr="00607BF9">
        <w:t xml:space="preserve">návrhu nařízení Evropského parlamentu a Rady, kterým se mění nařízení Evropského parlamentu a Rady (EU) </w:t>
      </w:r>
      <w:r w:rsidRPr="00AE5650">
        <w:t>2017</w:t>
      </w:r>
      <w:r w:rsidRPr="00607BF9">
        <w:t>/</w:t>
      </w:r>
      <w:r w:rsidRPr="00AE5650">
        <w:t>852</w:t>
      </w:r>
      <w:r w:rsidRPr="00607BF9">
        <w:t xml:space="preserve"> ze dne </w:t>
      </w:r>
      <w:r w:rsidRPr="00AE5650">
        <w:t>17</w:t>
      </w:r>
      <w:r w:rsidRPr="00607BF9">
        <w:t xml:space="preserve">. května </w:t>
      </w:r>
      <w:r w:rsidRPr="00AE5650">
        <w:t>2017</w:t>
      </w:r>
      <w:r w:rsidRPr="00607BF9">
        <w:t xml:space="preserve"> o rtuti, pokud jde o zubní amalgám a další výrobky s přidanou rtutí, na které se vztahuje omezení výroby, dovozu a vývozu</w:t>
      </w:r>
      <w:bookmarkEnd w:id="5"/>
      <w:r w:rsidRPr="00607BF9">
        <w:t xml:space="preserve"> </w:t>
      </w:r>
      <w:bookmarkStart w:id="6" w:name="References"/>
      <w:r w:rsidRPr="00607BF9">
        <w:t>(</w:t>
      </w:r>
      <w:proofErr w:type="gramStart"/>
      <w:r w:rsidRPr="00607BF9">
        <w:t>COM(</w:t>
      </w:r>
      <w:r w:rsidRPr="00AE5650">
        <w:t>2023</w:t>
      </w:r>
      <w:proofErr w:type="gramEnd"/>
      <w:r w:rsidRPr="00607BF9">
        <w:t>)</w:t>
      </w:r>
      <w:r w:rsidRPr="00AE5650">
        <w:t>0395</w:t>
      </w:r>
      <w:r w:rsidRPr="00607BF9">
        <w:t xml:space="preserve"> – C</w:t>
      </w:r>
      <w:r w:rsidRPr="00AE5650">
        <w:t>9</w:t>
      </w:r>
      <w:r w:rsidRPr="00607BF9">
        <w:t>-</w:t>
      </w:r>
      <w:r w:rsidRPr="00AE5650">
        <w:t>0309</w:t>
      </w:r>
      <w:r w:rsidRPr="00607BF9">
        <w:t>/</w:t>
      </w:r>
      <w:r w:rsidRPr="00AE5650">
        <w:t>2023</w:t>
      </w:r>
      <w:r w:rsidRPr="00607BF9">
        <w:t xml:space="preserve"> – </w:t>
      </w:r>
      <w:r w:rsidRPr="00AE5650">
        <w:t>2023</w:t>
      </w:r>
      <w:r w:rsidRPr="00607BF9">
        <w:t>/</w:t>
      </w:r>
      <w:r w:rsidRPr="00AE5650">
        <w:t>0272</w:t>
      </w:r>
      <w:r w:rsidRPr="00607BF9">
        <w:t>(COD))</w:t>
      </w:r>
      <w:bookmarkEnd w:id="6"/>
    </w:p>
    <w:p w:rsidR="0027084C" w:rsidRPr="00607BF9" w:rsidRDefault="0027084C" w:rsidP="0027084C"/>
    <w:p w:rsidR="007459E2" w:rsidRPr="00607BF9" w:rsidRDefault="007459E2" w:rsidP="007459E2">
      <w:pPr>
        <w:pStyle w:val="NormalBold"/>
      </w:pPr>
      <w:bookmarkStart w:id="7" w:name="TextBodyBegin"/>
      <w:bookmarkEnd w:id="7"/>
      <w:r w:rsidRPr="00607BF9">
        <w:t>(Řádný legislativní postup: první čtení)</w:t>
      </w:r>
    </w:p>
    <w:p w:rsidR="007459E2" w:rsidRPr="00607BF9" w:rsidRDefault="007459E2" w:rsidP="007459E2">
      <w:pPr>
        <w:pStyle w:val="EPComma"/>
      </w:pPr>
      <w:r w:rsidRPr="00607BF9">
        <w:rPr>
          <w:i/>
        </w:rPr>
        <w:t>Evropský parlament</w:t>
      </w:r>
      <w:r w:rsidRPr="00607BF9">
        <w:t>,</w:t>
      </w:r>
    </w:p>
    <w:p w:rsidR="007459E2" w:rsidRPr="00607BF9" w:rsidRDefault="007459E2" w:rsidP="007459E2">
      <w:pPr>
        <w:pStyle w:val="NormalHanging12a"/>
      </w:pPr>
      <w:r w:rsidRPr="00607BF9">
        <w:t>–</w:t>
      </w:r>
      <w:r w:rsidRPr="00607BF9">
        <w:tab/>
        <w:t>s ohledem na návrh Komise předložený Evropskému parlamentu a Radě (</w:t>
      </w:r>
      <w:proofErr w:type="gramStart"/>
      <w:r w:rsidRPr="00607BF9">
        <w:t>COM(</w:t>
      </w:r>
      <w:r w:rsidRPr="00AE5650">
        <w:t>2023</w:t>
      </w:r>
      <w:proofErr w:type="gramEnd"/>
      <w:r w:rsidRPr="00607BF9">
        <w:t>)</w:t>
      </w:r>
      <w:r w:rsidRPr="00AE5650">
        <w:t>0395</w:t>
      </w:r>
      <w:r w:rsidRPr="00607BF9">
        <w:t>),</w:t>
      </w:r>
    </w:p>
    <w:p w:rsidR="007459E2" w:rsidRPr="00607BF9" w:rsidRDefault="007459E2" w:rsidP="007459E2">
      <w:pPr>
        <w:pStyle w:val="NormalHanging12a"/>
      </w:pPr>
      <w:r w:rsidRPr="00607BF9">
        <w:t>–</w:t>
      </w:r>
      <w:r w:rsidRPr="00607BF9">
        <w:tab/>
        <w:t xml:space="preserve">s ohledem na čl. </w:t>
      </w:r>
      <w:r w:rsidRPr="00AE5650">
        <w:t>294</w:t>
      </w:r>
      <w:r w:rsidRPr="00607BF9">
        <w:t xml:space="preserve"> odst. </w:t>
      </w:r>
      <w:r w:rsidRPr="00AE5650">
        <w:t>2</w:t>
      </w:r>
      <w:r w:rsidRPr="00607BF9">
        <w:t xml:space="preserve"> a čl. </w:t>
      </w:r>
      <w:r w:rsidRPr="00AE5650">
        <w:t>192</w:t>
      </w:r>
      <w:r w:rsidRPr="00607BF9">
        <w:t xml:space="preserve"> odst. </w:t>
      </w:r>
      <w:r w:rsidRPr="00AE5650">
        <w:t>1</w:t>
      </w:r>
      <w:r w:rsidRPr="00607BF9">
        <w:t xml:space="preserve"> Smlouvy o fungování Evropské unie, v souladu </w:t>
      </w:r>
      <w:r w:rsidR="008D1507">
        <w:t> se kterými</w:t>
      </w:r>
      <w:r w:rsidRPr="00607BF9">
        <w:t xml:space="preserve"> Komise předložila svůj návrh Parlamentu (C</w:t>
      </w:r>
      <w:r w:rsidRPr="00AE5650">
        <w:t>9</w:t>
      </w:r>
      <w:r w:rsidRPr="00607BF9">
        <w:noBreakHyphen/>
      </w:r>
      <w:r w:rsidRPr="00AE5650">
        <w:t>0309</w:t>
      </w:r>
      <w:r w:rsidRPr="00607BF9">
        <w:t>/</w:t>
      </w:r>
      <w:r w:rsidRPr="00AE5650">
        <w:t>2023</w:t>
      </w:r>
      <w:r w:rsidRPr="00607BF9">
        <w:t>),</w:t>
      </w:r>
    </w:p>
    <w:p w:rsidR="007459E2" w:rsidRPr="00607BF9" w:rsidRDefault="007459E2" w:rsidP="007459E2">
      <w:pPr>
        <w:pStyle w:val="NormalHanging12a"/>
      </w:pPr>
      <w:r w:rsidRPr="00607BF9">
        <w:t>–</w:t>
      </w:r>
      <w:r w:rsidRPr="00607BF9">
        <w:tab/>
        <w:t xml:space="preserve">s ohledem na čl. </w:t>
      </w:r>
      <w:r w:rsidRPr="00AE5650">
        <w:t>294</w:t>
      </w:r>
      <w:r w:rsidRPr="00607BF9">
        <w:t xml:space="preserve"> odst. </w:t>
      </w:r>
      <w:r w:rsidRPr="00AE5650">
        <w:t>3</w:t>
      </w:r>
      <w:r w:rsidRPr="00607BF9">
        <w:t xml:space="preserve"> Smlouvy o fungování Evropské unie,</w:t>
      </w:r>
    </w:p>
    <w:p w:rsidR="007459E2" w:rsidRPr="00607BF9" w:rsidRDefault="007459E2" w:rsidP="007459E2">
      <w:pPr>
        <w:pStyle w:val="NormalHanging12a"/>
      </w:pPr>
      <w:r w:rsidRPr="00607BF9">
        <w:t>–</w:t>
      </w:r>
      <w:r w:rsidRPr="00607BF9">
        <w:tab/>
        <w:t xml:space="preserve">s ohledem na stanovisko Evropského hospodářského a sociálního výboru ze dne </w:t>
      </w:r>
      <w:r w:rsidRPr="00AE5650">
        <w:t>26</w:t>
      </w:r>
      <w:r w:rsidRPr="00607BF9">
        <w:t xml:space="preserve">. října </w:t>
      </w:r>
      <w:r w:rsidRPr="00AE5650">
        <w:t>2023</w:t>
      </w:r>
      <w:r w:rsidRPr="00607BF9">
        <w:rPr>
          <w:rStyle w:val="FootnoteReference"/>
        </w:rPr>
        <w:footnoteReference w:id="1"/>
      </w:r>
      <w:r w:rsidRPr="00607BF9">
        <w:t>,</w:t>
      </w:r>
    </w:p>
    <w:p w:rsidR="007459E2" w:rsidRDefault="007459E2" w:rsidP="007459E2">
      <w:pPr>
        <w:pStyle w:val="NormalHanging12a"/>
      </w:pPr>
      <w:r w:rsidRPr="00607BF9">
        <w:t>–</w:t>
      </w:r>
      <w:r w:rsidRPr="00607BF9">
        <w:tab/>
        <w:t>po konzultaci Výboru regionů,</w:t>
      </w:r>
    </w:p>
    <w:p w:rsidR="00406FD4" w:rsidRPr="00607BF9" w:rsidRDefault="00406FD4" w:rsidP="007459E2">
      <w:pPr>
        <w:pStyle w:val="NormalHanging12a"/>
      </w:pPr>
      <w:r>
        <w:t>–</w:t>
      </w:r>
      <w:r>
        <w:tab/>
      </w:r>
      <w:r w:rsidRPr="00DA1A6C">
        <w:t xml:space="preserve">s ohledem na předběžnou dohodu přijatou příslušným výborem podle čl. </w:t>
      </w:r>
      <w:r w:rsidRPr="00AE5650">
        <w:t>74</w:t>
      </w:r>
      <w:r w:rsidRPr="00DA1A6C">
        <w:t xml:space="preserve"> odst. </w:t>
      </w:r>
      <w:r w:rsidRPr="00AE5650">
        <w:t>4</w:t>
      </w:r>
      <w:r w:rsidRPr="00DA1A6C">
        <w:t xml:space="preserve"> jednacího řádu a s ohledem na to, že se zástupce Rady dopisem ze dne </w:t>
      </w:r>
      <w:r w:rsidR="00861D72" w:rsidRPr="00AE5650">
        <w:t>21</w:t>
      </w:r>
      <w:r w:rsidRPr="00DA1A6C">
        <w:t xml:space="preserve">. </w:t>
      </w:r>
      <w:r>
        <w:t>února</w:t>
      </w:r>
      <w:r w:rsidRPr="00DA1A6C">
        <w:t xml:space="preserve"> </w:t>
      </w:r>
      <w:r w:rsidRPr="00AE5650">
        <w:t>2024</w:t>
      </w:r>
      <w:r w:rsidRPr="00DA1A6C">
        <w:t xml:space="preserve"> zavázal schválit postoj Parlamentu v souladu s čl. </w:t>
      </w:r>
      <w:r w:rsidRPr="00AE5650">
        <w:t>294</w:t>
      </w:r>
      <w:r w:rsidRPr="00DA1A6C">
        <w:t xml:space="preserve"> odst. </w:t>
      </w:r>
      <w:r w:rsidRPr="00AE5650">
        <w:t>4</w:t>
      </w:r>
      <w:r w:rsidRPr="00DA1A6C">
        <w:t xml:space="preserve"> Smlouvy o fungování Evropské unie,</w:t>
      </w:r>
    </w:p>
    <w:p w:rsidR="007459E2" w:rsidRPr="00607BF9" w:rsidRDefault="007459E2" w:rsidP="007459E2">
      <w:pPr>
        <w:pStyle w:val="NormalHanging12a"/>
      </w:pPr>
      <w:r w:rsidRPr="00607BF9">
        <w:t>–</w:t>
      </w:r>
      <w:r w:rsidRPr="00607BF9">
        <w:tab/>
        <w:t xml:space="preserve">s ohledem na článek </w:t>
      </w:r>
      <w:r w:rsidRPr="00AE5650">
        <w:t>59</w:t>
      </w:r>
      <w:r w:rsidRPr="00607BF9">
        <w:t xml:space="preserve"> jednacího řádu,</w:t>
      </w:r>
    </w:p>
    <w:p w:rsidR="007459E2" w:rsidRPr="00607BF9" w:rsidRDefault="007459E2" w:rsidP="007459E2">
      <w:pPr>
        <w:pStyle w:val="NormalHanging12a"/>
      </w:pPr>
      <w:r w:rsidRPr="00607BF9">
        <w:t>–</w:t>
      </w:r>
      <w:r w:rsidRPr="00607BF9">
        <w:tab/>
        <w:t>s ohledem na zprávu Výboru pro životní prostředí, veřejné zdraví a bezpečnost potravin (A</w:t>
      </w:r>
      <w:r w:rsidRPr="00AE5650">
        <w:t>9</w:t>
      </w:r>
      <w:r w:rsidRPr="00607BF9">
        <w:noBreakHyphen/>
      </w:r>
      <w:r w:rsidRPr="00AE5650">
        <w:t>0002</w:t>
      </w:r>
      <w:r w:rsidRPr="00607BF9">
        <w:t>/</w:t>
      </w:r>
      <w:r w:rsidRPr="00AE5650">
        <w:t>2024</w:t>
      </w:r>
      <w:r w:rsidRPr="00607BF9">
        <w:t>),</w:t>
      </w:r>
    </w:p>
    <w:p w:rsidR="007459E2" w:rsidRPr="00607BF9" w:rsidRDefault="007459E2" w:rsidP="007459E2">
      <w:pPr>
        <w:pStyle w:val="NormalHanging12a"/>
      </w:pPr>
      <w:r w:rsidRPr="00AE5650">
        <w:lastRenderedPageBreak/>
        <w:t>1</w:t>
      </w:r>
      <w:r w:rsidRPr="00607BF9">
        <w:t>.</w:t>
      </w:r>
      <w:r w:rsidRPr="00607BF9">
        <w:tab/>
        <w:t>přijímá níže uvedený postoj v prvním čtení</w:t>
      </w:r>
      <w:r w:rsidR="00100971" w:rsidRPr="00377FDE">
        <w:rPr>
          <w:rStyle w:val="FootnoteReference"/>
        </w:rPr>
        <w:footnoteReference w:id="2"/>
      </w:r>
      <w:r w:rsidRPr="00100971">
        <w:t>;</w:t>
      </w:r>
    </w:p>
    <w:p w:rsidR="007459E2" w:rsidRPr="00607BF9" w:rsidRDefault="007459E2" w:rsidP="007459E2">
      <w:pPr>
        <w:pStyle w:val="NormalHanging12a"/>
      </w:pPr>
      <w:r w:rsidRPr="00AE5650">
        <w:t>2</w:t>
      </w:r>
      <w:r w:rsidRPr="00607BF9">
        <w:t>.</w:t>
      </w:r>
      <w:r w:rsidRPr="00607BF9">
        <w:tab/>
        <w:t>vyzývá Komisi, aby věc znovu postoupila Parlamentu, jestliže svůj návrh nahradí jiným textem, podstatně jej změní nebo má v úmyslu jej podstatně změnit;</w:t>
      </w:r>
    </w:p>
    <w:p w:rsidR="00AE5650" w:rsidRDefault="007459E2" w:rsidP="00AE5650">
      <w:pPr>
        <w:pStyle w:val="NormalHanging12a"/>
        <w:sectPr w:rsidR="00AE5650" w:rsidSect="00607BF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AE5650">
        <w:t>3</w:t>
      </w:r>
      <w:r w:rsidRPr="00607BF9">
        <w:t>.</w:t>
      </w:r>
      <w:r w:rsidRPr="00607BF9">
        <w:tab/>
        <w:t>pověřuje svou předsedkyni, aby předala postoj Parlamentu Radě a Komisi, jakož i vnitrostátním parlamentům.</w:t>
      </w:r>
    </w:p>
    <w:p w:rsidR="00F63EFE" w:rsidRPr="00AE5650" w:rsidRDefault="00F63EFE" w:rsidP="00AE5650">
      <w:pPr>
        <w:pStyle w:val="NormalHanging12a"/>
      </w:pPr>
      <w:r w:rsidRPr="00443C94">
        <w:rPr>
          <w:rFonts w:eastAsia="Calibri"/>
          <w:b/>
          <w:bCs/>
          <w:color w:val="000000"/>
          <w:szCs w:val="24"/>
        </w:rPr>
        <w:lastRenderedPageBreak/>
        <w:t>P</w:t>
      </w:r>
      <w:r w:rsidRPr="00AE5650">
        <w:rPr>
          <w:rFonts w:eastAsia="Calibri"/>
          <w:b/>
          <w:bCs/>
          <w:color w:val="000000"/>
          <w:szCs w:val="24"/>
        </w:rPr>
        <w:t>9</w:t>
      </w:r>
      <w:r w:rsidRPr="00443C94">
        <w:rPr>
          <w:rFonts w:eastAsia="Calibri"/>
          <w:b/>
          <w:bCs/>
          <w:color w:val="000000"/>
          <w:szCs w:val="24"/>
        </w:rPr>
        <w:t>_TC</w:t>
      </w:r>
      <w:r w:rsidRPr="00AE5650">
        <w:rPr>
          <w:rFonts w:eastAsia="Calibri"/>
          <w:b/>
          <w:bCs/>
          <w:color w:val="000000"/>
          <w:szCs w:val="24"/>
        </w:rPr>
        <w:t>1</w:t>
      </w:r>
      <w:r w:rsidRPr="00443C94">
        <w:rPr>
          <w:rFonts w:eastAsia="Calibri"/>
          <w:b/>
          <w:bCs/>
          <w:color w:val="000000"/>
          <w:szCs w:val="24"/>
        </w:rPr>
        <w:t>-COD(</w:t>
      </w:r>
      <w:r w:rsidRPr="00AE5650">
        <w:rPr>
          <w:rFonts w:eastAsia="Calibri"/>
          <w:b/>
          <w:bCs/>
          <w:color w:val="000000"/>
          <w:szCs w:val="24"/>
        </w:rPr>
        <w:t>2023</w:t>
      </w:r>
      <w:r w:rsidRPr="00443C94">
        <w:rPr>
          <w:rFonts w:eastAsia="Calibri"/>
          <w:b/>
          <w:bCs/>
          <w:color w:val="000000"/>
          <w:szCs w:val="24"/>
        </w:rPr>
        <w:t>)</w:t>
      </w:r>
      <w:r w:rsidRPr="00AE5650">
        <w:rPr>
          <w:rFonts w:eastAsia="Calibri"/>
          <w:b/>
          <w:bCs/>
          <w:color w:val="000000"/>
          <w:szCs w:val="24"/>
        </w:rPr>
        <w:t>0272</w:t>
      </w:r>
    </w:p>
    <w:p w:rsidR="00F63EFE" w:rsidRDefault="00F63EFE" w:rsidP="00F63EFE">
      <w:pPr>
        <w:rPr>
          <w:rFonts w:eastAsia="Calibri"/>
          <w:b/>
          <w:szCs w:val="22"/>
          <w:lang w:eastAsia="en-US"/>
        </w:rPr>
      </w:pPr>
      <w:r w:rsidRPr="00F63EFE">
        <w:rPr>
          <w:rFonts w:eastAsia="Calibri"/>
          <w:b/>
          <w:bCs/>
          <w:szCs w:val="24"/>
        </w:rPr>
        <w:t xml:space="preserve">Postoj Evropského parlamentu přijatý v prvním čtení dne </w:t>
      </w:r>
      <w:r w:rsidRPr="00AE5650">
        <w:rPr>
          <w:rFonts w:eastAsia="Calibri"/>
          <w:b/>
          <w:bCs/>
          <w:szCs w:val="24"/>
        </w:rPr>
        <w:t>10</w:t>
      </w:r>
      <w:r>
        <w:rPr>
          <w:rFonts w:eastAsia="Calibri"/>
          <w:b/>
          <w:bCs/>
          <w:szCs w:val="24"/>
        </w:rPr>
        <w:t xml:space="preserve">. dubna </w:t>
      </w:r>
      <w:r w:rsidRPr="00AE5650">
        <w:rPr>
          <w:rFonts w:eastAsia="Calibri"/>
          <w:b/>
          <w:bCs/>
          <w:szCs w:val="24"/>
        </w:rPr>
        <w:t>2024</w:t>
      </w:r>
      <w:r>
        <w:rPr>
          <w:rFonts w:eastAsia="Calibri"/>
          <w:b/>
          <w:bCs/>
          <w:szCs w:val="24"/>
        </w:rPr>
        <w:t xml:space="preserve"> k přijetí </w:t>
      </w:r>
      <w:r w:rsidRPr="00F63EFE">
        <w:rPr>
          <w:rFonts w:eastAsia="Calibri"/>
          <w:b/>
          <w:szCs w:val="22"/>
          <w:lang w:eastAsia="en-US"/>
        </w:rPr>
        <w:t xml:space="preserve">nařízení Evropského parlamentu a Rady (EU) </w:t>
      </w:r>
      <w:r w:rsidRPr="00AE5650">
        <w:rPr>
          <w:rFonts w:eastAsia="Calibri"/>
          <w:b/>
          <w:szCs w:val="22"/>
          <w:lang w:eastAsia="en-US"/>
        </w:rPr>
        <w:t>2024</w:t>
      </w:r>
      <w:r w:rsidRPr="00F63EFE">
        <w:rPr>
          <w:rFonts w:eastAsia="Calibri"/>
          <w:b/>
          <w:szCs w:val="22"/>
          <w:lang w:eastAsia="en-US"/>
        </w:rPr>
        <w:t>/...</w:t>
      </w:r>
      <w:r>
        <w:rPr>
          <w:rFonts w:eastAsia="Calibri"/>
          <w:b/>
          <w:szCs w:val="22"/>
          <w:lang w:eastAsia="en-US"/>
        </w:rPr>
        <w:t xml:space="preserve">, </w:t>
      </w:r>
      <w:r w:rsidRPr="00F63EFE">
        <w:rPr>
          <w:rFonts w:eastAsia="Calibri"/>
          <w:b/>
          <w:szCs w:val="22"/>
          <w:lang w:eastAsia="en-US"/>
        </w:rPr>
        <w:t xml:space="preserve">kterým se mění nařízení (EU) </w:t>
      </w:r>
      <w:r w:rsidRPr="00AE5650">
        <w:rPr>
          <w:rFonts w:eastAsia="Calibri"/>
          <w:b/>
          <w:szCs w:val="22"/>
          <w:lang w:eastAsia="en-US"/>
        </w:rPr>
        <w:t>2017</w:t>
      </w:r>
      <w:r w:rsidRPr="00F63EFE">
        <w:rPr>
          <w:rFonts w:eastAsia="Calibri"/>
          <w:b/>
          <w:szCs w:val="22"/>
          <w:lang w:eastAsia="en-US"/>
        </w:rPr>
        <w:t>/</w:t>
      </w:r>
      <w:r w:rsidRPr="00AE5650">
        <w:rPr>
          <w:rFonts w:eastAsia="Calibri"/>
          <w:b/>
          <w:szCs w:val="22"/>
          <w:lang w:eastAsia="en-US"/>
        </w:rPr>
        <w:t>852</w:t>
      </w:r>
      <w:r w:rsidRPr="00F63EFE">
        <w:rPr>
          <w:rFonts w:eastAsia="Calibri"/>
          <w:b/>
          <w:szCs w:val="22"/>
          <w:lang w:eastAsia="en-US"/>
        </w:rPr>
        <w:t xml:space="preserve"> o rtuti, pokud jde o zubní amalgám a další výrobky s přidanou rtutí, na které se vztahují omezení vývozu, dovozu a výroby</w:t>
      </w:r>
    </w:p>
    <w:p w:rsidR="000E6369" w:rsidRPr="008A4FC5" w:rsidRDefault="000E6369" w:rsidP="000E6369">
      <w:pPr>
        <w:spacing w:before="360"/>
        <w:rPr>
          <w:b/>
          <w:bCs/>
        </w:rPr>
      </w:pPr>
      <w:r w:rsidRPr="00DA380D">
        <w:rPr>
          <w:rFonts w:eastAsia="Calibri"/>
          <w:i/>
        </w:rPr>
        <w:t>(Vzhledem k tomu, že bylo dosaženo dohody mezi Parlamentem a Radou, postoj Parlamentu odpovídá konečnému znění legislati</w:t>
      </w:r>
      <w:r>
        <w:rPr>
          <w:rFonts w:eastAsia="Calibri"/>
          <w:i/>
        </w:rPr>
        <w:t>vní</w:t>
      </w:r>
      <w:r>
        <w:rPr>
          <w:rFonts w:eastAsia="Calibri"/>
          <w:i/>
        </w:rPr>
        <w:t>ho aktu, nařízení (EU) 2024/1849</w:t>
      </w:r>
      <w:bookmarkStart w:id="8" w:name="_GoBack"/>
      <w:bookmarkEnd w:id="8"/>
      <w:r w:rsidRPr="00DA380D">
        <w:rPr>
          <w:rFonts w:eastAsia="Calibri"/>
          <w:i/>
        </w:rPr>
        <w:t>.)</w:t>
      </w:r>
    </w:p>
    <w:p w:rsidR="000E6369" w:rsidRPr="00F63EFE" w:rsidRDefault="000E6369" w:rsidP="00F63EFE">
      <w:pPr>
        <w:rPr>
          <w:rFonts w:eastAsia="Calibri"/>
          <w:b/>
          <w:szCs w:val="22"/>
          <w:lang w:eastAsia="en-US"/>
        </w:rPr>
      </w:pPr>
    </w:p>
    <w:sectPr w:rsidR="000E6369" w:rsidRPr="00F63EFE" w:rsidSect="00607BF9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084C" w:rsidRPr="00607BF9" w:rsidRDefault="0027084C">
      <w:r w:rsidRPr="00607BF9">
        <w:separator/>
      </w:r>
    </w:p>
  </w:endnote>
  <w:endnote w:type="continuationSeparator" w:id="0">
    <w:p w:rsidR="0027084C" w:rsidRPr="00607BF9" w:rsidRDefault="0027084C">
      <w:r w:rsidRPr="00607BF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07BF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07BF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07BF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084C" w:rsidRPr="00607BF9" w:rsidRDefault="0027084C">
      <w:r w:rsidRPr="00607BF9">
        <w:separator/>
      </w:r>
    </w:p>
  </w:footnote>
  <w:footnote w:type="continuationSeparator" w:id="0">
    <w:p w:rsidR="0027084C" w:rsidRPr="00607BF9" w:rsidRDefault="0027084C">
      <w:r w:rsidRPr="00607BF9">
        <w:continuationSeparator/>
      </w:r>
    </w:p>
  </w:footnote>
  <w:footnote w:id="1">
    <w:p w:rsidR="007459E2" w:rsidRPr="00377FDE" w:rsidRDefault="007459E2" w:rsidP="00607BF9">
      <w:pPr>
        <w:pStyle w:val="FootnoteText"/>
        <w:ind w:left="567" w:hanging="567"/>
        <w:rPr>
          <w:sz w:val="24"/>
          <w:szCs w:val="24"/>
          <w:lang w:val="cs-CZ"/>
        </w:rPr>
      </w:pPr>
      <w:r w:rsidRPr="001D60FA">
        <w:rPr>
          <w:rStyle w:val="FootnoteReference"/>
          <w:sz w:val="24"/>
          <w:szCs w:val="24"/>
          <w:lang w:val="cs-CZ"/>
        </w:rPr>
        <w:footnoteRef/>
      </w:r>
      <w:r w:rsidR="00607BF9" w:rsidRPr="001D60FA">
        <w:rPr>
          <w:sz w:val="24"/>
          <w:szCs w:val="24"/>
          <w:lang w:val="cs-CZ"/>
        </w:rPr>
        <w:t xml:space="preserve"> </w:t>
      </w:r>
      <w:r w:rsidR="00607BF9" w:rsidRPr="001D60FA">
        <w:rPr>
          <w:sz w:val="24"/>
          <w:szCs w:val="24"/>
          <w:lang w:val="cs-CZ"/>
        </w:rPr>
        <w:tab/>
      </w:r>
      <w:proofErr w:type="spellStart"/>
      <w:r w:rsidR="00861D72" w:rsidRPr="001D60FA">
        <w:rPr>
          <w:sz w:val="24"/>
          <w:szCs w:val="24"/>
          <w:lang w:val="cs-CZ"/>
        </w:rPr>
        <w:t>Úř</w:t>
      </w:r>
      <w:proofErr w:type="spellEnd"/>
      <w:r w:rsidR="00861D72" w:rsidRPr="001D60FA">
        <w:rPr>
          <w:sz w:val="24"/>
          <w:szCs w:val="24"/>
          <w:lang w:val="cs-CZ"/>
        </w:rPr>
        <w:t xml:space="preserve">. </w:t>
      </w:r>
      <w:proofErr w:type="spellStart"/>
      <w:proofErr w:type="gramStart"/>
      <w:r w:rsidR="00861D72" w:rsidRPr="001D60FA">
        <w:rPr>
          <w:sz w:val="24"/>
          <w:szCs w:val="24"/>
          <w:lang w:val="cs-CZ"/>
        </w:rPr>
        <w:t>věst</w:t>
      </w:r>
      <w:proofErr w:type="spellEnd"/>
      <w:proofErr w:type="gramEnd"/>
      <w:r w:rsidR="00861D72" w:rsidRPr="001D60FA">
        <w:rPr>
          <w:sz w:val="24"/>
          <w:szCs w:val="24"/>
          <w:lang w:val="cs-CZ"/>
        </w:rPr>
        <w:t>.</w:t>
      </w:r>
      <w:r w:rsidR="00861D72" w:rsidRPr="00377FDE">
        <w:rPr>
          <w:sz w:val="24"/>
          <w:szCs w:val="24"/>
          <w:lang w:val="fi-FI"/>
        </w:rPr>
        <w:t xml:space="preserve"> C, C/</w:t>
      </w:r>
      <w:r w:rsidR="00861D72" w:rsidRPr="00AE5650">
        <w:rPr>
          <w:sz w:val="24"/>
          <w:szCs w:val="24"/>
          <w:lang w:val="fi-FI"/>
        </w:rPr>
        <w:t>2024</w:t>
      </w:r>
      <w:r w:rsidR="00861D72" w:rsidRPr="00377FDE">
        <w:rPr>
          <w:sz w:val="24"/>
          <w:szCs w:val="24"/>
          <w:lang w:val="fi-FI"/>
        </w:rPr>
        <w:t>/</w:t>
      </w:r>
      <w:r w:rsidR="00861D72" w:rsidRPr="00AE5650">
        <w:rPr>
          <w:sz w:val="24"/>
          <w:szCs w:val="24"/>
          <w:lang w:val="fi-FI"/>
        </w:rPr>
        <w:t>894</w:t>
      </w:r>
      <w:r w:rsidR="00861D72" w:rsidRPr="00377FDE">
        <w:rPr>
          <w:sz w:val="24"/>
          <w:szCs w:val="24"/>
          <w:lang w:val="fi-FI"/>
        </w:rPr>
        <w:t xml:space="preserve">, </w:t>
      </w:r>
      <w:r w:rsidR="00861D72" w:rsidRPr="00AE5650">
        <w:rPr>
          <w:sz w:val="24"/>
          <w:szCs w:val="24"/>
          <w:lang w:val="fi-FI"/>
        </w:rPr>
        <w:t>6</w:t>
      </w:r>
      <w:r w:rsidR="00861D72" w:rsidRPr="00377FDE">
        <w:rPr>
          <w:sz w:val="24"/>
          <w:szCs w:val="24"/>
          <w:lang w:val="fi-FI"/>
        </w:rPr>
        <w:t>.</w:t>
      </w:r>
      <w:r w:rsidR="00861D72" w:rsidRPr="00AE5650">
        <w:rPr>
          <w:sz w:val="24"/>
          <w:szCs w:val="24"/>
          <w:lang w:val="fi-FI"/>
        </w:rPr>
        <w:t>2</w:t>
      </w:r>
      <w:r w:rsidR="00861D72" w:rsidRPr="00377FDE">
        <w:rPr>
          <w:sz w:val="24"/>
          <w:szCs w:val="24"/>
          <w:lang w:val="fi-FI"/>
        </w:rPr>
        <w:t>.</w:t>
      </w:r>
      <w:r w:rsidR="00861D72" w:rsidRPr="00AE5650">
        <w:rPr>
          <w:sz w:val="24"/>
          <w:szCs w:val="24"/>
          <w:lang w:val="fi-FI"/>
        </w:rPr>
        <w:t>2024</w:t>
      </w:r>
      <w:r w:rsidR="00861D72" w:rsidRPr="00377FDE">
        <w:rPr>
          <w:sz w:val="24"/>
          <w:szCs w:val="24"/>
          <w:lang w:val="fi-FI"/>
        </w:rPr>
        <w:t xml:space="preserve">, </w:t>
      </w:r>
      <w:hyperlink r:id="rId1" w:history="1">
        <w:r w:rsidR="00861D72" w:rsidRPr="00377FDE">
          <w:rPr>
            <w:rStyle w:val="Hyperlink"/>
            <w:sz w:val="24"/>
            <w:szCs w:val="24"/>
            <w:lang w:val="fi-FI"/>
          </w:rPr>
          <w:t>ELI: http://data.europa.eu/eli/C/</w:t>
        </w:r>
        <w:r w:rsidR="00861D72" w:rsidRPr="00AE5650">
          <w:rPr>
            <w:rStyle w:val="Hyperlink"/>
            <w:sz w:val="24"/>
            <w:szCs w:val="24"/>
            <w:lang w:val="fi-FI"/>
          </w:rPr>
          <w:t>2024</w:t>
        </w:r>
        <w:r w:rsidR="00861D72" w:rsidRPr="00377FDE">
          <w:rPr>
            <w:rStyle w:val="Hyperlink"/>
            <w:sz w:val="24"/>
            <w:szCs w:val="24"/>
            <w:lang w:val="fi-FI"/>
          </w:rPr>
          <w:t>/</w:t>
        </w:r>
        <w:r w:rsidR="00861D72" w:rsidRPr="00AE5650">
          <w:rPr>
            <w:rStyle w:val="Hyperlink"/>
            <w:sz w:val="24"/>
            <w:szCs w:val="24"/>
            <w:lang w:val="fi-FI"/>
          </w:rPr>
          <w:t>894</w:t>
        </w:r>
        <w:r w:rsidR="00861D72" w:rsidRPr="00377FDE">
          <w:rPr>
            <w:rStyle w:val="Hyperlink"/>
            <w:sz w:val="24"/>
            <w:szCs w:val="24"/>
            <w:lang w:val="fi-FI"/>
          </w:rPr>
          <w:t>/oj</w:t>
        </w:r>
      </w:hyperlink>
      <w:r w:rsidR="00861D72" w:rsidRPr="00377FDE">
        <w:rPr>
          <w:sz w:val="24"/>
          <w:szCs w:val="24"/>
          <w:lang w:val="fi-FI"/>
        </w:rPr>
        <w:t>.</w:t>
      </w:r>
      <w:r w:rsidRPr="00377FDE">
        <w:rPr>
          <w:sz w:val="24"/>
          <w:szCs w:val="24"/>
          <w:lang w:val="cs-CZ"/>
        </w:rPr>
        <w:t>.</w:t>
      </w:r>
    </w:p>
  </w:footnote>
  <w:footnote w:id="2">
    <w:p w:rsidR="00100971" w:rsidRPr="00377FDE" w:rsidRDefault="00100971" w:rsidP="00100971">
      <w:pPr>
        <w:pStyle w:val="FootnoteText"/>
        <w:ind w:left="567" w:hanging="567"/>
        <w:rPr>
          <w:sz w:val="24"/>
          <w:szCs w:val="24"/>
          <w:lang w:val="cs-CZ"/>
        </w:rPr>
      </w:pPr>
      <w:r w:rsidRPr="00377FDE">
        <w:rPr>
          <w:rStyle w:val="FootnoteReference"/>
        </w:rPr>
        <w:footnoteRef/>
      </w:r>
      <w:r w:rsidRPr="00377FDE">
        <w:rPr>
          <w:sz w:val="24"/>
          <w:szCs w:val="24"/>
          <w:lang w:val="cs-CZ"/>
        </w:rPr>
        <w:t xml:space="preserve"> </w:t>
      </w:r>
      <w:r w:rsidRPr="00377FDE">
        <w:rPr>
          <w:sz w:val="24"/>
          <w:szCs w:val="24"/>
          <w:lang w:val="cs-CZ"/>
        </w:rPr>
        <w:tab/>
        <w:t xml:space="preserve">Tento postoj nahrazuje pozměňovací návrhy přijaté dne </w:t>
      </w:r>
      <w:r w:rsidRPr="00AE5650">
        <w:rPr>
          <w:sz w:val="24"/>
          <w:szCs w:val="24"/>
          <w:lang w:val="cs-CZ"/>
        </w:rPr>
        <w:t>17</w:t>
      </w:r>
      <w:r w:rsidRPr="00377FDE">
        <w:rPr>
          <w:sz w:val="24"/>
          <w:szCs w:val="24"/>
          <w:lang w:val="cs-CZ"/>
        </w:rPr>
        <w:t>. le</w:t>
      </w:r>
      <w:r>
        <w:rPr>
          <w:sz w:val="24"/>
          <w:szCs w:val="24"/>
          <w:lang w:val="cs-CZ"/>
        </w:rPr>
        <w:t>dna</w:t>
      </w:r>
      <w:r w:rsidRPr="00377FDE">
        <w:rPr>
          <w:sz w:val="24"/>
          <w:szCs w:val="24"/>
          <w:lang w:val="cs-CZ"/>
        </w:rPr>
        <w:t xml:space="preserve"> </w:t>
      </w:r>
      <w:r w:rsidRPr="00AE5650">
        <w:rPr>
          <w:sz w:val="24"/>
          <w:szCs w:val="24"/>
          <w:lang w:val="cs-CZ"/>
        </w:rPr>
        <w:t>2024</w:t>
      </w:r>
      <w:r w:rsidRPr="00377FDE">
        <w:rPr>
          <w:sz w:val="24"/>
          <w:szCs w:val="24"/>
          <w:lang w:val="cs-CZ"/>
        </w:rPr>
        <w:t xml:space="preserve"> (</w:t>
      </w:r>
      <w:r w:rsidRPr="00100971">
        <w:rPr>
          <w:sz w:val="24"/>
          <w:szCs w:val="24"/>
          <w:lang w:val="cs-CZ"/>
        </w:rPr>
        <w:t>Přijaté texty</w:t>
      </w:r>
      <w:r w:rsidRPr="00377FDE">
        <w:rPr>
          <w:sz w:val="24"/>
          <w:szCs w:val="24"/>
          <w:lang w:val="cs-CZ"/>
        </w:rPr>
        <w:t>, P</w:t>
      </w:r>
      <w:r w:rsidRPr="00AE5650">
        <w:rPr>
          <w:sz w:val="24"/>
          <w:szCs w:val="24"/>
          <w:lang w:val="cs-CZ"/>
        </w:rPr>
        <w:t>9</w:t>
      </w:r>
      <w:r w:rsidRPr="00377FDE">
        <w:rPr>
          <w:sz w:val="24"/>
          <w:szCs w:val="24"/>
          <w:lang w:val="cs-CZ"/>
        </w:rPr>
        <w:t>_TA(</w:t>
      </w:r>
      <w:r w:rsidRPr="00AE5650">
        <w:rPr>
          <w:sz w:val="24"/>
          <w:szCs w:val="24"/>
          <w:lang w:val="cs-CZ"/>
        </w:rPr>
        <w:t>2024</w:t>
      </w:r>
      <w:r w:rsidRPr="00377FDE">
        <w:rPr>
          <w:sz w:val="24"/>
          <w:szCs w:val="24"/>
          <w:lang w:val="cs-CZ"/>
        </w:rPr>
        <w:t>)</w:t>
      </w:r>
      <w:r w:rsidRPr="00AE5650">
        <w:rPr>
          <w:sz w:val="24"/>
          <w:szCs w:val="24"/>
          <w:lang w:val="cs-CZ"/>
        </w:rPr>
        <w:t>0019</w:t>
      </w:r>
      <w:r w:rsidRPr="00377FDE">
        <w:rPr>
          <w:sz w:val="24"/>
          <w:szCs w:val="24"/>
          <w:lang w:val="cs-CZ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07BF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07BF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07BF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2/2024"/>
    <w:docVar w:name="dvlangue" w:val="CS"/>
    <w:docVar w:name="dvnumam" w:val="15"/>
    <w:docVar w:name="dvpe" w:val="753.554"/>
    <w:docVar w:name="dvrapporteur" w:val="Zpravodajka: "/>
    <w:docVar w:name="dvstar" w:val="***I"/>
    <w:docVar w:name="dvtitre" w:val="Legislativní usnesení Evropského parlamentu ze dne.... 2024 k návrhu nařízení Evropského parlamentu a Rady, kterým se mění nařízení Evropského parlamentu a Rady (EU) 2017/852 ze dne 17. května 2017 o rtuti, pokud jde o zubní amalgám a další výrobky s přidanou rtutí, na které se vztahuje omezení výroby, dovozu a vývozu(COM(2023)0395 – C9-0309/2023 – 2023/0272(COD))"/>
  </w:docVars>
  <w:rsids>
    <w:rsidRoot w:val="0027084C"/>
    <w:rsid w:val="00002272"/>
    <w:rsid w:val="00064002"/>
    <w:rsid w:val="000677B9"/>
    <w:rsid w:val="000831BA"/>
    <w:rsid w:val="000A42CC"/>
    <w:rsid w:val="000E6369"/>
    <w:rsid w:val="000E7DD9"/>
    <w:rsid w:val="0010095E"/>
    <w:rsid w:val="00100971"/>
    <w:rsid w:val="00125B37"/>
    <w:rsid w:val="00187494"/>
    <w:rsid w:val="001D60FA"/>
    <w:rsid w:val="001F32AE"/>
    <w:rsid w:val="0027084C"/>
    <w:rsid w:val="002767FF"/>
    <w:rsid w:val="002B18FE"/>
    <w:rsid w:val="002B5493"/>
    <w:rsid w:val="00343214"/>
    <w:rsid w:val="00361C00"/>
    <w:rsid w:val="00377FDE"/>
    <w:rsid w:val="00395FA1"/>
    <w:rsid w:val="003E15D4"/>
    <w:rsid w:val="00406FD4"/>
    <w:rsid w:val="00411CCE"/>
    <w:rsid w:val="0041666E"/>
    <w:rsid w:val="00421060"/>
    <w:rsid w:val="0045217D"/>
    <w:rsid w:val="00471C19"/>
    <w:rsid w:val="004867E3"/>
    <w:rsid w:val="00494A28"/>
    <w:rsid w:val="004C0004"/>
    <w:rsid w:val="004C5D52"/>
    <w:rsid w:val="0050519A"/>
    <w:rsid w:val="005072A1"/>
    <w:rsid w:val="00514517"/>
    <w:rsid w:val="005261EB"/>
    <w:rsid w:val="00545827"/>
    <w:rsid w:val="00560270"/>
    <w:rsid w:val="005C2568"/>
    <w:rsid w:val="005D5C09"/>
    <w:rsid w:val="006037C0"/>
    <w:rsid w:val="00607BF9"/>
    <w:rsid w:val="006631B6"/>
    <w:rsid w:val="00680577"/>
    <w:rsid w:val="006A3EBE"/>
    <w:rsid w:val="006F74FA"/>
    <w:rsid w:val="00731ADD"/>
    <w:rsid w:val="00734777"/>
    <w:rsid w:val="007459E2"/>
    <w:rsid w:val="00747932"/>
    <w:rsid w:val="00751A4A"/>
    <w:rsid w:val="00756632"/>
    <w:rsid w:val="00762C74"/>
    <w:rsid w:val="00786EC0"/>
    <w:rsid w:val="007D1690"/>
    <w:rsid w:val="007E22AD"/>
    <w:rsid w:val="00817416"/>
    <w:rsid w:val="00822A4F"/>
    <w:rsid w:val="00842779"/>
    <w:rsid w:val="00861D72"/>
    <w:rsid w:val="00865F67"/>
    <w:rsid w:val="00881A7B"/>
    <w:rsid w:val="008840E5"/>
    <w:rsid w:val="00887B3E"/>
    <w:rsid w:val="008C2AC6"/>
    <w:rsid w:val="008D1507"/>
    <w:rsid w:val="00930C23"/>
    <w:rsid w:val="0093193B"/>
    <w:rsid w:val="009509D8"/>
    <w:rsid w:val="00950B64"/>
    <w:rsid w:val="00981893"/>
    <w:rsid w:val="00A1687D"/>
    <w:rsid w:val="00A43E52"/>
    <w:rsid w:val="00A4678D"/>
    <w:rsid w:val="00A57578"/>
    <w:rsid w:val="00A778C7"/>
    <w:rsid w:val="00AB441E"/>
    <w:rsid w:val="00AB6293"/>
    <w:rsid w:val="00AE0928"/>
    <w:rsid w:val="00AE5650"/>
    <w:rsid w:val="00AF3B82"/>
    <w:rsid w:val="00B12E95"/>
    <w:rsid w:val="00B22876"/>
    <w:rsid w:val="00B52CB6"/>
    <w:rsid w:val="00B558F0"/>
    <w:rsid w:val="00BD48FE"/>
    <w:rsid w:val="00BD7BD8"/>
    <w:rsid w:val="00BE6ADC"/>
    <w:rsid w:val="00C004C1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7735E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3EFE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C0FB73"/>
  <w15:chartTrackingRefBased/>
  <w15:docId w15:val="{4BB0CC2F-A392-4AB5-878B-4DC536D07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7459E2"/>
    <w:pPr>
      <w:spacing w:after="120"/>
    </w:pPr>
  </w:style>
  <w:style w:type="paragraph" w:customStyle="1" w:styleId="NormalBold">
    <w:name w:val="NormalBold"/>
    <w:basedOn w:val="Normal"/>
    <w:link w:val="NormalBoldChar"/>
    <w:rsid w:val="007459E2"/>
    <w:rPr>
      <w:b/>
    </w:rPr>
  </w:style>
  <w:style w:type="paragraph" w:customStyle="1" w:styleId="NormalHanging12a">
    <w:name w:val="NormalHanging12a"/>
    <w:basedOn w:val="Normal"/>
    <w:rsid w:val="007459E2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7459E2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7459E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7459E2"/>
    <w:pPr>
      <w:spacing w:before="240"/>
    </w:pPr>
    <w:rPr>
      <w:b/>
    </w:rPr>
  </w:style>
  <w:style w:type="paragraph" w:customStyle="1" w:styleId="EPComma">
    <w:name w:val="EPComma"/>
    <w:basedOn w:val="Normal"/>
    <w:rsid w:val="007459E2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7459E2"/>
    <w:rPr>
      <w:b/>
      <w:sz w:val="24"/>
      <w:lang w:val="cs-CZ"/>
    </w:rPr>
  </w:style>
  <w:style w:type="character" w:customStyle="1" w:styleId="Normal6Char">
    <w:name w:val="Normal6 Char"/>
    <w:basedOn w:val="DefaultParagraphFont"/>
    <w:link w:val="Normal6"/>
    <w:locked/>
    <w:rsid w:val="007459E2"/>
    <w:rPr>
      <w:sz w:val="24"/>
      <w:lang w:val="cs-CZ"/>
    </w:rPr>
  </w:style>
  <w:style w:type="paragraph" w:customStyle="1" w:styleId="Normal6">
    <w:name w:val="Normal6"/>
    <w:basedOn w:val="Normal"/>
    <w:link w:val="Normal6Char"/>
    <w:rsid w:val="007459E2"/>
    <w:pPr>
      <w:spacing w:after="120"/>
    </w:pPr>
  </w:style>
  <w:style w:type="paragraph" w:customStyle="1" w:styleId="ColumnHeading">
    <w:name w:val="ColumnHeading"/>
    <w:basedOn w:val="Normal"/>
    <w:rsid w:val="007459E2"/>
    <w:pPr>
      <w:spacing w:after="240"/>
      <w:jc w:val="center"/>
    </w:pPr>
    <w:rPr>
      <w:i/>
    </w:rPr>
  </w:style>
  <w:style w:type="character" w:customStyle="1" w:styleId="AmNumberTabsChar">
    <w:name w:val="AmNumberTabs Char"/>
    <w:basedOn w:val="DefaultParagraphFont"/>
    <w:link w:val="AmNumberTabs"/>
    <w:rsid w:val="007459E2"/>
    <w:rPr>
      <w:b/>
      <w:sz w:val="24"/>
      <w:lang w:val="cs-CZ"/>
    </w:rPr>
  </w:style>
  <w:style w:type="character" w:customStyle="1" w:styleId="NormalBold12bChar">
    <w:name w:val="NormalBold12b Char"/>
    <w:basedOn w:val="AmNumberTabsChar"/>
    <w:link w:val="NormalBold12b"/>
    <w:rsid w:val="007459E2"/>
    <w:rPr>
      <w:b/>
      <w:sz w:val="24"/>
      <w:lang w:val="cs-CZ"/>
    </w:rPr>
  </w:style>
  <w:style w:type="paragraph" w:customStyle="1" w:styleId="CrossRef">
    <w:name w:val="CrossRef"/>
    <w:basedOn w:val="Normal"/>
    <w:rsid w:val="007459E2"/>
    <w:pPr>
      <w:spacing w:before="240"/>
      <w:jc w:val="center"/>
    </w:pPr>
    <w:rPr>
      <w:i/>
    </w:rPr>
  </w:style>
  <w:style w:type="paragraph" w:styleId="BalloonText">
    <w:name w:val="Balloon Text"/>
    <w:basedOn w:val="Normal"/>
    <w:link w:val="BalloonTextChar"/>
    <w:rsid w:val="00C004C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004C1"/>
    <w:rPr>
      <w:rFonts w:ascii="Segoe UI" w:hAnsi="Segoe UI" w:cs="Segoe UI"/>
      <w:sz w:val="18"/>
      <w:szCs w:val="18"/>
      <w:lang w:val="cs-CZ"/>
    </w:rPr>
  </w:style>
  <w:style w:type="character" w:styleId="Hyperlink">
    <w:name w:val="Hyperlink"/>
    <w:basedOn w:val="DefaultParagraphFont"/>
    <w:rsid w:val="00861D72"/>
    <w:rPr>
      <w:color w:val="0563C1" w:themeColor="hyperlink"/>
      <w:u w:val="single"/>
    </w:rPr>
  </w:style>
  <w:style w:type="character" w:customStyle="1" w:styleId="Hyperlink1">
    <w:name w:val="Hyperlink1"/>
    <w:basedOn w:val="DefaultParagraphFont"/>
    <w:uiPriority w:val="99"/>
    <w:unhideWhenUsed/>
    <w:rsid w:val="00F63EF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89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AED071-403D-41A3-9635-23C167E044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361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2024-07-22T12:32:00Z</dcterms:created>
  <dcterms:modified xsi:type="dcterms:W3CDTF">2024-07-22T12:32:00Z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P9_TA(2024)0191_</vt:lpwstr>
  </property>
  <property fmtid="{D5CDD505-2E9C-101B-9397-08002B2CF9AE}" pid="4" name="&lt;Type&gt;">
    <vt:lpwstr>RR</vt:lpwstr>
  </property>
</Properties>
</file>