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3788" w:rsidTr="0010095E">
        <w:trPr>
          <w:trHeight w:hRule="exact" w:val="1418"/>
        </w:trPr>
        <w:tc>
          <w:tcPr>
            <w:tcW w:w="6804" w:type="dxa"/>
            <w:shd w:val="clear" w:color="auto" w:fill="auto"/>
            <w:vAlign w:val="center"/>
          </w:tcPr>
          <w:p w:rsidR="00751A4A" w:rsidRPr="00E53788" w:rsidRDefault="0045145A" w:rsidP="0010095E">
            <w:pPr>
              <w:pStyle w:val="EPName"/>
            </w:pPr>
            <w:r w:rsidRPr="00E53788">
              <w:t>Parlement européen</w:t>
            </w:r>
          </w:p>
          <w:p w:rsidR="00751A4A" w:rsidRPr="00E53788" w:rsidRDefault="00817416" w:rsidP="00756632">
            <w:pPr>
              <w:pStyle w:val="EPTerm"/>
              <w:rPr>
                <w:rStyle w:val="HideTWBExt"/>
                <w:noProof w:val="0"/>
                <w:vanish w:val="0"/>
                <w:color w:val="auto"/>
              </w:rPr>
            </w:pPr>
            <w:r w:rsidRPr="00355C10">
              <w:t>2019</w:t>
            </w:r>
            <w:r w:rsidRPr="00E53788">
              <w:t>-</w:t>
            </w:r>
            <w:r w:rsidRPr="00355C10">
              <w:t>2024</w:t>
            </w:r>
          </w:p>
        </w:tc>
        <w:tc>
          <w:tcPr>
            <w:tcW w:w="2268" w:type="dxa"/>
            <w:shd w:val="clear" w:color="auto" w:fill="auto"/>
          </w:tcPr>
          <w:p w:rsidR="00751A4A" w:rsidRPr="00E53788" w:rsidRDefault="00187494" w:rsidP="0010095E">
            <w:pPr>
              <w:pStyle w:val="EPLogo"/>
            </w:pPr>
            <w:r w:rsidRPr="00E537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3788" w:rsidRDefault="00D058B8" w:rsidP="004C5D52">
      <w:pPr>
        <w:pStyle w:val="LineTop"/>
      </w:pPr>
    </w:p>
    <w:p w:rsidR="00680577" w:rsidRPr="00E53788" w:rsidRDefault="0045145A" w:rsidP="00680577">
      <w:pPr>
        <w:pStyle w:val="EPBodyTA1"/>
      </w:pPr>
      <w:r w:rsidRPr="00E53788">
        <w:t>TEXTES ADOPTÉS</w:t>
      </w:r>
    </w:p>
    <w:p w:rsidR="00D058B8" w:rsidRPr="00E53788" w:rsidRDefault="00D058B8" w:rsidP="00D058B8">
      <w:pPr>
        <w:pStyle w:val="LineBottom"/>
      </w:pPr>
    </w:p>
    <w:p w:rsidR="0045145A" w:rsidRPr="00E53788" w:rsidRDefault="0045145A" w:rsidP="0045145A">
      <w:pPr>
        <w:pStyle w:val="ATHeading1"/>
      </w:pPr>
      <w:bookmarkStart w:id="0" w:name="TANumber"/>
      <w:r w:rsidRPr="00E53788">
        <w:t>P</w:t>
      </w:r>
      <w:r w:rsidRPr="00355C10">
        <w:t>9</w:t>
      </w:r>
      <w:r w:rsidRPr="00E53788">
        <w:t>_</w:t>
      </w:r>
      <w:proofErr w:type="gramStart"/>
      <w:r w:rsidRPr="00E53788">
        <w:t>TA(</w:t>
      </w:r>
      <w:proofErr w:type="gramEnd"/>
      <w:r w:rsidRPr="00355C10">
        <w:t>2024</w:t>
      </w:r>
      <w:r w:rsidRPr="00E53788">
        <w:t>)</w:t>
      </w:r>
      <w:r w:rsidRPr="00355C10">
        <w:t>0</w:t>
      </w:r>
      <w:r w:rsidR="00C94F30" w:rsidRPr="00355C10">
        <w:t>191</w:t>
      </w:r>
      <w:bookmarkEnd w:id="0"/>
    </w:p>
    <w:p w:rsidR="0045145A" w:rsidRPr="00E53788" w:rsidRDefault="004627BA" w:rsidP="0045145A">
      <w:pPr>
        <w:pStyle w:val="ATHeading2"/>
      </w:pPr>
      <w:r w:rsidRPr="004627BA">
        <w:rPr>
          <w:bCs/>
        </w:rPr>
        <w:t>Mercure: amalgames dentaires et autres produits contenant du mercure ajouté faisant l’objet de restrictions de fabrication, d’importation et d’exportation</w:t>
      </w:r>
    </w:p>
    <w:p w:rsidR="0045145A" w:rsidRPr="00E53788" w:rsidRDefault="0045145A" w:rsidP="0045145A">
      <w:pPr>
        <w:rPr>
          <w:i/>
          <w:vanish/>
        </w:rPr>
      </w:pPr>
      <w:r w:rsidRPr="00E53788">
        <w:rPr>
          <w:i/>
        </w:rPr>
        <w:fldChar w:fldCharType="begin"/>
      </w:r>
      <w:r w:rsidRPr="00E53788">
        <w:rPr>
          <w:i/>
        </w:rPr>
        <w:instrText xml:space="preserve"> TC"(</w:instrText>
      </w:r>
      <w:bookmarkStart w:id="1" w:name="DocNumber"/>
      <w:r w:rsidRPr="00E53788">
        <w:rPr>
          <w:i/>
        </w:rPr>
        <w:instrText>A</w:instrText>
      </w:r>
      <w:r w:rsidRPr="00355C10">
        <w:rPr>
          <w:i/>
        </w:rPr>
        <w:instrText>9</w:instrText>
      </w:r>
      <w:r w:rsidRPr="00E53788">
        <w:rPr>
          <w:i/>
        </w:rPr>
        <w:instrText>-</w:instrText>
      </w:r>
      <w:r w:rsidRPr="00355C10">
        <w:rPr>
          <w:i/>
        </w:rPr>
        <w:instrText>0002</w:instrText>
      </w:r>
      <w:r w:rsidRPr="00E53788">
        <w:rPr>
          <w:i/>
        </w:rPr>
        <w:instrText>/</w:instrText>
      </w:r>
      <w:r w:rsidRPr="00355C10">
        <w:rPr>
          <w:i/>
        </w:rPr>
        <w:instrText>2024</w:instrText>
      </w:r>
      <w:bookmarkEnd w:id="1"/>
      <w:r w:rsidRPr="00E53788">
        <w:rPr>
          <w:i/>
        </w:rPr>
        <w:instrText xml:space="preserve"> - Rapporteure: Marlene Mortler)"\l</w:instrText>
      </w:r>
      <w:r w:rsidRPr="00355C10">
        <w:rPr>
          <w:i/>
        </w:rPr>
        <w:instrText>3</w:instrText>
      </w:r>
      <w:r w:rsidRPr="00E53788">
        <w:rPr>
          <w:i/>
        </w:rPr>
        <w:instrText xml:space="preserve"> \n&gt; \* MERGEFORMAT </w:instrText>
      </w:r>
      <w:r w:rsidRPr="00E53788">
        <w:rPr>
          <w:i/>
        </w:rPr>
        <w:fldChar w:fldCharType="end"/>
      </w:r>
    </w:p>
    <w:p w:rsidR="0045145A" w:rsidRPr="00E53788" w:rsidRDefault="0045145A" w:rsidP="0045145A">
      <w:pPr>
        <w:rPr>
          <w:vanish/>
        </w:rPr>
      </w:pPr>
      <w:bookmarkStart w:id="2" w:name="Commission"/>
      <w:r w:rsidRPr="00E53788">
        <w:rPr>
          <w:vanish/>
        </w:rPr>
        <w:t>Commission de l’environnement, de la santé publique et de la sécurité alimentaire</w:t>
      </w:r>
      <w:bookmarkEnd w:id="2"/>
    </w:p>
    <w:p w:rsidR="0045145A" w:rsidRPr="00E53788" w:rsidRDefault="0045145A" w:rsidP="0045145A">
      <w:pPr>
        <w:rPr>
          <w:vanish/>
        </w:rPr>
      </w:pPr>
      <w:bookmarkStart w:id="3" w:name="PE"/>
      <w:r w:rsidRPr="00E53788">
        <w:rPr>
          <w:vanish/>
        </w:rPr>
        <w:t>PE</w:t>
      </w:r>
      <w:r w:rsidRPr="00355C10">
        <w:rPr>
          <w:vanish/>
        </w:rPr>
        <w:t>753</w:t>
      </w:r>
      <w:r w:rsidRPr="00E53788">
        <w:rPr>
          <w:vanish/>
        </w:rPr>
        <w:t>.</w:t>
      </w:r>
      <w:r w:rsidRPr="00355C10">
        <w:rPr>
          <w:vanish/>
        </w:rPr>
        <w:t>554</w:t>
      </w:r>
      <w:bookmarkEnd w:id="3"/>
    </w:p>
    <w:p w:rsidR="0045145A" w:rsidRPr="00E53788" w:rsidRDefault="0045145A" w:rsidP="0045145A">
      <w:pPr>
        <w:pStyle w:val="ATHeading3"/>
      </w:pPr>
      <w:bookmarkStart w:id="4" w:name="Sujet"/>
      <w:r w:rsidRPr="00E53788">
        <w:t xml:space="preserve">Résolution législative du Parlement européen du </w:t>
      </w:r>
      <w:r w:rsidR="000A1D18" w:rsidRPr="00355C10">
        <w:t>10</w:t>
      </w:r>
      <w:r w:rsidR="00572325">
        <w:t xml:space="preserve"> avril</w:t>
      </w:r>
      <w:r w:rsidRPr="00E53788">
        <w:t xml:space="preserve"> </w:t>
      </w:r>
      <w:r w:rsidRPr="00355C10">
        <w:t>2024</w:t>
      </w:r>
      <w:r w:rsidRPr="00E53788">
        <w:t xml:space="preserve"> sur la proposition de règlement du Parlement européen et du Conseil modifiant le règlement (UE) </w:t>
      </w:r>
      <w:r w:rsidRPr="00355C10">
        <w:t>2017</w:t>
      </w:r>
      <w:r w:rsidRPr="00E53788">
        <w:t>/</w:t>
      </w:r>
      <w:r w:rsidRPr="00355C10">
        <w:t>852</w:t>
      </w:r>
      <w:r w:rsidRPr="00E53788">
        <w:t xml:space="preserve"> du Parlement européen et du Conseil du </w:t>
      </w:r>
      <w:r w:rsidRPr="00355C10">
        <w:t>17</w:t>
      </w:r>
      <w:r w:rsidRPr="00E53788">
        <w:t> mai </w:t>
      </w:r>
      <w:r w:rsidRPr="00355C10">
        <w:t>2017</w:t>
      </w:r>
      <w:r w:rsidRPr="00E53788">
        <w:t xml:space="preserve"> relatif au mercure en ce qui concerne les amalgames dentaires et les autres produits contenant du mercure ajouté faisant l’objet de restrictions de fabrication, d’importation et d’exportation</w:t>
      </w:r>
      <w:bookmarkEnd w:id="4"/>
      <w:r w:rsidRPr="00E53788">
        <w:t xml:space="preserve"> </w:t>
      </w:r>
      <w:bookmarkStart w:id="5" w:name="References"/>
      <w:r w:rsidRPr="00E53788">
        <w:t>(</w:t>
      </w:r>
      <w:proofErr w:type="gramStart"/>
      <w:r w:rsidRPr="00E53788">
        <w:t>COM(</w:t>
      </w:r>
      <w:proofErr w:type="gramEnd"/>
      <w:r w:rsidRPr="00355C10">
        <w:t>2023</w:t>
      </w:r>
      <w:r w:rsidRPr="00E53788">
        <w:t>)</w:t>
      </w:r>
      <w:r w:rsidRPr="00355C10">
        <w:t>0395</w:t>
      </w:r>
      <w:r w:rsidRPr="00E53788">
        <w:t xml:space="preserve"> – C</w:t>
      </w:r>
      <w:r w:rsidRPr="00355C10">
        <w:t>9</w:t>
      </w:r>
      <w:r w:rsidRPr="00E53788">
        <w:t>-</w:t>
      </w:r>
      <w:r w:rsidRPr="00355C10">
        <w:t>0309</w:t>
      </w:r>
      <w:r w:rsidRPr="00E53788">
        <w:t>/</w:t>
      </w:r>
      <w:r w:rsidRPr="00355C10">
        <w:t>2023</w:t>
      </w:r>
      <w:r w:rsidRPr="00E53788">
        <w:t xml:space="preserve"> – </w:t>
      </w:r>
      <w:r w:rsidRPr="00355C10">
        <w:t>2023</w:t>
      </w:r>
      <w:r w:rsidRPr="00E53788">
        <w:t>/</w:t>
      </w:r>
      <w:r w:rsidRPr="00355C10">
        <w:t>0272</w:t>
      </w:r>
      <w:r w:rsidRPr="00E53788">
        <w:t>(COD))</w:t>
      </w:r>
      <w:bookmarkEnd w:id="5"/>
    </w:p>
    <w:p w:rsidR="008C7A99" w:rsidRPr="00E53788" w:rsidRDefault="008C7A99" w:rsidP="008C7A99">
      <w:pPr>
        <w:pStyle w:val="NormalBold"/>
        <w:widowControl/>
      </w:pPr>
      <w:bookmarkStart w:id="6" w:name="TextBodyBegin"/>
      <w:bookmarkEnd w:id="6"/>
      <w:r w:rsidRPr="00E53788">
        <w:t>(Procédure législative ordinaire: première lecture)</w:t>
      </w:r>
    </w:p>
    <w:p w:rsidR="008C7A99" w:rsidRPr="00E53788" w:rsidRDefault="008C7A99" w:rsidP="008C7A99">
      <w:pPr>
        <w:pStyle w:val="EPComma"/>
        <w:widowControl/>
      </w:pPr>
      <w:r w:rsidRPr="00E53788">
        <w:rPr>
          <w:i/>
        </w:rPr>
        <w:t>Le Parlement européen</w:t>
      </w:r>
      <w:r w:rsidRPr="00E53788">
        <w:t>,</w:t>
      </w:r>
    </w:p>
    <w:p w:rsidR="008C7A99" w:rsidRPr="00E53788" w:rsidRDefault="008C7A99" w:rsidP="008C7A99">
      <w:pPr>
        <w:pStyle w:val="NormalHanging12a"/>
        <w:widowControl/>
        <w:jc w:val="both"/>
      </w:pPr>
      <w:r w:rsidRPr="00E53788">
        <w:t>–</w:t>
      </w:r>
      <w:r w:rsidRPr="00E53788">
        <w:tab/>
        <w:t>vu la proposition de la Commission au Parlement européen et au Conseil (</w:t>
      </w:r>
      <w:proofErr w:type="gramStart"/>
      <w:r w:rsidRPr="00E53788">
        <w:t>COM(</w:t>
      </w:r>
      <w:proofErr w:type="gramEnd"/>
      <w:r w:rsidRPr="00355C10">
        <w:t>2023</w:t>
      </w:r>
      <w:r w:rsidRPr="00E53788">
        <w:t>)</w:t>
      </w:r>
      <w:r w:rsidRPr="00355C10">
        <w:t>0395</w:t>
      </w:r>
      <w:r w:rsidRPr="00E53788">
        <w:t>),</w:t>
      </w:r>
    </w:p>
    <w:p w:rsidR="008C7A99" w:rsidRPr="00E53788" w:rsidRDefault="008C7A99" w:rsidP="008C7A99">
      <w:pPr>
        <w:pStyle w:val="NormalHanging12a"/>
        <w:widowControl/>
        <w:jc w:val="both"/>
      </w:pPr>
      <w:r w:rsidRPr="00E53788">
        <w:t>–</w:t>
      </w:r>
      <w:r w:rsidRPr="00E53788">
        <w:tab/>
        <w:t>vu l’article </w:t>
      </w:r>
      <w:r w:rsidRPr="00355C10">
        <w:t>294</w:t>
      </w:r>
      <w:r w:rsidRPr="00E53788">
        <w:t>, paragraphe </w:t>
      </w:r>
      <w:r w:rsidRPr="00355C10">
        <w:t>2</w:t>
      </w:r>
      <w:r w:rsidRPr="00E53788">
        <w:t>, et l’article </w:t>
      </w:r>
      <w:r w:rsidRPr="00355C10">
        <w:t>192</w:t>
      </w:r>
      <w:r w:rsidRPr="00E53788">
        <w:t>, paragraphe </w:t>
      </w:r>
      <w:r w:rsidRPr="00355C10">
        <w:t>1</w:t>
      </w:r>
      <w:r w:rsidRPr="00E53788">
        <w:t>, du traité sur le fonctionnement de l’Union européenne, conformément auxquels la proposition lui a été présentée par la Commission (C</w:t>
      </w:r>
      <w:r w:rsidRPr="00355C10">
        <w:t>9</w:t>
      </w:r>
      <w:r w:rsidRPr="00E53788">
        <w:noBreakHyphen/>
      </w:r>
      <w:r w:rsidRPr="00355C10">
        <w:t>0309</w:t>
      </w:r>
      <w:r w:rsidRPr="00E53788">
        <w:t>/</w:t>
      </w:r>
      <w:r w:rsidRPr="00355C10">
        <w:t>2023</w:t>
      </w:r>
      <w:r w:rsidRPr="00E53788">
        <w:t>),</w:t>
      </w:r>
    </w:p>
    <w:p w:rsidR="008C7A99" w:rsidRPr="00E53788" w:rsidRDefault="008C7A99" w:rsidP="008C7A99">
      <w:pPr>
        <w:pStyle w:val="NormalHanging12a"/>
        <w:widowControl/>
        <w:jc w:val="both"/>
      </w:pPr>
      <w:r w:rsidRPr="00E53788">
        <w:t>–</w:t>
      </w:r>
      <w:r w:rsidRPr="00E53788">
        <w:tab/>
        <w:t>vu l’article </w:t>
      </w:r>
      <w:r w:rsidRPr="00355C10">
        <w:t>294</w:t>
      </w:r>
      <w:r w:rsidRPr="00E53788">
        <w:t>, paragraphe </w:t>
      </w:r>
      <w:r w:rsidRPr="00355C10">
        <w:t>3</w:t>
      </w:r>
      <w:r w:rsidRPr="00E53788">
        <w:t>, du traité sur le fonctionnement de l’Union européenne,</w:t>
      </w:r>
    </w:p>
    <w:p w:rsidR="008C7A99" w:rsidRPr="00E53788" w:rsidRDefault="008C7A99" w:rsidP="0072067B">
      <w:pPr>
        <w:pStyle w:val="NormalHanging12a"/>
        <w:widowControl/>
        <w:jc w:val="both"/>
        <w:rPr>
          <w:szCs w:val="24"/>
        </w:rPr>
      </w:pPr>
      <w:r w:rsidRPr="00E53788">
        <w:t>–</w:t>
      </w:r>
      <w:r w:rsidRPr="00E53788">
        <w:tab/>
        <w:t xml:space="preserve">vu l’avis du Comité économique et social européen du </w:t>
      </w:r>
      <w:r w:rsidRPr="00355C10">
        <w:t>26</w:t>
      </w:r>
      <w:r w:rsidRPr="00E53788">
        <w:t> octobre </w:t>
      </w:r>
      <w:r w:rsidRPr="00355C10">
        <w:t>2023</w:t>
      </w:r>
      <w:r w:rsidRPr="00E53788">
        <w:rPr>
          <w:rStyle w:val="FootnoteReference"/>
          <w:szCs w:val="24"/>
        </w:rPr>
        <w:footnoteReference w:id="1"/>
      </w:r>
      <w:r w:rsidRPr="00E53788">
        <w:t>,</w:t>
      </w:r>
    </w:p>
    <w:p w:rsidR="008C7A99" w:rsidRDefault="008C7A99" w:rsidP="0072067B">
      <w:pPr>
        <w:pStyle w:val="NormalHanging12a"/>
        <w:widowControl/>
        <w:jc w:val="both"/>
      </w:pPr>
      <w:r w:rsidRPr="00E53788">
        <w:t>–</w:t>
      </w:r>
      <w:r w:rsidRPr="00E53788">
        <w:tab/>
        <w:t>après consultation du Comité des régions,</w:t>
      </w:r>
    </w:p>
    <w:p w:rsidR="004A735D" w:rsidRDefault="004A735D" w:rsidP="0072067B">
      <w:pPr>
        <w:spacing w:after="240"/>
        <w:ind w:left="567" w:hanging="567"/>
      </w:pPr>
      <w:r w:rsidRPr="00DB1C0F">
        <w:t>–</w:t>
      </w:r>
      <w:r w:rsidRPr="00DB1C0F">
        <w:tab/>
      </w:r>
      <w:r>
        <w:t xml:space="preserve">vu l’accord </w:t>
      </w:r>
      <w:r w:rsidRPr="004A735D">
        <w:t>provisoire approuvé en vertu de l’article </w:t>
      </w:r>
      <w:r w:rsidRPr="00355C10">
        <w:t>74</w:t>
      </w:r>
      <w:r w:rsidRPr="004A735D">
        <w:t>, paragraphe </w:t>
      </w:r>
      <w:r w:rsidRPr="00355C10">
        <w:t>4</w:t>
      </w:r>
      <w:r w:rsidRPr="004A735D">
        <w:t xml:space="preserve">, de son règlement intérieur par </w:t>
      </w:r>
      <w:r w:rsidRPr="00AC2DC9">
        <w:t>la commission compétente</w:t>
      </w:r>
      <w:r w:rsidRPr="004A735D">
        <w:t xml:space="preserve"> et l’engagement pris par le représentant du Conseil, par lettre du </w:t>
      </w:r>
      <w:r w:rsidRPr="00355C10">
        <w:t>21</w:t>
      </w:r>
      <w:r w:rsidRPr="004A735D">
        <w:t xml:space="preserve"> février </w:t>
      </w:r>
      <w:r w:rsidRPr="00355C10">
        <w:t>2024</w:t>
      </w:r>
      <w:r w:rsidRPr="004A735D">
        <w:t xml:space="preserve">, d’approuver la </w:t>
      </w:r>
      <w:r w:rsidRPr="00AC2DC9">
        <w:t>position du Parlement européen</w:t>
      </w:r>
      <w:r w:rsidRPr="004A735D">
        <w:t>, conformément à l’article </w:t>
      </w:r>
      <w:r w:rsidRPr="00355C10">
        <w:t>294</w:t>
      </w:r>
      <w:r w:rsidRPr="004A735D">
        <w:t>, paragraphe </w:t>
      </w:r>
      <w:r w:rsidRPr="00355C10">
        <w:t>4</w:t>
      </w:r>
      <w:r w:rsidRPr="004A735D">
        <w:t>, du traité sur le fonctionnement de l’Union européenne,</w:t>
      </w:r>
    </w:p>
    <w:p w:rsidR="008C7A99" w:rsidRPr="00E53788" w:rsidRDefault="008C7A99" w:rsidP="0072067B">
      <w:pPr>
        <w:pStyle w:val="NormalHanging12a"/>
        <w:widowControl/>
        <w:jc w:val="both"/>
      </w:pPr>
      <w:r w:rsidRPr="00E53788">
        <w:lastRenderedPageBreak/>
        <w:t>–</w:t>
      </w:r>
      <w:r w:rsidRPr="00E53788">
        <w:tab/>
        <w:t>vu l’article </w:t>
      </w:r>
      <w:r w:rsidRPr="00355C10">
        <w:t>59</w:t>
      </w:r>
      <w:r w:rsidRPr="00E53788">
        <w:t xml:space="preserve"> de son règlement intérieur,</w:t>
      </w:r>
    </w:p>
    <w:p w:rsidR="008C7A99" w:rsidRPr="00E53788" w:rsidRDefault="008C7A99" w:rsidP="0072067B">
      <w:pPr>
        <w:pStyle w:val="NormalHanging12a"/>
        <w:widowControl/>
        <w:jc w:val="both"/>
      </w:pPr>
      <w:r w:rsidRPr="00E53788">
        <w:t>–</w:t>
      </w:r>
      <w:r w:rsidRPr="00E53788">
        <w:tab/>
        <w:t>vu le rapport de la commission de l’environnement, de la santé publique et de la sécurité alimentaire (A</w:t>
      </w:r>
      <w:r w:rsidRPr="00355C10">
        <w:t>9</w:t>
      </w:r>
      <w:r w:rsidRPr="00E53788">
        <w:t>-</w:t>
      </w:r>
      <w:r w:rsidRPr="00355C10">
        <w:t>0002</w:t>
      </w:r>
      <w:r w:rsidRPr="00E53788">
        <w:t>/</w:t>
      </w:r>
      <w:r w:rsidRPr="00355C10">
        <w:t>2024</w:t>
      </w:r>
      <w:r w:rsidRPr="00E53788">
        <w:t>),</w:t>
      </w:r>
    </w:p>
    <w:p w:rsidR="008C7A99" w:rsidRPr="00E53788" w:rsidRDefault="008C7A99" w:rsidP="008C7A99">
      <w:pPr>
        <w:pStyle w:val="NormalHanging12a"/>
        <w:widowControl/>
      </w:pPr>
      <w:r w:rsidRPr="00355C10">
        <w:t>1</w:t>
      </w:r>
      <w:r w:rsidRPr="00E53788">
        <w:t>.</w:t>
      </w:r>
      <w:r w:rsidRPr="00E53788">
        <w:tab/>
        <w:t>arrête la position en première lecture figurant ci-après</w:t>
      </w:r>
      <w:r w:rsidR="004A735D">
        <w:rPr>
          <w:rStyle w:val="FootnoteReference"/>
        </w:rPr>
        <w:footnoteReference w:id="2"/>
      </w:r>
      <w:r w:rsidRPr="00E53788">
        <w:t>;</w:t>
      </w:r>
    </w:p>
    <w:p w:rsidR="008C7A99" w:rsidRPr="00E53788" w:rsidRDefault="008C7A99" w:rsidP="008C7A99">
      <w:pPr>
        <w:pStyle w:val="NormalHanging12a"/>
        <w:widowControl/>
      </w:pPr>
      <w:r w:rsidRPr="00355C10">
        <w:t>2</w:t>
      </w:r>
      <w:r w:rsidRPr="00E53788">
        <w:t>.</w:t>
      </w:r>
      <w:r w:rsidRPr="00E53788">
        <w:tab/>
        <w:t>demande à la Commission de le saisir à nouveau, si elle remplace, modifie de manière substantielle ou entend modifier de manière substantielle sa proposition;</w:t>
      </w:r>
    </w:p>
    <w:p w:rsidR="00355C10" w:rsidRDefault="008C7A99" w:rsidP="008C7A99">
      <w:pPr>
        <w:pStyle w:val="NormalHanging12a"/>
        <w:widowControl/>
        <w:sectPr w:rsidR="00355C10" w:rsidSect="00E537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355C10">
        <w:t>3</w:t>
      </w:r>
      <w:r w:rsidRPr="00E53788">
        <w:t>.</w:t>
      </w:r>
      <w:r w:rsidRPr="00E53788">
        <w:tab/>
        <w:t>charge sa Présidente de transmettre la position du Parlement au Conseil et à la Commission ainsi qu’aux parlements nationaux.</w:t>
      </w:r>
    </w:p>
    <w:p w:rsidR="004A735D" w:rsidRPr="00443C94" w:rsidRDefault="004A735D" w:rsidP="004A735D">
      <w:pPr>
        <w:autoSpaceDE w:val="0"/>
        <w:autoSpaceDN w:val="0"/>
        <w:adjustRightInd w:val="0"/>
        <w:spacing w:after="240"/>
        <w:rPr>
          <w:rFonts w:eastAsia="Calibri"/>
          <w:b/>
          <w:bCs/>
          <w:color w:val="000000"/>
          <w:szCs w:val="24"/>
        </w:rPr>
      </w:pPr>
      <w:r w:rsidRPr="00443C94">
        <w:rPr>
          <w:rFonts w:eastAsia="Calibri"/>
          <w:b/>
          <w:bCs/>
          <w:color w:val="000000"/>
          <w:szCs w:val="24"/>
        </w:rPr>
        <w:lastRenderedPageBreak/>
        <w:t>P</w:t>
      </w:r>
      <w:r w:rsidRPr="00355C10">
        <w:rPr>
          <w:rFonts w:eastAsia="Calibri"/>
          <w:b/>
          <w:bCs/>
          <w:color w:val="000000"/>
          <w:szCs w:val="24"/>
        </w:rPr>
        <w:t>9</w:t>
      </w:r>
      <w:r w:rsidRPr="00443C94">
        <w:rPr>
          <w:rFonts w:eastAsia="Calibri"/>
          <w:b/>
          <w:bCs/>
          <w:color w:val="000000"/>
          <w:szCs w:val="24"/>
        </w:rPr>
        <w:t>_TC</w:t>
      </w:r>
      <w:r w:rsidRPr="00355C10">
        <w:rPr>
          <w:rFonts w:eastAsia="Calibri"/>
          <w:b/>
          <w:bCs/>
          <w:color w:val="000000"/>
          <w:szCs w:val="24"/>
        </w:rPr>
        <w:t>1</w:t>
      </w:r>
      <w:r w:rsidRPr="00443C94">
        <w:rPr>
          <w:rFonts w:eastAsia="Calibri"/>
          <w:b/>
          <w:bCs/>
          <w:color w:val="000000"/>
          <w:szCs w:val="24"/>
        </w:rPr>
        <w:t>-</w:t>
      </w:r>
      <w:proofErr w:type="gramStart"/>
      <w:r w:rsidRPr="00443C94">
        <w:rPr>
          <w:rFonts w:eastAsia="Calibri"/>
          <w:b/>
          <w:bCs/>
          <w:color w:val="000000"/>
          <w:szCs w:val="24"/>
        </w:rPr>
        <w:t>COD(</w:t>
      </w:r>
      <w:proofErr w:type="gramEnd"/>
      <w:r w:rsidRPr="00355C10">
        <w:rPr>
          <w:rFonts w:eastAsia="Calibri"/>
          <w:b/>
          <w:bCs/>
          <w:color w:val="000000"/>
          <w:szCs w:val="24"/>
        </w:rPr>
        <w:t>2023</w:t>
      </w:r>
      <w:r w:rsidRPr="00443C94">
        <w:rPr>
          <w:rFonts w:eastAsia="Calibri"/>
          <w:b/>
          <w:bCs/>
          <w:color w:val="000000"/>
          <w:szCs w:val="24"/>
        </w:rPr>
        <w:t>)</w:t>
      </w:r>
      <w:r w:rsidRPr="00355C10">
        <w:rPr>
          <w:rFonts w:eastAsia="Calibri"/>
          <w:b/>
          <w:bCs/>
          <w:color w:val="000000"/>
          <w:szCs w:val="24"/>
        </w:rPr>
        <w:t>0272</w:t>
      </w:r>
    </w:p>
    <w:p w:rsidR="004A735D" w:rsidRDefault="004A735D" w:rsidP="004A735D">
      <w:pPr>
        <w:spacing w:after="240"/>
        <w:rPr>
          <w:rFonts w:eastAsia="Calibri"/>
          <w:b/>
          <w:szCs w:val="22"/>
          <w:lang w:eastAsia="en-US"/>
        </w:rPr>
      </w:pPr>
      <w:r w:rsidRPr="00C92B87">
        <w:rPr>
          <w:b/>
        </w:rPr>
        <w:t xml:space="preserve">Position du </w:t>
      </w:r>
      <w:r w:rsidRPr="004A735D">
        <w:rPr>
          <w:b/>
        </w:rPr>
        <w:t xml:space="preserve">Parlement européen arrêtée en première lecture le </w:t>
      </w:r>
      <w:r w:rsidRPr="00355C10">
        <w:rPr>
          <w:b/>
        </w:rPr>
        <w:t>10</w:t>
      </w:r>
      <w:r w:rsidRPr="004A735D">
        <w:rPr>
          <w:b/>
        </w:rPr>
        <w:t xml:space="preserve"> avril </w:t>
      </w:r>
      <w:r w:rsidRPr="00355C10">
        <w:rPr>
          <w:b/>
        </w:rPr>
        <w:t>2024</w:t>
      </w:r>
      <w:r w:rsidRPr="004A735D">
        <w:rPr>
          <w:b/>
        </w:rPr>
        <w:t xml:space="preserve"> en vue de l’adoption du règlement (UE) </w:t>
      </w:r>
      <w:r w:rsidRPr="00355C10">
        <w:rPr>
          <w:b/>
        </w:rPr>
        <w:t>2024</w:t>
      </w:r>
      <w:r w:rsidRPr="004A735D">
        <w:rPr>
          <w:b/>
        </w:rPr>
        <w:t>/... du Parlement</w:t>
      </w:r>
      <w:r w:rsidRPr="007C3D18">
        <w:rPr>
          <w:b/>
        </w:rPr>
        <w:t xml:space="preserve"> européen et du Conseil </w:t>
      </w:r>
      <w:r w:rsidRPr="004A735D">
        <w:rPr>
          <w:rFonts w:eastAsia="Calibri"/>
          <w:b/>
          <w:szCs w:val="22"/>
          <w:lang w:eastAsia="en-US"/>
        </w:rPr>
        <w:t xml:space="preserve">modifiant le règlement (UE) </w:t>
      </w:r>
      <w:r w:rsidRPr="00355C10">
        <w:rPr>
          <w:rFonts w:eastAsia="Calibri"/>
          <w:b/>
          <w:szCs w:val="22"/>
          <w:lang w:eastAsia="en-US"/>
        </w:rPr>
        <w:t>2017</w:t>
      </w:r>
      <w:r w:rsidRPr="004A735D">
        <w:rPr>
          <w:rFonts w:eastAsia="Calibri"/>
          <w:b/>
          <w:szCs w:val="22"/>
          <w:lang w:eastAsia="en-US"/>
        </w:rPr>
        <w:t>/</w:t>
      </w:r>
      <w:r w:rsidRPr="00355C10">
        <w:rPr>
          <w:rFonts w:eastAsia="Calibri"/>
          <w:b/>
          <w:szCs w:val="22"/>
          <w:lang w:eastAsia="en-US"/>
        </w:rPr>
        <w:t>852</w:t>
      </w:r>
      <w:r w:rsidRPr="004A735D">
        <w:rPr>
          <w:rFonts w:eastAsia="Calibri"/>
          <w:b/>
          <w:szCs w:val="22"/>
          <w:lang w:eastAsia="en-US"/>
        </w:rPr>
        <w:t xml:space="preserve"> relatif au mercure en ce qui concerne les amalgames dentaires et les autres produits contenant du mercure ajouté faisant l'objet de restrictions à l'exportation, à l’importation et à la fabrication</w:t>
      </w:r>
    </w:p>
    <w:p w:rsidR="001D5DB3" w:rsidRPr="001D5DB3" w:rsidRDefault="001D5DB3" w:rsidP="001D5DB3">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w:t>
      </w:r>
      <w:r>
        <w:rPr>
          <w:b w:val="0"/>
          <w:i/>
        </w:rPr>
        <w:t xml:space="preserve">final, le règlement (UE) </w:t>
      </w:r>
      <w:r w:rsidRPr="00EB53D5">
        <w:rPr>
          <w:b w:val="0"/>
          <w:i/>
        </w:rPr>
        <w:t>20</w:t>
      </w:r>
      <w:r>
        <w:rPr>
          <w:b w:val="0"/>
          <w:i/>
        </w:rPr>
        <w:t>24</w:t>
      </w:r>
      <w:r>
        <w:rPr>
          <w:b w:val="0"/>
          <w:i/>
        </w:rPr>
        <w:t>/1849</w:t>
      </w:r>
      <w:bookmarkStart w:id="7" w:name="_GoBack"/>
      <w:bookmarkEnd w:id="7"/>
      <w:r w:rsidRPr="00EB53D5">
        <w:rPr>
          <w:b w:val="0"/>
          <w:i/>
        </w:rPr>
        <w:t>.)</w:t>
      </w:r>
    </w:p>
    <w:p w:rsidR="004A735D" w:rsidRPr="004A735D" w:rsidRDefault="004A735D" w:rsidP="004A735D">
      <w:pPr>
        <w:widowControl/>
        <w:spacing w:line="360" w:lineRule="auto"/>
        <w:jc w:val="center"/>
        <w:rPr>
          <w:rFonts w:eastAsia="Calibri"/>
          <w:b/>
          <w:bCs/>
          <w:szCs w:val="22"/>
          <w:lang w:eastAsia="en-US"/>
        </w:rPr>
      </w:pPr>
    </w:p>
    <w:sectPr w:rsidR="004A735D" w:rsidRPr="004A735D" w:rsidSect="00E537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45A" w:rsidRPr="00E53788" w:rsidRDefault="0045145A">
      <w:r w:rsidRPr="00E53788">
        <w:separator/>
      </w:r>
    </w:p>
  </w:endnote>
  <w:endnote w:type="continuationSeparator" w:id="0">
    <w:p w:rsidR="0045145A" w:rsidRPr="00E53788" w:rsidRDefault="0045145A">
      <w:r w:rsidRPr="00E537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45A" w:rsidRPr="00E53788" w:rsidRDefault="0045145A">
      <w:r w:rsidRPr="00E53788">
        <w:separator/>
      </w:r>
    </w:p>
  </w:footnote>
  <w:footnote w:type="continuationSeparator" w:id="0">
    <w:p w:rsidR="0045145A" w:rsidRPr="00E53788" w:rsidRDefault="0045145A">
      <w:r w:rsidRPr="00E53788">
        <w:continuationSeparator/>
      </w:r>
    </w:p>
  </w:footnote>
  <w:footnote w:id="1">
    <w:p w:rsidR="008C7A99" w:rsidRPr="00AC2DC9" w:rsidRDefault="008C7A99" w:rsidP="00E53788">
      <w:pPr>
        <w:pStyle w:val="FootnoteText"/>
        <w:ind w:left="567" w:hanging="567"/>
        <w:rPr>
          <w:sz w:val="24"/>
          <w:lang w:val="fi-FI"/>
        </w:rPr>
      </w:pPr>
      <w:r w:rsidRPr="00E53788">
        <w:rPr>
          <w:rStyle w:val="FootnoteReference"/>
          <w:sz w:val="24"/>
        </w:rPr>
        <w:footnoteRef/>
      </w:r>
      <w:r w:rsidR="00E53788" w:rsidRPr="00AC2DC9">
        <w:rPr>
          <w:sz w:val="24"/>
          <w:lang w:val="fi-FI"/>
        </w:rPr>
        <w:t xml:space="preserve"> </w:t>
      </w:r>
      <w:r w:rsidR="00E53788" w:rsidRPr="00AC2DC9">
        <w:rPr>
          <w:sz w:val="24"/>
          <w:lang w:val="fi-FI"/>
        </w:rPr>
        <w:tab/>
      </w:r>
      <w:r w:rsidR="004A735D" w:rsidRPr="00AC2DC9">
        <w:rPr>
          <w:sz w:val="24"/>
          <w:szCs w:val="24"/>
          <w:lang w:val="fi-FI"/>
        </w:rPr>
        <w:t>JO C, C/</w:t>
      </w:r>
      <w:r w:rsidR="004A735D" w:rsidRPr="00355C10">
        <w:rPr>
          <w:sz w:val="24"/>
          <w:szCs w:val="24"/>
          <w:lang w:val="fi-FI"/>
        </w:rPr>
        <w:t>2024</w:t>
      </w:r>
      <w:r w:rsidR="004A735D" w:rsidRPr="00AC2DC9">
        <w:rPr>
          <w:sz w:val="24"/>
          <w:szCs w:val="24"/>
          <w:lang w:val="fi-FI"/>
        </w:rPr>
        <w:t>/</w:t>
      </w:r>
      <w:r w:rsidR="004A735D" w:rsidRPr="00355C10">
        <w:rPr>
          <w:sz w:val="24"/>
          <w:szCs w:val="24"/>
          <w:lang w:val="fi-FI"/>
        </w:rPr>
        <w:t>894</w:t>
      </w:r>
      <w:r w:rsidR="004A735D" w:rsidRPr="00AC2DC9">
        <w:rPr>
          <w:sz w:val="24"/>
          <w:szCs w:val="24"/>
          <w:lang w:val="fi-FI"/>
        </w:rPr>
        <w:t xml:space="preserve">, </w:t>
      </w:r>
      <w:r w:rsidR="004A735D" w:rsidRPr="00355C10">
        <w:rPr>
          <w:sz w:val="24"/>
          <w:szCs w:val="24"/>
          <w:lang w:val="fi-FI"/>
        </w:rPr>
        <w:t>6</w:t>
      </w:r>
      <w:r w:rsidR="004A735D" w:rsidRPr="00AC2DC9">
        <w:rPr>
          <w:sz w:val="24"/>
          <w:szCs w:val="24"/>
          <w:lang w:val="fi-FI"/>
        </w:rPr>
        <w:t>.</w:t>
      </w:r>
      <w:r w:rsidR="004A735D" w:rsidRPr="00355C10">
        <w:rPr>
          <w:sz w:val="24"/>
          <w:szCs w:val="24"/>
          <w:lang w:val="fi-FI"/>
        </w:rPr>
        <w:t>2</w:t>
      </w:r>
      <w:r w:rsidR="004A735D" w:rsidRPr="00AC2DC9">
        <w:rPr>
          <w:sz w:val="24"/>
          <w:szCs w:val="24"/>
          <w:lang w:val="fi-FI"/>
        </w:rPr>
        <w:t>.</w:t>
      </w:r>
      <w:r w:rsidR="004A735D" w:rsidRPr="00355C10">
        <w:rPr>
          <w:sz w:val="24"/>
          <w:szCs w:val="24"/>
          <w:lang w:val="fi-FI"/>
        </w:rPr>
        <w:t>2024</w:t>
      </w:r>
      <w:r w:rsidR="004A735D" w:rsidRPr="00AC2DC9">
        <w:rPr>
          <w:sz w:val="24"/>
          <w:szCs w:val="24"/>
          <w:lang w:val="fi-FI"/>
        </w:rPr>
        <w:t xml:space="preserve">, ELI: </w:t>
      </w:r>
      <w:r w:rsidR="001D5DB3">
        <w:fldChar w:fldCharType="begin"/>
      </w:r>
      <w:r w:rsidR="001D5DB3" w:rsidRPr="001D5DB3">
        <w:rPr>
          <w:lang w:val="fi-FI"/>
        </w:rPr>
        <w:instrText xml:space="preserve"> HYPERLINK "http://data.europa.eu/eli/C/2024/894/oj" </w:instrText>
      </w:r>
      <w:r w:rsidR="001D5DB3">
        <w:fldChar w:fldCharType="separate"/>
      </w:r>
      <w:r w:rsidR="004A735D" w:rsidRPr="00355C10">
        <w:rPr>
          <w:rStyle w:val="Hyperlink"/>
          <w:sz w:val="24"/>
          <w:szCs w:val="24"/>
          <w:lang w:val="fi-FI"/>
        </w:rPr>
        <w:t>http://data.europa.eu/eli/C/2024/894/oj</w:t>
      </w:r>
      <w:r w:rsidR="001D5DB3">
        <w:rPr>
          <w:rStyle w:val="Hyperlink"/>
          <w:sz w:val="24"/>
          <w:szCs w:val="24"/>
          <w:lang w:val="fi-FI"/>
        </w:rPr>
        <w:fldChar w:fldCharType="end"/>
      </w:r>
      <w:r w:rsidRPr="00AC2DC9">
        <w:rPr>
          <w:sz w:val="24"/>
          <w:lang w:val="fi-FI"/>
        </w:rPr>
        <w:t>.</w:t>
      </w:r>
    </w:p>
  </w:footnote>
  <w:footnote w:id="2">
    <w:p w:rsidR="004A735D" w:rsidRPr="00AC2DC9" w:rsidRDefault="004A735D" w:rsidP="00AC2DC9">
      <w:pPr>
        <w:ind w:left="567" w:hanging="567"/>
        <w:rPr>
          <w:lang w:val="sk-SK"/>
        </w:rPr>
      </w:pPr>
      <w:r>
        <w:rPr>
          <w:rStyle w:val="FootnoteReference"/>
        </w:rPr>
        <w:footnoteRef/>
      </w:r>
      <w:r>
        <w:t xml:space="preserve"> </w:t>
      </w:r>
      <w:r>
        <w:tab/>
      </w:r>
      <w:r w:rsidRPr="005D23B2">
        <w:t xml:space="preserve">La présente position remplace les amendements adoptés le </w:t>
      </w:r>
      <w:r w:rsidRPr="00355C10">
        <w:t>17</w:t>
      </w:r>
      <w:r w:rsidRPr="005D23B2">
        <w:t xml:space="preserve"> janvier </w:t>
      </w:r>
      <w:r w:rsidRPr="00355C10">
        <w:t>2024</w:t>
      </w:r>
      <w:r w:rsidRPr="005D23B2">
        <w:t xml:space="preserve"> (textes adoptés de cette date, P</w:t>
      </w:r>
      <w:r w:rsidRPr="00355C10">
        <w:t>9</w:t>
      </w:r>
      <w:r w:rsidRPr="005D23B2">
        <w:t>_</w:t>
      </w:r>
      <w:proofErr w:type="gramStart"/>
      <w:r w:rsidRPr="005D23B2">
        <w:t>TA(</w:t>
      </w:r>
      <w:proofErr w:type="gramEnd"/>
      <w:r w:rsidRPr="00355C10">
        <w:t>2024</w:t>
      </w:r>
      <w:r w:rsidRPr="005D23B2">
        <w:t>)</w:t>
      </w:r>
      <w:r w:rsidRPr="00355C10">
        <w:t>0019</w:t>
      </w:r>
      <w:r w:rsidRPr="001833AB">
        <w:rPr>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7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FR"/>
    <w:docVar w:name="dvnumam" w:val="15"/>
    <w:docVar w:name="dvpe" w:val="753.554"/>
    <w:docVar w:name="dvrapporteur" w:val="Rapporteure: "/>
    <w:docVar w:name="dvstar" w:val="***I"/>
    <w:docVar w:name="dvtitre" w:val="Résolution législative du Parlement européen du ... 2024 sur la proposition de règlement du Parlement européen et du Conseil modifiant le règlement (UE) 2017/852 du Parlement européen et du Conseil du 17 mai 2017 relatif au mercure en ce qui concerne les amalgames dentaires et les autres produits contenant du mercure ajouté faisant l’objet de restrictions de fabrication, d’importation et d’exportation(COM(2023)0395 – C9-0309/2023 – 2023/0272(COD))"/>
  </w:docVars>
  <w:rsids>
    <w:rsidRoot w:val="0045145A"/>
    <w:rsid w:val="00002272"/>
    <w:rsid w:val="00064002"/>
    <w:rsid w:val="000677B9"/>
    <w:rsid w:val="000831BA"/>
    <w:rsid w:val="000A1D18"/>
    <w:rsid w:val="000A42CC"/>
    <w:rsid w:val="000E7DD9"/>
    <w:rsid w:val="0010095E"/>
    <w:rsid w:val="00125B37"/>
    <w:rsid w:val="00187494"/>
    <w:rsid w:val="001D5DB3"/>
    <w:rsid w:val="001F32AE"/>
    <w:rsid w:val="002767FF"/>
    <w:rsid w:val="002B18FE"/>
    <w:rsid w:val="002B5493"/>
    <w:rsid w:val="00343214"/>
    <w:rsid w:val="00355C10"/>
    <w:rsid w:val="00361C00"/>
    <w:rsid w:val="00361E52"/>
    <w:rsid w:val="00395FA1"/>
    <w:rsid w:val="003E15D4"/>
    <w:rsid w:val="00411CCE"/>
    <w:rsid w:val="0041666E"/>
    <w:rsid w:val="00421060"/>
    <w:rsid w:val="0045145A"/>
    <w:rsid w:val="004627BA"/>
    <w:rsid w:val="00471C19"/>
    <w:rsid w:val="004867E3"/>
    <w:rsid w:val="00494A28"/>
    <w:rsid w:val="004A735D"/>
    <w:rsid w:val="004C0004"/>
    <w:rsid w:val="004C5D52"/>
    <w:rsid w:val="0050519A"/>
    <w:rsid w:val="005072A1"/>
    <w:rsid w:val="00514517"/>
    <w:rsid w:val="00545827"/>
    <w:rsid w:val="00560270"/>
    <w:rsid w:val="00572325"/>
    <w:rsid w:val="005C2568"/>
    <w:rsid w:val="005D23B2"/>
    <w:rsid w:val="006037C0"/>
    <w:rsid w:val="006355AA"/>
    <w:rsid w:val="006631B6"/>
    <w:rsid w:val="00680577"/>
    <w:rsid w:val="006F74FA"/>
    <w:rsid w:val="0072067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A99"/>
    <w:rsid w:val="00930C23"/>
    <w:rsid w:val="0093193B"/>
    <w:rsid w:val="009509D8"/>
    <w:rsid w:val="00950B64"/>
    <w:rsid w:val="00981893"/>
    <w:rsid w:val="00A1687D"/>
    <w:rsid w:val="00A43E52"/>
    <w:rsid w:val="00A4678D"/>
    <w:rsid w:val="00A778C7"/>
    <w:rsid w:val="00AB441E"/>
    <w:rsid w:val="00AB6293"/>
    <w:rsid w:val="00AC2DC9"/>
    <w:rsid w:val="00AE0928"/>
    <w:rsid w:val="00AF3B82"/>
    <w:rsid w:val="00B12E95"/>
    <w:rsid w:val="00B22876"/>
    <w:rsid w:val="00B558F0"/>
    <w:rsid w:val="00BD48FE"/>
    <w:rsid w:val="00BD7BD8"/>
    <w:rsid w:val="00BE6ADC"/>
    <w:rsid w:val="00C05BFE"/>
    <w:rsid w:val="00C23CD4"/>
    <w:rsid w:val="00C61C0C"/>
    <w:rsid w:val="00C941CB"/>
    <w:rsid w:val="00C94F30"/>
    <w:rsid w:val="00CC2357"/>
    <w:rsid w:val="00CF071A"/>
    <w:rsid w:val="00D058B8"/>
    <w:rsid w:val="00D56C11"/>
    <w:rsid w:val="00D834A0"/>
    <w:rsid w:val="00D872DF"/>
    <w:rsid w:val="00D91E21"/>
    <w:rsid w:val="00DA7FCD"/>
    <w:rsid w:val="00E365E1"/>
    <w:rsid w:val="00E5378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2351C"/>
  <w15:chartTrackingRefBased/>
  <w15:docId w15:val="{BF3FC4F7-67B0-4DB2-8807-13306C289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C7A99"/>
    <w:pPr>
      <w:spacing w:after="120"/>
    </w:pPr>
  </w:style>
  <w:style w:type="paragraph" w:customStyle="1" w:styleId="NormalBold">
    <w:name w:val="NormalBold"/>
    <w:basedOn w:val="Normal"/>
    <w:link w:val="NormalBoldChar"/>
    <w:rsid w:val="008C7A99"/>
    <w:rPr>
      <w:b/>
    </w:rPr>
  </w:style>
  <w:style w:type="paragraph" w:customStyle="1" w:styleId="NormalHanging12a">
    <w:name w:val="NormalHanging12a"/>
    <w:basedOn w:val="Normal"/>
    <w:rsid w:val="008C7A99"/>
    <w:pPr>
      <w:spacing w:after="240"/>
      <w:ind w:left="567" w:hanging="567"/>
    </w:pPr>
  </w:style>
  <w:style w:type="paragraph" w:customStyle="1" w:styleId="AmColumnHeading">
    <w:name w:val="AmColumnHeading"/>
    <w:basedOn w:val="Normal"/>
    <w:rsid w:val="008C7A99"/>
    <w:pPr>
      <w:spacing w:after="240"/>
      <w:jc w:val="center"/>
    </w:pPr>
    <w:rPr>
      <w:i/>
    </w:rPr>
  </w:style>
  <w:style w:type="paragraph" w:customStyle="1" w:styleId="AmNumberTabs">
    <w:name w:val="AmNumberTabs"/>
    <w:basedOn w:val="Normal"/>
    <w:link w:val="AmNumberTabsChar"/>
    <w:rsid w:val="008C7A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C7A99"/>
    <w:pPr>
      <w:spacing w:before="240"/>
    </w:pPr>
    <w:rPr>
      <w:b/>
    </w:rPr>
  </w:style>
  <w:style w:type="paragraph" w:customStyle="1" w:styleId="EPComma">
    <w:name w:val="EPComma"/>
    <w:basedOn w:val="Normal"/>
    <w:rsid w:val="008C7A99"/>
    <w:pPr>
      <w:spacing w:before="480" w:after="240"/>
    </w:pPr>
  </w:style>
  <w:style w:type="character" w:customStyle="1" w:styleId="Normal6Char">
    <w:name w:val="Normal6 Char"/>
    <w:basedOn w:val="DefaultParagraphFont"/>
    <w:link w:val="Normal6"/>
    <w:locked/>
    <w:rsid w:val="008C7A99"/>
    <w:rPr>
      <w:sz w:val="24"/>
      <w:lang w:val="fr-FR"/>
    </w:rPr>
  </w:style>
  <w:style w:type="paragraph" w:customStyle="1" w:styleId="Normal6">
    <w:name w:val="Normal6"/>
    <w:basedOn w:val="Normal"/>
    <w:link w:val="Normal6Char"/>
    <w:rsid w:val="008C7A99"/>
    <w:pPr>
      <w:spacing w:after="120"/>
    </w:pPr>
  </w:style>
  <w:style w:type="character" w:customStyle="1" w:styleId="NormalBoldChar">
    <w:name w:val="NormalBold Char"/>
    <w:basedOn w:val="DefaultParagraphFont"/>
    <w:link w:val="NormalBold"/>
    <w:locked/>
    <w:rsid w:val="008C7A99"/>
    <w:rPr>
      <w:b/>
      <w:sz w:val="24"/>
      <w:lang w:val="fr-FR"/>
    </w:rPr>
  </w:style>
  <w:style w:type="paragraph" w:customStyle="1" w:styleId="ColumnHeading">
    <w:name w:val="ColumnHeading"/>
    <w:basedOn w:val="Normal"/>
    <w:rsid w:val="008C7A99"/>
    <w:pPr>
      <w:spacing w:after="240"/>
      <w:jc w:val="center"/>
    </w:pPr>
    <w:rPr>
      <w:i/>
    </w:rPr>
  </w:style>
  <w:style w:type="character" w:customStyle="1" w:styleId="AmNumberTabsChar">
    <w:name w:val="AmNumberTabs Char"/>
    <w:basedOn w:val="DefaultParagraphFont"/>
    <w:link w:val="AmNumberTabs"/>
    <w:rsid w:val="008C7A99"/>
    <w:rPr>
      <w:b/>
      <w:sz w:val="24"/>
      <w:lang w:val="fr-FR"/>
    </w:rPr>
  </w:style>
  <w:style w:type="character" w:customStyle="1" w:styleId="NormalBold12bChar">
    <w:name w:val="NormalBold12b Char"/>
    <w:basedOn w:val="AmNumberTabsChar"/>
    <w:link w:val="NormalBold12b"/>
    <w:rsid w:val="008C7A99"/>
    <w:rPr>
      <w:b/>
      <w:sz w:val="24"/>
      <w:lang w:val="fr-FR"/>
    </w:rPr>
  </w:style>
  <w:style w:type="character" w:styleId="Emphasis">
    <w:name w:val="Emphasis"/>
    <w:basedOn w:val="DefaultParagraphFont"/>
    <w:uiPriority w:val="20"/>
    <w:qFormat/>
    <w:rsid w:val="008C7A99"/>
    <w:rPr>
      <w:i/>
      <w:iCs/>
    </w:rPr>
  </w:style>
  <w:style w:type="paragraph" w:customStyle="1" w:styleId="CrossRef">
    <w:name w:val="CrossRef"/>
    <w:basedOn w:val="Normal"/>
    <w:rsid w:val="008C7A99"/>
    <w:pPr>
      <w:spacing w:before="240"/>
      <w:jc w:val="center"/>
    </w:pPr>
    <w:rPr>
      <w:i/>
    </w:rPr>
  </w:style>
  <w:style w:type="character" w:customStyle="1" w:styleId="ui-provider">
    <w:name w:val="ui-provider"/>
    <w:basedOn w:val="DefaultParagraphFont"/>
    <w:rsid w:val="004A735D"/>
  </w:style>
  <w:style w:type="character" w:styleId="Hyperlink">
    <w:name w:val="Hyperlink"/>
    <w:basedOn w:val="DefaultParagraphFont"/>
    <w:uiPriority w:val="99"/>
    <w:unhideWhenUsed/>
    <w:rsid w:val="004A735D"/>
    <w:rPr>
      <w:color w:val="0000FF"/>
      <w:u w:val="single"/>
    </w:rPr>
  </w:style>
  <w:style w:type="paragraph" w:styleId="BalloonText">
    <w:name w:val="Balloon Text"/>
    <w:basedOn w:val="Normal"/>
    <w:link w:val="BalloonTextChar"/>
    <w:rsid w:val="00AC2DC9"/>
    <w:rPr>
      <w:rFonts w:ascii="Segoe UI" w:hAnsi="Segoe UI" w:cs="Segoe UI"/>
      <w:sz w:val="18"/>
      <w:szCs w:val="18"/>
    </w:rPr>
  </w:style>
  <w:style w:type="character" w:customStyle="1" w:styleId="BalloonTextChar">
    <w:name w:val="Balloon Text Char"/>
    <w:basedOn w:val="DefaultParagraphFont"/>
    <w:link w:val="BalloonText"/>
    <w:rsid w:val="00AC2DC9"/>
    <w:rPr>
      <w:rFonts w:ascii="Segoe UI" w:hAnsi="Segoe UI" w:cs="Segoe UI"/>
      <w:sz w:val="18"/>
      <w:szCs w:val="18"/>
      <w:lang w:val="fr-FR"/>
    </w:rPr>
  </w:style>
  <w:style w:type="paragraph" w:customStyle="1" w:styleId="Datedadoption">
    <w:name w:val="Date d'adoption"/>
    <w:basedOn w:val="Normal"/>
    <w:next w:val="Normal"/>
    <w:rsid w:val="001D5DB3"/>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FAC43-0D71-49BB-A09D-B6CA12BAA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391</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NEUKELMANCE Charlotte Anne Alain Ghislaine</cp:lastModifiedBy>
  <cp:revision>2</cp:revision>
  <cp:lastPrinted>2004-11-19T15:42:00Z</cp:lastPrinted>
  <dcterms:created xsi:type="dcterms:W3CDTF">2024-07-31T15:25:00Z</dcterms:created>
  <dcterms:modified xsi:type="dcterms:W3CDTF">2024-07-31T15:25:00Z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P9_TA(2024)0191_</vt:lpwstr>
  </property>
  <property fmtid="{D5CDD505-2E9C-101B-9397-08002B2CF9AE}" pid="4" name="&lt;Type&gt;">
    <vt:lpwstr>RR</vt:lpwstr>
  </property>
</Properties>
</file>