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E2B" w:rsidTr="0010095E">
        <w:trPr>
          <w:trHeight w:hRule="exact" w:val="1418"/>
        </w:trPr>
        <w:tc>
          <w:tcPr>
            <w:tcW w:w="6804" w:type="dxa"/>
            <w:shd w:val="clear" w:color="auto" w:fill="auto"/>
            <w:vAlign w:val="center"/>
          </w:tcPr>
          <w:p w:rsidR="00751A4A" w:rsidRPr="000D1E2B" w:rsidRDefault="00272CDC" w:rsidP="0010095E">
            <w:pPr>
              <w:pStyle w:val="EPName"/>
            </w:pPr>
            <w:r w:rsidRPr="000D1E2B">
              <w:t>Parlamento europeo</w:t>
            </w:r>
          </w:p>
          <w:p w:rsidR="00751A4A" w:rsidRPr="000D1E2B" w:rsidRDefault="00817416" w:rsidP="00756632">
            <w:pPr>
              <w:pStyle w:val="EPTerm"/>
              <w:rPr>
                <w:rStyle w:val="HideTWBExt"/>
                <w:noProof w:val="0"/>
                <w:vanish w:val="0"/>
                <w:color w:val="auto"/>
              </w:rPr>
            </w:pPr>
            <w:r w:rsidRPr="00F87387">
              <w:t>2019</w:t>
            </w:r>
            <w:r w:rsidRPr="000D1E2B">
              <w:t>-</w:t>
            </w:r>
            <w:r w:rsidRPr="00F87387">
              <w:t>2024</w:t>
            </w:r>
          </w:p>
        </w:tc>
        <w:tc>
          <w:tcPr>
            <w:tcW w:w="2268" w:type="dxa"/>
            <w:shd w:val="clear" w:color="auto" w:fill="auto"/>
          </w:tcPr>
          <w:p w:rsidR="00751A4A" w:rsidRPr="000D1E2B" w:rsidRDefault="00187494" w:rsidP="0010095E">
            <w:pPr>
              <w:pStyle w:val="EPLogo"/>
            </w:pPr>
            <w:r w:rsidRPr="000D1E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1E2B" w:rsidRDefault="00D058B8" w:rsidP="004C5D52">
      <w:pPr>
        <w:pStyle w:val="LineTop"/>
      </w:pPr>
    </w:p>
    <w:p w:rsidR="00680577" w:rsidRPr="000D1E2B" w:rsidRDefault="00272CDC" w:rsidP="00680577">
      <w:pPr>
        <w:pStyle w:val="EPBodyTA1"/>
      </w:pPr>
      <w:r w:rsidRPr="000D1E2B">
        <w:t>TESTI APPROVATI</w:t>
      </w:r>
    </w:p>
    <w:p w:rsidR="00D058B8" w:rsidRPr="000D1E2B" w:rsidRDefault="00D058B8" w:rsidP="00D058B8">
      <w:pPr>
        <w:pStyle w:val="LineBottom"/>
      </w:pPr>
    </w:p>
    <w:p w:rsidR="00272CDC" w:rsidRPr="000D1E2B" w:rsidRDefault="00272CDC" w:rsidP="00272CDC">
      <w:pPr>
        <w:pStyle w:val="ATHeading1"/>
      </w:pPr>
      <w:bookmarkStart w:id="0" w:name="TANumber"/>
      <w:r w:rsidRPr="000D1E2B">
        <w:t>P</w:t>
      </w:r>
      <w:r w:rsidRPr="00F87387">
        <w:t>9</w:t>
      </w:r>
      <w:r w:rsidRPr="000D1E2B">
        <w:t>_</w:t>
      </w:r>
      <w:proofErr w:type="gramStart"/>
      <w:r w:rsidRPr="000D1E2B">
        <w:t>TA(</w:t>
      </w:r>
      <w:proofErr w:type="gramEnd"/>
      <w:r w:rsidRPr="00F87387">
        <w:t>2024</w:t>
      </w:r>
      <w:r w:rsidRPr="000D1E2B">
        <w:t>)</w:t>
      </w:r>
      <w:r w:rsidRPr="00F87387">
        <w:t>0</w:t>
      </w:r>
      <w:r w:rsidR="00983B0A" w:rsidRPr="00F87387">
        <w:t>191</w:t>
      </w:r>
      <w:bookmarkEnd w:id="0"/>
    </w:p>
    <w:p w:rsidR="00272CDC" w:rsidRPr="000D1E2B" w:rsidRDefault="00272CDC" w:rsidP="00272CDC">
      <w:pPr>
        <w:pStyle w:val="ATHeading2"/>
      </w:pPr>
      <w:bookmarkStart w:id="1" w:name="title"/>
      <w:r w:rsidRPr="000D1E2B">
        <w:t>Mercurio: amalgama dentale e altri prodotti con aggiunta di mercurio soggetti a divieti di fabbricazione, importazione ed esportazione</w:t>
      </w:r>
      <w:bookmarkEnd w:id="1"/>
    </w:p>
    <w:p w:rsidR="00272CDC" w:rsidRPr="000D1E2B" w:rsidRDefault="00272CDC" w:rsidP="00272CDC">
      <w:pPr>
        <w:rPr>
          <w:i/>
          <w:vanish/>
        </w:rPr>
      </w:pPr>
      <w:r w:rsidRPr="000D1E2B">
        <w:rPr>
          <w:i/>
        </w:rPr>
        <w:fldChar w:fldCharType="begin"/>
      </w:r>
      <w:r w:rsidRPr="000D1E2B">
        <w:rPr>
          <w:i/>
        </w:rPr>
        <w:instrText xml:space="preserve"> TC"(</w:instrText>
      </w:r>
      <w:bookmarkStart w:id="2" w:name="DocNumber"/>
      <w:r w:rsidRPr="000D1E2B">
        <w:rPr>
          <w:i/>
        </w:rPr>
        <w:instrText>A</w:instrText>
      </w:r>
      <w:r w:rsidRPr="00F87387">
        <w:rPr>
          <w:i/>
        </w:rPr>
        <w:instrText>9</w:instrText>
      </w:r>
      <w:r w:rsidRPr="000D1E2B">
        <w:rPr>
          <w:i/>
        </w:rPr>
        <w:instrText>-</w:instrText>
      </w:r>
      <w:r w:rsidRPr="00F87387">
        <w:rPr>
          <w:i/>
        </w:rPr>
        <w:instrText>0002</w:instrText>
      </w:r>
      <w:r w:rsidRPr="000D1E2B">
        <w:rPr>
          <w:i/>
        </w:rPr>
        <w:instrText>/</w:instrText>
      </w:r>
      <w:r w:rsidRPr="00F87387">
        <w:rPr>
          <w:i/>
        </w:rPr>
        <w:instrText>2024</w:instrText>
      </w:r>
      <w:bookmarkEnd w:id="2"/>
      <w:r w:rsidRPr="000D1E2B">
        <w:rPr>
          <w:i/>
        </w:rPr>
        <w:instrText xml:space="preserve"> - Relatrice: Marlene Mortler)"\l</w:instrText>
      </w:r>
      <w:r w:rsidRPr="00F87387">
        <w:rPr>
          <w:i/>
        </w:rPr>
        <w:instrText>3</w:instrText>
      </w:r>
      <w:r w:rsidRPr="000D1E2B">
        <w:rPr>
          <w:i/>
        </w:rPr>
        <w:instrText xml:space="preserve"> \n&gt; \* MERGEFORMAT </w:instrText>
      </w:r>
      <w:r w:rsidRPr="000D1E2B">
        <w:rPr>
          <w:i/>
        </w:rPr>
        <w:fldChar w:fldCharType="end"/>
      </w:r>
    </w:p>
    <w:p w:rsidR="00272CDC" w:rsidRPr="000D1E2B" w:rsidRDefault="00272CDC" w:rsidP="00272CDC">
      <w:pPr>
        <w:rPr>
          <w:vanish/>
        </w:rPr>
      </w:pPr>
      <w:bookmarkStart w:id="3" w:name="Commission"/>
      <w:r w:rsidRPr="000D1E2B">
        <w:rPr>
          <w:vanish/>
        </w:rPr>
        <w:t>Commissione per l'ambiente, la sanità pubblica e la sicurezza alimentare</w:t>
      </w:r>
      <w:bookmarkEnd w:id="3"/>
    </w:p>
    <w:p w:rsidR="00272CDC" w:rsidRPr="000D1E2B" w:rsidRDefault="00272CDC" w:rsidP="00272CDC">
      <w:pPr>
        <w:rPr>
          <w:vanish/>
        </w:rPr>
      </w:pPr>
      <w:bookmarkStart w:id="4" w:name="PE"/>
      <w:r w:rsidRPr="000D1E2B">
        <w:rPr>
          <w:vanish/>
        </w:rPr>
        <w:t>PE</w:t>
      </w:r>
      <w:r w:rsidRPr="00F87387">
        <w:rPr>
          <w:vanish/>
        </w:rPr>
        <w:t>753</w:t>
      </w:r>
      <w:r w:rsidRPr="000D1E2B">
        <w:rPr>
          <w:vanish/>
        </w:rPr>
        <w:t>.</w:t>
      </w:r>
      <w:r w:rsidRPr="00F87387">
        <w:rPr>
          <w:vanish/>
        </w:rPr>
        <w:t>554</w:t>
      </w:r>
      <w:bookmarkEnd w:id="4"/>
    </w:p>
    <w:p w:rsidR="00272CDC" w:rsidRPr="000D1E2B" w:rsidRDefault="00272CDC" w:rsidP="00272CDC">
      <w:pPr>
        <w:pStyle w:val="ATHeading3"/>
      </w:pPr>
      <w:bookmarkStart w:id="5" w:name="Sujet"/>
      <w:r w:rsidRPr="000D1E2B">
        <w:t xml:space="preserve">Risoluzione legislativa del Parlamento europeo del </w:t>
      </w:r>
      <w:r w:rsidR="00983B0A" w:rsidRPr="00F87387">
        <w:t>10</w:t>
      </w:r>
      <w:r w:rsidRPr="000D1E2B">
        <w:t xml:space="preserve"> aprile </w:t>
      </w:r>
      <w:r w:rsidRPr="00F87387">
        <w:t>2024</w:t>
      </w:r>
      <w:r w:rsidRPr="000D1E2B">
        <w:t xml:space="preserve"> sulla proposta di regolamento del Parlamento europeo e del Consiglio che modifica il regolamento (UE) </w:t>
      </w:r>
      <w:r w:rsidRPr="00F87387">
        <w:t>2017</w:t>
      </w:r>
      <w:r w:rsidRPr="000D1E2B">
        <w:t>/</w:t>
      </w:r>
      <w:r w:rsidRPr="00F87387">
        <w:t>852</w:t>
      </w:r>
      <w:r w:rsidRPr="000D1E2B">
        <w:t xml:space="preserve"> del Parlamento europeo e del Consiglio, del </w:t>
      </w:r>
      <w:r w:rsidRPr="00F87387">
        <w:t>17</w:t>
      </w:r>
      <w:r w:rsidRPr="000D1E2B">
        <w:t xml:space="preserve"> maggio </w:t>
      </w:r>
      <w:r w:rsidRPr="00F87387">
        <w:t>2017</w:t>
      </w:r>
      <w:r w:rsidRPr="000D1E2B">
        <w:t>, sul mercurio per quanto riguarda l'amalgama dentale e altri prodotti con aggiunta di mercurio soggetti a divieti di fabbricazione, importazione ed esportazione</w:t>
      </w:r>
      <w:bookmarkEnd w:id="5"/>
      <w:r w:rsidRPr="000D1E2B">
        <w:t xml:space="preserve"> </w:t>
      </w:r>
      <w:bookmarkStart w:id="6" w:name="References"/>
      <w:r w:rsidRPr="000D1E2B">
        <w:t>(</w:t>
      </w:r>
      <w:proofErr w:type="gramStart"/>
      <w:r w:rsidRPr="000D1E2B">
        <w:t>COM(</w:t>
      </w:r>
      <w:proofErr w:type="gramEnd"/>
      <w:r w:rsidRPr="00F87387">
        <w:t>2023</w:t>
      </w:r>
      <w:r w:rsidRPr="000D1E2B">
        <w:t>)</w:t>
      </w:r>
      <w:r w:rsidRPr="00F87387">
        <w:t>0395</w:t>
      </w:r>
      <w:r w:rsidRPr="000D1E2B">
        <w:t xml:space="preserve"> – C</w:t>
      </w:r>
      <w:r w:rsidRPr="00F87387">
        <w:t>9</w:t>
      </w:r>
      <w:r w:rsidRPr="000D1E2B">
        <w:t>-</w:t>
      </w:r>
      <w:r w:rsidRPr="00F87387">
        <w:t>0309</w:t>
      </w:r>
      <w:r w:rsidRPr="000D1E2B">
        <w:t>/</w:t>
      </w:r>
      <w:r w:rsidRPr="00F87387">
        <w:t>2023</w:t>
      </w:r>
      <w:r w:rsidRPr="000D1E2B">
        <w:t xml:space="preserve"> – </w:t>
      </w:r>
      <w:r w:rsidRPr="00F87387">
        <w:t>2023</w:t>
      </w:r>
      <w:r w:rsidRPr="000D1E2B">
        <w:t>/</w:t>
      </w:r>
      <w:r w:rsidRPr="00F87387">
        <w:t>0272</w:t>
      </w:r>
      <w:r w:rsidRPr="000D1E2B">
        <w:t>(COD))</w:t>
      </w:r>
      <w:bookmarkEnd w:id="6"/>
    </w:p>
    <w:p w:rsidR="00FE667F" w:rsidRPr="000D1E2B" w:rsidRDefault="00FE667F" w:rsidP="00401DFB">
      <w:pPr>
        <w:pStyle w:val="NormalBold"/>
        <w:spacing w:before="480"/>
      </w:pPr>
      <w:bookmarkStart w:id="7" w:name="TextBodyBegin"/>
      <w:bookmarkEnd w:id="7"/>
      <w:r w:rsidRPr="000D1E2B">
        <w:t>(Procedura legislativa ordinaria: prima lettura)</w:t>
      </w:r>
    </w:p>
    <w:p w:rsidR="00FE667F" w:rsidRPr="000D1E2B" w:rsidRDefault="00FE667F" w:rsidP="00FE667F">
      <w:pPr>
        <w:pStyle w:val="EPComma"/>
      </w:pPr>
      <w:r w:rsidRPr="000D1E2B">
        <w:rPr>
          <w:i/>
        </w:rPr>
        <w:t>Il Parlamento europeo</w:t>
      </w:r>
      <w:r w:rsidRPr="000D1E2B">
        <w:t>,</w:t>
      </w:r>
    </w:p>
    <w:p w:rsidR="00FE667F" w:rsidRPr="000D1E2B" w:rsidRDefault="00FE667F" w:rsidP="009D4CDB">
      <w:pPr>
        <w:pStyle w:val="NormalHanging12a"/>
      </w:pPr>
      <w:r w:rsidRPr="000D1E2B">
        <w:t>–</w:t>
      </w:r>
      <w:r w:rsidRPr="000D1E2B">
        <w:tab/>
        <w:t>vista la proposta della Commissione al Parlamento europeo e al Consiglio (</w:t>
      </w:r>
      <w:proofErr w:type="gramStart"/>
      <w:r w:rsidRPr="000D1E2B">
        <w:t>COM(</w:t>
      </w:r>
      <w:proofErr w:type="gramEnd"/>
      <w:r w:rsidRPr="00F87387">
        <w:t>2023</w:t>
      </w:r>
      <w:r w:rsidRPr="000D1E2B">
        <w:t>)</w:t>
      </w:r>
      <w:r w:rsidRPr="00F87387">
        <w:t>0395</w:t>
      </w:r>
      <w:r w:rsidRPr="000D1E2B">
        <w:t>),</w:t>
      </w:r>
    </w:p>
    <w:p w:rsidR="00FE667F" w:rsidRPr="000D1E2B" w:rsidRDefault="00FE667F" w:rsidP="009D4CDB">
      <w:pPr>
        <w:pStyle w:val="NormalHanging12a"/>
      </w:pPr>
      <w:r w:rsidRPr="000D1E2B">
        <w:t>–</w:t>
      </w:r>
      <w:r w:rsidRPr="000D1E2B">
        <w:tab/>
        <w:t xml:space="preserve">visti l'articolo </w:t>
      </w:r>
      <w:r w:rsidRPr="00F87387">
        <w:t>294</w:t>
      </w:r>
      <w:r w:rsidRPr="000D1E2B">
        <w:t xml:space="preserve">, paragrafo </w:t>
      </w:r>
      <w:r w:rsidRPr="00F87387">
        <w:t>2</w:t>
      </w:r>
      <w:r w:rsidRPr="000D1E2B">
        <w:t xml:space="preserve">, e l'articolo </w:t>
      </w:r>
      <w:r w:rsidRPr="00F87387">
        <w:t>192</w:t>
      </w:r>
      <w:r w:rsidRPr="000D1E2B">
        <w:t xml:space="preserve">, paragrafo </w:t>
      </w:r>
      <w:r w:rsidRPr="00F87387">
        <w:t>1</w:t>
      </w:r>
      <w:r w:rsidRPr="000D1E2B">
        <w:t>, del trattato sul funzionamento dell'Unione europea, a norma dei quali la proposta gli è stata presentata dalla Commissione (C</w:t>
      </w:r>
      <w:r w:rsidRPr="00F87387">
        <w:t>9</w:t>
      </w:r>
      <w:r w:rsidRPr="000D1E2B">
        <w:noBreakHyphen/>
      </w:r>
      <w:r w:rsidRPr="00F87387">
        <w:t>0309</w:t>
      </w:r>
      <w:r w:rsidRPr="000D1E2B">
        <w:t>/</w:t>
      </w:r>
      <w:r w:rsidRPr="00F87387">
        <w:t>2023</w:t>
      </w:r>
      <w:r w:rsidRPr="000D1E2B">
        <w:t>),</w:t>
      </w:r>
    </w:p>
    <w:p w:rsidR="00FE667F" w:rsidRPr="000D1E2B" w:rsidRDefault="00FE667F" w:rsidP="009D4CDB">
      <w:pPr>
        <w:pStyle w:val="NormalHanging12a"/>
      </w:pPr>
      <w:r w:rsidRPr="000D1E2B">
        <w:t>–</w:t>
      </w:r>
      <w:r w:rsidRPr="000D1E2B">
        <w:tab/>
        <w:t xml:space="preserve">visto l'articolo </w:t>
      </w:r>
      <w:r w:rsidRPr="00F87387">
        <w:t>294</w:t>
      </w:r>
      <w:r w:rsidRPr="000D1E2B">
        <w:t xml:space="preserve">, paragrafo </w:t>
      </w:r>
      <w:r w:rsidRPr="00F87387">
        <w:t>3</w:t>
      </w:r>
      <w:r w:rsidRPr="000D1E2B">
        <w:t>, del trattato sul funzionamento dell'Unione europea,</w:t>
      </w:r>
    </w:p>
    <w:p w:rsidR="00FE667F" w:rsidRPr="000D1E2B" w:rsidRDefault="00FE667F" w:rsidP="009D4CDB">
      <w:pPr>
        <w:pStyle w:val="NormalHanging12a"/>
        <w:rPr>
          <w:szCs w:val="24"/>
        </w:rPr>
      </w:pPr>
      <w:r w:rsidRPr="000D1E2B">
        <w:t>–</w:t>
      </w:r>
      <w:r w:rsidRPr="000D1E2B">
        <w:tab/>
        <w:t xml:space="preserve">visto il parere del Comitato economico e sociale europeo del </w:t>
      </w:r>
      <w:r w:rsidRPr="00F87387">
        <w:t>26</w:t>
      </w:r>
      <w:r w:rsidRPr="000D1E2B">
        <w:t xml:space="preserve"> ottobre </w:t>
      </w:r>
      <w:r w:rsidRPr="00F87387">
        <w:t>2023</w:t>
      </w:r>
      <w:r w:rsidRPr="000D1E2B">
        <w:rPr>
          <w:rStyle w:val="FootnoteReference"/>
          <w:szCs w:val="24"/>
        </w:rPr>
        <w:footnoteReference w:id="1"/>
      </w:r>
      <w:r w:rsidRPr="000D1E2B">
        <w:t>,</w:t>
      </w:r>
    </w:p>
    <w:p w:rsidR="00FE667F" w:rsidRPr="000D1E2B" w:rsidRDefault="00FE667F" w:rsidP="009D4CDB">
      <w:pPr>
        <w:pStyle w:val="NormalHanging12a"/>
      </w:pPr>
      <w:r w:rsidRPr="000D1E2B">
        <w:t>–</w:t>
      </w:r>
      <w:r w:rsidRPr="000D1E2B">
        <w:tab/>
        <w:t>previa consultazione del Comitato delle regioni,</w:t>
      </w:r>
    </w:p>
    <w:p w:rsidR="009D4CDB" w:rsidRPr="000D1E2B" w:rsidRDefault="009D4CDB" w:rsidP="00983B0A">
      <w:pPr>
        <w:pStyle w:val="Normal12Hanging"/>
        <w:ind w:left="567" w:hanging="567"/>
      </w:pPr>
      <w:r w:rsidRPr="000D1E2B">
        <w:t>–</w:t>
      </w:r>
      <w:r w:rsidRPr="000D1E2B">
        <w:tab/>
        <w:t xml:space="preserve">visti l'accordo provvisorio approvato dalla commissione competente a norma dell'articolo </w:t>
      </w:r>
      <w:r w:rsidRPr="00F87387">
        <w:t>74</w:t>
      </w:r>
      <w:r w:rsidRPr="000D1E2B">
        <w:t xml:space="preserve">, paragrafo </w:t>
      </w:r>
      <w:r w:rsidRPr="00F87387">
        <w:t>4</w:t>
      </w:r>
      <w:r w:rsidRPr="000D1E2B">
        <w:t xml:space="preserve">, del regolamento e l'impegno assunto dal rappresentante del Consiglio, con lettera del </w:t>
      </w:r>
      <w:r w:rsidRPr="00F87387">
        <w:t>21</w:t>
      </w:r>
      <w:r w:rsidRPr="000D1E2B">
        <w:t xml:space="preserve"> febbraio </w:t>
      </w:r>
      <w:r w:rsidRPr="00F87387">
        <w:t>2024</w:t>
      </w:r>
      <w:r w:rsidRPr="000D1E2B">
        <w:t xml:space="preserve">, di approvare la posizione del Parlamento europeo, in conformità dell'articolo </w:t>
      </w:r>
      <w:r w:rsidRPr="00F87387">
        <w:t>294</w:t>
      </w:r>
      <w:r w:rsidRPr="000D1E2B">
        <w:t xml:space="preserve">, paragrafo </w:t>
      </w:r>
      <w:r w:rsidRPr="00F87387">
        <w:t>4</w:t>
      </w:r>
      <w:r w:rsidRPr="000D1E2B">
        <w:t>, del trattato sul funzionamento dell'Unione europea,</w:t>
      </w:r>
    </w:p>
    <w:p w:rsidR="00FE667F" w:rsidRPr="000D1E2B" w:rsidRDefault="00FE667F" w:rsidP="009D4CDB">
      <w:pPr>
        <w:pStyle w:val="NormalHanging12a"/>
      </w:pPr>
      <w:r w:rsidRPr="000D1E2B">
        <w:t>–</w:t>
      </w:r>
      <w:r w:rsidRPr="000D1E2B">
        <w:tab/>
        <w:t xml:space="preserve">visto l'articolo </w:t>
      </w:r>
      <w:r w:rsidRPr="00F87387">
        <w:t>59</w:t>
      </w:r>
      <w:r w:rsidRPr="000D1E2B">
        <w:t xml:space="preserve"> del suo regolamento,</w:t>
      </w:r>
    </w:p>
    <w:p w:rsidR="00FE667F" w:rsidRPr="000D1E2B" w:rsidRDefault="00FE667F" w:rsidP="009D4CDB">
      <w:pPr>
        <w:pStyle w:val="NormalHanging12a"/>
      </w:pPr>
      <w:r w:rsidRPr="000D1E2B">
        <w:lastRenderedPageBreak/>
        <w:t>–</w:t>
      </w:r>
      <w:r w:rsidRPr="000D1E2B">
        <w:tab/>
        <w:t>vista la relazione della commissione per l'ambiente, la sanità pubblica e la sicurezza alimentare (A</w:t>
      </w:r>
      <w:r w:rsidRPr="00F87387">
        <w:t>9</w:t>
      </w:r>
      <w:r w:rsidRPr="000D1E2B">
        <w:t>-</w:t>
      </w:r>
      <w:r w:rsidRPr="00F87387">
        <w:t>0002</w:t>
      </w:r>
      <w:r w:rsidRPr="000D1E2B">
        <w:t>/</w:t>
      </w:r>
      <w:r w:rsidRPr="00F87387">
        <w:t>2024</w:t>
      </w:r>
      <w:r w:rsidRPr="000D1E2B">
        <w:t>),</w:t>
      </w:r>
    </w:p>
    <w:p w:rsidR="00FE667F" w:rsidRPr="000D1E2B" w:rsidRDefault="00FE667F" w:rsidP="009D4CDB">
      <w:pPr>
        <w:pStyle w:val="NormalHanging12a"/>
      </w:pPr>
      <w:r w:rsidRPr="00F87387">
        <w:t>1</w:t>
      </w:r>
      <w:r w:rsidRPr="000D1E2B">
        <w:t>.</w:t>
      </w:r>
      <w:r w:rsidRPr="000D1E2B">
        <w:tab/>
        <w:t>adotta la posizione in prima lettura figurante in appresso</w:t>
      </w:r>
      <w:r w:rsidR="009D4CDB" w:rsidRPr="000D1E2B">
        <w:rPr>
          <w:rStyle w:val="FootnoteReference"/>
        </w:rPr>
        <w:footnoteReference w:id="2"/>
      </w:r>
      <w:r w:rsidRPr="000D1E2B">
        <w:t>;</w:t>
      </w:r>
    </w:p>
    <w:p w:rsidR="00FE667F" w:rsidRPr="000D1E2B" w:rsidRDefault="00FE667F" w:rsidP="00FE667F">
      <w:pPr>
        <w:pStyle w:val="NormalHanging12a"/>
      </w:pPr>
      <w:r w:rsidRPr="00F87387">
        <w:t>2</w:t>
      </w:r>
      <w:r w:rsidRPr="000D1E2B">
        <w:t>.</w:t>
      </w:r>
      <w:r w:rsidRPr="000D1E2B">
        <w:tab/>
        <w:t>chiede alla Commissione di presentargli nuovamente la proposta qualora la sostituisca, la modifichi sostanzialmente o intenda modificarla sostanzialmente;</w:t>
      </w:r>
    </w:p>
    <w:p w:rsidR="009D4CDB" w:rsidRPr="000D1E2B" w:rsidRDefault="00FE667F" w:rsidP="009D4CDB">
      <w:pPr>
        <w:pStyle w:val="NormalHanging12a"/>
        <w:sectPr w:rsidR="009D4CDB" w:rsidRPr="000D1E2B" w:rsidSect="00B739F2">
          <w:footnotePr>
            <w:numRestart w:val="eachSect"/>
          </w:footnotePr>
          <w:endnotePr>
            <w:numFmt w:val="decimal"/>
          </w:endnotePr>
          <w:pgSz w:w="11906" w:h="16838" w:code="9"/>
          <w:pgMar w:top="1134" w:right="1418" w:bottom="1418" w:left="1418" w:header="1134" w:footer="567" w:gutter="0"/>
          <w:cols w:space="720"/>
          <w:noEndnote/>
          <w:docGrid w:linePitch="326"/>
        </w:sectPr>
      </w:pPr>
      <w:r w:rsidRPr="00F87387">
        <w:t>3</w:t>
      </w:r>
      <w:r w:rsidRPr="000D1E2B">
        <w:t>.</w:t>
      </w:r>
      <w:r w:rsidRPr="000D1E2B">
        <w:tab/>
        <w:t>incarica la sua Presidente di trasmettere la posizione del Parlamento al Consiglio e alla Commissione nonché ai parlamenti nazionali.</w:t>
      </w:r>
    </w:p>
    <w:p w:rsidR="009D4CDB" w:rsidRPr="000D1E2B" w:rsidRDefault="009D4CDB" w:rsidP="009D4CDB">
      <w:pPr>
        <w:spacing w:after="240"/>
        <w:rPr>
          <w:b/>
        </w:rPr>
      </w:pPr>
      <w:r w:rsidRPr="000D1E2B">
        <w:rPr>
          <w:b/>
        </w:rPr>
        <w:lastRenderedPageBreak/>
        <w:t>P</w:t>
      </w:r>
      <w:r w:rsidRPr="00F87387">
        <w:rPr>
          <w:b/>
        </w:rPr>
        <w:t>9</w:t>
      </w:r>
      <w:r w:rsidRPr="000D1E2B">
        <w:rPr>
          <w:b/>
        </w:rPr>
        <w:t>_TC</w:t>
      </w:r>
      <w:r w:rsidRPr="00F87387">
        <w:rPr>
          <w:b/>
        </w:rPr>
        <w:t>1</w:t>
      </w:r>
      <w:r w:rsidRPr="000D1E2B">
        <w:rPr>
          <w:b/>
        </w:rPr>
        <w:t>-</w:t>
      </w:r>
      <w:proofErr w:type="gramStart"/>
      <w:r w:rsidRPr="000D1E2B">
        <w:rPr>
          <w:b/>
        </w:rPr>
        <w:t>COD(</w:t>
      </w:r>
      <w:proofErr w:type="gramEnd"/>
      <w:r w:rsidRPr="00F87387">
        <w:rPr>
          <w:b/>
        </w:rPr>
        <w:t>2023</w:t>
      </w:r>
      <w:r w:rsidRPr="000D1E2B">
        <w:rPr>
          <w:b/>
        </w:rPr>
        <w:t>)</w:t>
      </w:r>
      <w:r w:rsidRPr="00F87387">
        <w:rPr>
          <w:b/>
        </w:rPr>
        <w:t>0272</w:t>
      </w:r>
    </w:p>
    <w:p w:rsidR="009D4CDB" w:rsidRDefault="009D4CDB" w:rsidP="009D4CDB">
      <w:pPr>
        <w:spacing w:before="120" w:after="360"/>
        <w:rPr>
          <w:rFonts w:eastAsia="Calibri"/>
          <w:b/>
          <w:szCs w:val="22"/>
          <w:lang w:eastAsia="en-US"/>
        </w:rPr>
      </w:pPr>
      <w:r w:rsidRPr="000D1E2B">
        <w:rPr>
          <w:b/>
        </w:rPr>
        <w:t xml:space="preserve">Posizione del Parlamento europeo definita in prima lettura il </w:t>
      </w:r>
      <w:r w:rsidRPr="00F87387">
        <w:rPr>
          <w:b/>
        </w:rPr>
        <w:t>10</w:t>
      </w:r>
      <w:r w:rsidRPr="000D1E2B">
        <w:rPr>
          <w:b/>
        </w:rPr>
        <w:t xml:space="preserve"> aprile </w:t>
      </w:r>
      <w:r w:rsidRPr="00F87387">
        <w:rPr>
          <w:b/>
        </w:rPr>
        <w:t>2024</w:t>
      </w:r>
      <w:r w:rsidRPr="000D1E2B">
        <w:rPr>
          <w:b/>
        </w:rPr>
        <w:t xml:space="preserve"> in vista dell'adozione del regolamento (UE) </w:t>
      </w:r>
      <w:r w:rsidRPr="00F87387">
        <w:rPr>
          <w:b/>
        </w:rPr>
        <w:t>2024</w:t>
      </w:r>
      <w:r w:rsidRPr="000D1E2B">
        <w:rPr>
          <w:b/>
        </w:rPr>
        <w:t xml:space="preserve">/... </w:t>
      </w:r>
      <w:bookmarkStart w:id="8" w:name="_GoBack"/>
      <w:r w:rsidRPr="000D1E2B">
        <w:rPr>
          <w:b/>
        </w:rPr>
        <w:t xml:space="preserve">del Parlamento europeo e del Consiglio </w:t>
      </w:r>
      <w:r w:rsidRPr="000D1E2B">
        <w:rPr>
          <w:rFonts w:eastAsia="Calibri"/>
          <w:b/>
          <w:szCs w:val="22"/>
          <w:lang w:eastAsia="en-US"/>
        </w:rPr>
        <w:t xml:space="preserve">che modifica il regolamento (UE) </w:t>
      </w:r>
      <w:r w:rsidRPr="00F87387">
        <w:rPr>
          <w:rFonts w:eastAsia="Calibri"/>
          <w:b/>
          <w:szCs w:val="22"/>
          <w:lang w:eastAsia="en-US"/>
        </w:rPr>
        <w:t>2017</w:t>
      </w:r>
      <w:r w:rsidRPr="000D1E2B">
        <w:rPr>
          <w:rFonts w:eastAsia="Calibri"/>
          <w:b/>
          <w:szCs w:val="22"/>
          <w:lang w:eastAsia="en-US"/>
        </w:rPr>
        <w:t>/</w:t>
      </w:r>
      <w:r w:rsidRPr="00F87387">
        <w:rPr>
          <w:rFonts w:eastAsia="Calibri"/>
          <w:b/>
          <w:szCs w:val="22"/>
          <w:lang w:eastAsia="en-US"/>
        </w:rPr>
        <w:t>852</w:t>
      </w:r>
      <w:r w:rsidRPr="000D1E2B">
        <w:rPr>
          <w:rFonts w:eastAsia="Calibri"/>
          <w:b/>
          <w:szCs w:val="22"/>
          <w:lang w:eastAsia="en-US"/>
        </w:rPr>
        <w:t>, sul mercurio per quanto riguarda l'amalgama dentale e altri prodotti con aggiunta di mercurio soggetti a divieti di esportazione importazione e fabbricazione</w:t>
      </w:r>
      <w:bookmarkEnd w:id="8"/>
    </w:p>
    <w:p w:rsidR="004A34B8" w:rsidRPr="004A34B8" w:rsidRDefault="004A34B8" w:rsidP="004A34B8">
      <w:r w:rsidRPr="00CD492A">
        <w:rPr>
          <w:i/>
        </w:rPr>
        <w:t>(Dato l'accordo tra il Parlamento e il Consiglio, la posizione del Parlamento corrisponde all'atto legislativo finale, il regolamento (UE) 20</w:t>
      </w:r>
      <w:r>
        <w:rPr>
          <w:i/>
        </w:rPr>
        <w:t>24</w:t>
      </w:r>
      <w:r w:rsidRPr="00CD492A">
        <w:rPr>
          <w:i/>
        </w:rPr>
        <w:t>/</w:t>
      </w:r>
      <w:r>
        <w:rPr>
          <w:i/>
        </w:rPr>
        <w:t>1849</w:t>
      </w:r>
      <w:r>
        <w:rPr>
          <w:i/>
        </w:rPr>
        <w:t>.</w:t>
      </w:r>
      <w:r w:rsidRPr="00CD492A">
        <w:rPr>
          <w:i/>
        </w:rPr>
        <w:t>)</w:t>
      </w:r>
    </w:p>
    <w:sectPr w:rsidR="004A34B8" w:rsidRPr="004A34B8" w:rsidSect="004A34B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CDC" w:rsidRPr="00B739F2" w:rsidRDefault="00272CDC">
      <w:r w:rsidRPr="00B739F2">
        <w:separator/>
      </w:r>
    </w:p>
  </w:endnote>
  <w:endnote w:type="continuationSeparator" w:id="0">
    <w:p w:rsidR="00272CDC" w:rsidRPr="00B739F2" w:rsidRDefault="00272CDC">
      <w:r w:rsidRPr="00B739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CDC" w:rsidRPr="00B739F2" w:rsidRDefault="00272CDC">
      <w:r w:rsidRPr="00B739F2">
        <w:separator/>
      </w:r>
    </w:p>
  </w:footnote>
  <w:footnote w:type="continuationSeparator" w:id="0">
    <w:p w:rsidR="00272CDC" w:rsidRPr="00B739F2" w:rsidRDefault="00272CDC">
      <w:r w:rsidRPr="00B739F2">
        <w:continuationSeparator/>
      </w:r>
    </w:p>
  </w:footnote>
  <w:footnote w:id="1">
    <w:p w:rsidR="00FE667F" w:rsidRPr="000D1E2B" w:rsidRDefault="00FE667F" w:rsidP="00B739F2">
      <w:pPr>
        <w:pStyle w:val="FootnoteText"/>
        <w:ind w:left="567" w:hanging="567"/>
        <w:rPr>
          <w:sz w:val="24"/>
          <w:lang w:val="fi-FI"/>
        </w:rPr>
      </w:pPr>
      <w:r w:rsidRPr="00B739F2">
        <w:rPr>
          <w:rStyle w:val="FootnoteReference"/>
          <w:sz w:val="24"/>
          <w:lang w:val="it-IT"/>
        </w:rPr>
        <w:footnoteRef/>
      </w:r>
      <w:r w:rsidR="00B739F2" w:rsidRPr="000D1E2B">
        <w:rPr>
          <w:sz w:val="24"/>
          <w:lang w:val="fi-FI"/>
        </w:rPr>
        <w:t xml:space="preserve"> </w:t>
      </w:r>
      <w:r w:rsidR="00B739F2" w:rsidRPr="000D1E2B">
        <w:rPr>
          <w:sz w:val="24"/>
          <w:lang w:val="fi-FI"/>
        </w:rPr>
        <w:tab/>
      </w:r>
      <w:r w:rsidR="009D4CDB" w:rsidRPr="000D1E2B">
        <w:rPr>
          <w:sz w:val="24"/>
          <w:szCs w:val="24"/>
          <w:lang w:val="fi-FI"/>
        </w:rPr>
        <w:t>GU C, C/</w:t>
      </w:r>
      <w:r w:rsidR="009D4CDB" w:rsidRPr="00F87387">
        <w:rPr>
          <w:sz w:val="24"/>
          <w:szCs w:val="24"/>
          <w:lang w:val="fi-FI"/>
        </w:rPr>
        <w:t>2024</w:t>
      </w:r>
      <w:r w:rsidR="009D4CDB" w:rsidRPr="000D1E2B">
        <w:rPr>
          <w:sz w:val="24"/>
          <w:szCs w:val="24"/>
          <w:lang w:val="fi-FI"/>
        </w:rPr>
        <w:t>/</w:t>
      </w:r>
      <w:r w:rsidR="009D4CDB" w:rsidRPr="00F87387">
        <w:rPr>
          <w:sz w:val="24"/>
          <w:szCs w:val="24"/>
          <w:lang w:val="fi-FI"/>
        </w:rPr>
        <w:t>894</w:t>
      </w:r>
      <w:r w:rsidR="009D4CDB" w:rsidRPr="000D1E2B">
        <w:rPr>
          <w:sz w:val="24"/>
          <w:szCs w:val="24"/>
          <w:lang w:val="fi-FI"/>
        </w:rPr>
        <w:t xml:space="preserve">, </w:t>
      </w:r>
      <w:r w:rsidR="009D4CDB" w:rsidRPr="00F87387">
        <w:rPr>
          <w:sz w:val="24"/>
          <w:szCs w:val="24"/>
          <w:lang w:val="fi-FI"/>
        </w:rPr>
        <w:t>6</w:t>
      </w:r>
      <w:r w:rsidR="009D4CDB" w:rsidRPr="000D1E2B">
        <w:rPr>
          <w:sz w:val="24"/>
          <w:szCs w:val="24"/>
          <w:lang w:val="fi-FI"/>
        </w:rPr>
        <w:t>.</w:t>
      </w:r>
      <w:r w:rsidR="009D4CDB" w:rsidRPr="00F87387">
        <w:rPr>
          <w:sz w:val="24"/>
          <w:szCs w:val="24"/>
          <w:lang w:val="fi-FI"/>
        </w:rPr>
        <w:t>2</w:t>
      </w:r>
      <w:r w:rsidR="009D4CDB" w:rsidRPr="000D1E2B">
        <w:rPr>
          <w:sz w:val="24"/>
          <w:szCs w:val="24"/>
          <w:lang w:val="fi-FI"/>
        </w:rPr>
        <w:t>.</w:t>
      </w:r>
      <w:r w:rsidR="009D4CDB" w:rsidRPr="00F87387">
        <w:rPr>
          <w:sz w:val="24"/>
          <w:szCs w:val="24"/>
          <w:lang w:val="fi-FI"/>
        </w:rPr>
        <w:t>2024</w:t>
      </w:r>
      <w:r w:rsidR="009D4CDB" w:rsidRPr="000D1E2B">
        <w:rPr>
          <w:sz w:val="24"/>
          <w:szCs w:val="24"/>
          <w:lang w:val="fi-FI"/>
        </w:rPr>
        <w:t>, ELI</w:t>
      </w:r>
      <w:r w:rsidR="000D1E2B" w:rsidRPr="000D1E2B">
        <w:rPr>
          <w:sz w:val="24"/>
          <w:szCs w:val="24"/>
          <w:lang w:val="fi-FI"/>
        </w:rPr>
        <w:t xml:space="preserve">: </w:t>
      </w:r>
      <w:hyperlink r:id="rId1" w:history="1">
        <w:r w:rsidR="000D1E2B" w:rsidRPr="000D1E2B">
          <w:rPr>
            <w:rStyle w:val="Hyperlink"/>
            <w:sz w:val="24"/>
            <w:szCs w:val="24"/>
            <w:lang w:val="fi-FI"/>
          </w:rPr>
          <w:t>http:/data.europa.eu/eli/C/</w:t>
        </w:r>
        <w:r w:rsidR="000D1E2B" w:rsidRPr="00F87387">
          <w:rPr>
            <w:rStyle w:val="Hyperlink"/>
            <w:sz w:val="24"/>
            <w:szCs w:val="24"/>
            <w:lang w:val="fi-FI"/>
          </w:rPr>
          <w:t>2024</w:t>
        </w:r>
        <w:r w:rsidR="000D1E2B" w:rsidRPr="000D1E2B">
          <w:rPr>
            <w:rStyle w:val="Hyperlink"/>
            <w:sz w:val="24"/>
            <w:szCs w:val="24"/>
            <w:lang w:val="fi-FI"/>
          </w:rPr>
          <w:t>/</w:t>
        </w:r>
        <w:r w:rsidR="000D1E2B" w:rsidRPr="00F87387">
          <w:rPr>
            <w:rStyle w:val="Hyperlink"/>
            <w:sz w:val="24"/>
            <w:szCs w:val="24"/>
            <w:lang w:val="fi-FI"/>
          </w:rPr>
          <w:t>894</w:t>
        </w:r>
        <w:r w:rsidR="000D1E2B" w:rsidRPr="000D1E2B">
          <w:rPr>
            <w:rStyle w:val="Hyperlink"/>
            <w:sz w:val="24"/>
            <w:szCs w:val="24"/>
            <w:lang w:val="fi-FI"/>
          </w:rPr>
          <w:t>/</w:t>
        </w:r>
        <w:proofErr w:type="spellStart"/>
        <w:r w:rsidR="000D1E2B" w:rsidRPr="000D1E2B">
          <w:rPr>
            <w:rStyle w:val="Hyperlink"/>
            <w:sz w:val="24"/>
            <w:szCs w:val="24"/>
            <w:lang w:val="fi-FI"/>
          </w:rPr>
          <w:t>oj</w:t>
        </w:r>
        <w:proofErr w:type="spellEnd"/>
      </w:hyperlink>
      <w:r w:rsidRPr="000D1E2B">
        <w:rPr>
          <w:sz w:val="24"/>
          <w:lang w:val="fi-FI"/>
        </w:rPr>
        <w:t>.</w:t>
      </w:r>
    </w:p>
  </w:footnote>
  <w:footnote w:id="2">
    <w:p w:rsidR="009D4CDB" w:rsidRPr="00983B0A" w:rsidRDefault="009D4CDB" w:rsidP="00983B0A">
      <w:pPr>
        <w:pStyle w:val="FootnoteText"/>
        <w:ind w:left="567" w:hanging="567"/>
        <w:rPr>
          <w:lang w:val="it-IT"/>
        </w:rPr>
      </w:pPr>
      <w:r>
        <w:rPr>
          <w:rStyle w:val="FootnoteReference"/>
        </w:rPr>
        <w:footnoteRef/>
      </w:r>
      <w:r w:rsidRPr="00983B0A">
        <w:rPr>
          <w:lang w:val="it-IT"/>
        </w:rPr>
        <w:t xml:space="preserve"> </w:t>
      </w:r>
      <w:r>
        <w:rPr>
          <w:lang w:val="it-IT"/>
        </w:rPr>
        <w:tab/>
      </w:r>
      <w:r w:rsidRPr="007E7EAD">
        <w:rPr>
          <w:sz w:val="24"/>
          <w:szCs w:val="24"/>
          <w:lang w:val="it-IT"/>
        </w:rPr>
        <w:t xml:space="preserve">La presente </w:t>
      </w:r>
      <w:r w:rsidRPr="009D4CDB">
        <w:rPr>
          <w:sz w:val="24"/>
          <w:szCs w:val="24"/>
          <w:lang w:val="it-IT"/>
        </w:rPr>
        <w:t xml:space="preserve">posizione </w:t>
      </w:r>
      <w:r w:rsidRPr="00983B0A">
        <w:rPr>
          <w:sz w:val="24"/>
          <w:szCs w:val="24"/>
          <w:lang w:val="it-IT"/>
        </w:rPr>
        <w:t>sostituisce</w:t>
      </w:r>
      <w:r w:rsidRPr="009D4CDB">
        <w:rPr>
          <w:sz w:val="24"/>
          <w:szCs w:val="24"/>
          <w:lang w:val="it-IT"/>
        </w:rPr>
        <w:t xml:space="preserve"> gli emendamenti approvati il </w:t>
      </w:r>
      <w:r w:rsidRPr="00F87387">
        <w:rPr>
          <w:sz w:val="24"/>
          <w:szCs w:val="24"/>
          <w:lang w:val="it-IT"/>
        </w:rPr>
        <w:t>17</w:t>
      </w:r>
      <w:r w:rsidRPr="009D4CDB">
        <w:rPr>
          <w:sz w:val="24"/>
          <w:szCs w:val="24"/>
          <w:lang w:val="it-IT"/>
        </w:rPr>
        <w:t xml:space="preserve"> gennaio </w:t>
      </w:r>
      <w:r w:rsidRPr="00F87387">
        <w:rPr>
          <w:sz w:val="24"/>
          <w:szCs w:val="24"/>
          <w:lang w:val="it-IT"/>
        </w:rPr>
        <w:t>2024</w:t>
      </w:r>
      <w:r w:rsidRPr="009D4CDB">
        <w:rPr>
          <w:sz w:val="28"/>
          <w:szCs w:val="24"/>
          <w:lang w:val="it-IT"/>
        </w:rPr>
        <w:t xml:space="preserve"> </w:t>
      </w:r>
      <w:r w:rsidRPr="009D4CDB">
        <w:rPr>
          <w:sz w:val="24"/>
          <w:szCs w:val="24"/>
          <w:lang w:val="it-IT"/>
        </w:rPr>
        <w:t>(Testi approvati, P</w:t>
      </w:r>
      <w:r w:rsidRPr="00F87387">
        <w:rPr>
          <w:sz w:val="24"/>
          <w:szCs w:val="24"/>
          <w:lang w:val="it-IT"/>
        </w:rPr>
        <w:t>9</w:t>
      </w:r>
      <w:r w:rsidRPr="009D4CDB">
        <w:rPr>
          <w:sz w:val="24"/>
          <w:szCs w:val="24"/>
          <w:lang w:val="it-IT"/>
        </w:rPr>
        <w:t>_</w:t>
      </w:r>
      <w:proofErr w:type="gramStart"/>
      <w:r w:rsidRPr="009D4CDB">
        <w:rPr>
          <w:sz w:val="24"/>
          <w:szCs w:val="24"/>
          <w:lang w:val="it-IT"/>
        </w:rPr>
        <w:t>TA(</w:t>
      </w:r>
      <w:proofErr w:type="gramEnd"/>
      <w:r w:rsidRPr="00F87387">
        <w:rPr>
          <w:sz w:val="24"/>
          <w:szCs w:val="24"/>
          <w:lang w:val="it-IT"/>
        </w:rPr>
        <w:t>2024</w:t>
      </w:r>
      <w:r w:rsidRPr="009D4CDB">
        <w:rPr>
          <w:sz w:val="24"/>
          <w:szCs w:val="24"/>
          <w:lang w:val="it-IT"/>
        </w:rPr>
        <w:t>)</w:t>
      </w:r>
      <w:r w:rsidRPr="00F87387">
        <w:rPr>
          <w:sz w:val="24"/>
          <w:szCs w:val="24"/>
          <w:lang w:val="it-IT"/>
        </w:rPr>
        <w:t>0019</w:t>
      </w:r>
      <w:r>
        <w:rPr>
          <w:sz w:val="24"/>
          <w:szCs w:val="24"/>
          <w:lang w:val="it-IT"/>
        </w:rPr>
        <w:t>)</w:t>
      </w:r>
      <w:r w:rsidRPr="007E7EAD">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IT"/>
    <w:docVar w:name="dvnumam" w:val="15"/>
    <w:docVar w:name="dvpe" w:val="753.554"/>
    <w:docVar w:name="dvrapporteur" w:val="Relatrice: "/>
    <w:docVar w:name="dvstar" w:val="***I"/>
    <w:docVar w:name="dvtitre" w:val="Risoluzione legislativa del Parlamento europeo del xx aprile 2024 sulla proposta di regolamento del Parlamento europeo e del Consiglio che modifica il regolamento (UE) 2017/852 del Parlamento europeo e del Consiglio, del 17 maggio 2017, sul mercurio per quanto riguarda l'amalgama dentale e altri prodotti con aggiunta di mercurio soggetti a divieti di fabbricazione, importazione ed esportazione(COM(2023)0395 – C9-0309/2023 – 2023/0272(COD))"/>
  </w:docVars>
  <w:rsids>
    <w:rsidRoot w:val="00272CDC"/>
    <w:rsid w:val="00002272"/>
    <w:rsid w:val="00064002"/>
    <w:rsid w:val="000677B9"/>
    <w:rsid w:val="000831BA"/>
    <w:rsid w:val="000A42CC"/>
    <w:rsid w:val="000D1E2B"/>
    <w:rsid w:val="000E7DD9"/>
    <w:rsid w:val="0010095E"/>
    <w:rsid w:val="00125B37"/>
    <w:rsid w:val="00187494"/>
    <w:rsid w:val="001F32AE"/>
    <w:rsid w:val="00272CDC"/>
    <w:rsid w:val="002767FF"/>
    <w:rsid w:val="002B18FE"/>
    <w:rsid w:val="002B5493"/>
    <w:rsid w:val="00343214"/>
    <w:rsid w:val="00361C00"/>
    <w:rsid w:val="00395FA1"/>
    <w:rsid w:val="003E15D4"/>
    <w:rsid w:val="00401DFB"/>
    <w:rsid w:val="00411CCE"/>
    <w:rsid w:val="0041666E"/>
    <w:rsid w:val="00421060"/>
    <w:rsid w:val="00471C19"/>
    <w:rsid w:val="004867E3"/>
    <w:rsid w:val="00494A28"/>
    <w:rsid w:val="004A34B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AED"/>
    <w:rsid w:val="00930C23"/>
    <w:rsid w:val="0093193B"/>
    <w:rsid w:val="009509D8"/>
    <w:rsid w:val="00950B64"/>
    <w:rsid w:val="00981893"/>
    <w:rsid w:val="00983B0A"/>
    <w:rsid w:val="009D4CDB"/>
    <w:rsid w:val="00A1687D"/>
    <w:rsid w:val="00A43E52"/>
    <w:rsid w:val="00A4678D"/>
    <w:rsid w:val="00A778C7"/>
    <w:rsid w:val="00A922A5"/>
    <w:rsid w:val="00AB441E"/>
    <w:rsid w:val="00AB6293"/>
    <w:rsid w:val="00AE0928"/>
    <w:rsid w:val="00AF3B82"/>
    <w:rsid w:val="00B12E95"/>
    <w:rsid w:val="00B22876"/>
    <w:rsid w:val="00B558F0"/>
    <w:rsid w:val="00B739F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387"/>
    <w:rsid w:val="00F87713"/>
    <w:rsid w:val="00FB4360"/>
    <w:rsid w:val="00FD0C70"/>
    <w:rsid w:val="00FE66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B61DB"/>
  <w15:chartTrackingRefBased/>
  <w15:docId w15:val="{A8EF575F-EA7B-49DC-AA1E-8B88BDD59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667F"/>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FE667F"/>
    <w:pPr>
      <w:spacing w:after="120"/>
    </w:pPr>
  </w:style>
  <w:style w:type="paragraph" w:customStyle="1" w:styleId="PageHeading">
    <w:name w:val="PageHeading"/>
    <w:basedOn w:val="Normal"/>
    <w:rsid w:val="00FE667F"/>
    <w:pPr>
      <w:keepNext/>
      <w:spacing w:after="480"/>
      <w:jc w:val="center"/>
    </w:pPr>
    <w:rPr>
      <w:rFonts w:ascii="Arial" w:hAnsi="Arial" w:cs="Arial"/>
      <w:b/>
    </w:rPr>
  </w:style>
  <w:style w:type="paragraph" w:customStyle="1" w:styleId="NormalBold">
    <w:name w:val="NormalBold"/>
    <w:basedOn w:val="Normal"/>
    <w:link w:val="NormalBoldChar"/>
    <w:rsid w:val="00FE667F"/>
    <w:rPr>
      <w:b/>
    </w:rPr>
  </w:style>
  <w:style w:type="paragraph" w:customStyle="1" w:styleId="NormalHanging12a">
    <w:name w:val="NormalHanging12a"/>
    <w:basedOn w:val="Normal"/>
    <w:rsid w:val="00FE667F"/>
    <w:pPr>
      <w:spacing w:after="240"/>
      <w:ind w:left="567" w:hanging="567"/>
    </w:pPr>
  </w:style>
  <w:style w:type="paragraph" w:styleId="Header">
    <w:name w:val="header"/>
    <w:basedOn w:val="Normal"/>
    <w:link w:val="HeaderChar"/>
    <w:rsid w:val="00FE667F"/>
    <w:pPr>
      <w:tabs>
        <w:tab w:val="center" w:pos="4513"/>
        <w:tab w:val="right" w:pos="9026"/>
      </w:tabs>
    </w:pPr>
  </w:style>
  <w:style w:type="character" w:customStyle="1" w:styleId="HeaderChar">
    <w:name w:val="Header Char"/>
    <w:basedOn w:val="DefaultParagraphFont"/>
    <w:link w:val="Header"/>
    <w:rsid w:val="00FE667F"/>
    <w:rPr>
      <w:sz w:val="24"/>
      <w:lang w:val="it-IT"/>
    </w:rPr>
  </w:style>
  <w:style w:type="paragraph" w:customStyle="1" w:styleId="AmColumnHeading">
    <w:name w:val="AmColumnHeading"/>
    <w:basedOn w:val="Normal"/>
    <w:rsid w:val="00FE667F"/>
    <w:pPr>
      <w:spacing w:after="240"/>
      <w:jc w:val="center"/>
    </w:pPr>
    <w:rPr>
      <w:i/>
    </w:rPr>
  </w:style>
  <w:style w:type="paragraph" w:customStyle="1" w:styleId="AmNumberTabs">
    <w:name w:val="AmNumberTabs"/>
    <w:basedOn w:val="Normal"/>
    <w:link w:val="AmNumberTabsChar"/>
    <w:rsid w:val="00FE66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667F"/>
    <w:pPr>
      <w:spacing w:before="240"/>
    </w:pPr>
    <w:rPr>
      <w:b/>
    </w:rPr>
  </w:style>
  <w:style w:type="paragraph" w:customStyle="1" w:styleId="EPFooter">
    <w:name w:val="EPFooter"/>
    <w:basedOn w:val="Normal"/>
    <w:rsid w:val="00FE667F"/>
    <w:pPr>
      <w:tabs>
        <w:tab w:val="center" w:pos="4535"/>
        <w:tab w:val="right" w:pos="9071"/>
      </w:tabs>
      <w:spacing w:before="240" w:after="240"/>
    </w:pPr>
    <w:rPr>
      <w:color w:val="010000"/>
      <w:sz w:val="22"/>
    </w:rPr>
  </w:style>
  <w:style w:type="paragraph" w:customStyle="1" w:styleId="EPComma">
    <w:name w:val="EPComma"/>
    <w:basedOn w:val="Normal"/>
    <w:rsid w:val="00FE667F"/>
    <w:pPr>
      <w:spacing w:before="480" w:after="240"/>
    </w:pPr>
  </w:style>
  <w:style w:type="character" w:customStyle="1" w:styleId="NormalBoldChar">
    <w:name w:val="NormalBold Char"/>
    <w:basedOn w:val="DefaultParagraphFont"/>
    <w:link w:val="NormalBold"/>
    <w:locked/>
    <w:rsid w:val="00FE667F"/>
    <w:rPr>
      <w:b/>
      <w:sz w:val="24"/>
      <w:lang w:val="it-IT"/>
    </w:rPr>
  </w:style>
  <w:style w:type="character" w:customStyle="1" w:styleId="Normal6Char">
    <w:name w:val="Normal6 Char"/>
    <w:basedOn w:val="DefaultParagraphFont"/>
    <w:link w:val="Normal6"/>
    <w:locked/>
    <w:rsid w:val="00FE667F"/>
    <w:rPr>
      <w:sz w:val="24"/>
      <w:lang w:val="it-IT"/>
    </w:rPr>
  </w:style>
  <w:style w:type="paragraph" w:customStyle="1" w:styleId="Normal6">
    <w:name w:val="Normal6"/>
    <w:basedOn w:val="Normal"/>
    <w:link w:val="Normal6Char"/>
    <w:rsid w:val="00FE667F"/>
    <w:pPr>
      <w:spacing w:after="120"/>
    </w:pPr>
  </w:style>
  <w:style w:type="paragraph" w:customStyle="1" w:styleId="ColumnHeading">
    <w:name w:val="ColumnHeading"/>
    <w:basedOn w:val="Normal"/>
    <w:rsid w:val="00FE667F"/>
    <w:pPr>
      <w:spacing w:after="240"/>
      <w:jc w:val="center"/>
    </w:pPr>
    <w:rPr>
      <w:i/>
    </w:rPr>
  </w:style>
  <w:style w:type="paragraph" w:customStyle="1" w:styleId="Normal24a">
    <w:name w:val="Normal24a"/>
    <w:basedOn w:val="Normal"/>
    <w:rsid w:val="00FE667F"/>
    <w:pPr>
      <w:spacing w:after="480"/>
    </w:pPr>
  </w:style>
  <w:style w:type="paragraph" w:customStyle="1" w:styleId="NormalBoldCenter">
    <w:name w:val="NormalBoldCenter"/>
    <w:basedOn w:val="Normal"/>
    <w:rsid w:val="00FE667F"/>
    <w:pPr>
      <w:jc w:val="center"/>
    </w:pPr>
    <w:rPr>
      <w:b/>
    </w:rPr>
  </w:style>
  <w:style w:type="character" w:customStyle="1" w:styleId="AmNumberTabsChar">
    <w:name w:val="AmNumberTabs Char"/>
    <w:basedOn w:val="DefaultParagraphFont"/>
    <w:link w:val="AmNumberTabs"/>
    <w:rsid w:val="00FE667F"/>
    <w:rPr>
      <w:b/>
      <w:sz w:val="24"/>
      <w:lang w:val="it-IT"/>
    </w:rPr>
  </w:style>
  <w:style w:type="character" w:customStyle="1" w:styleId="NormalBold12bChar">
    <w:name w:val="NormalBold12b Char"/>
    <w:basedOn w:val="AmNumberTabsChar"/>
    <w:link w:val="NormalBold12b"/>
    <w:rsid w:val="00FE667F"/>
    <w:rPr>
      <w:b/>
      <w:sz w:val="24"/>
      <w:lang w:val="it-IT"/>
    </w:rPr>
  </w:style>
  <w:style w:type="paragraph" w:customStyle="1" w:styleId="CrossRef">
    <w:name w:val="CrossRef"/>
    <w:basedOn w:val="Normal"/>
    <w:rsid w:val="00FE667F"/>
    <w:pPr>
      <w:spacing w:before="240"/>
      <w:jc w:val="center"/>
    </w:pPr>
    <w:rPr>
      <w:i/>
    </w:rPr>
  </w:style>
  <w:style w:type="paragraph" w:customStyle="1" w:styleId="RollCallVotes">
    <w:name w:val="RollCallVotes"/>
    <w:basedOn w:val="Normal"/>
    <w:rsid w:val="00FE667F"/>
    <w:pPr>
      <w:spacing w:before="120" w:after="120"/>
      <w:jc w:val="center"/>
    </w:pPr>
    <w:rPr>
      <w:b/>
      <w:bCs/>
      <w:snapToGrid w:val="0"/>
      <w:sz w:val="16"/>
      <w:lang w:eastAsia="en-US"/>
    </w:rPr>
  </w:style>
  <w:style w:type="paragraph" w:customStyle="1" w:styleId="RollCallTabs">
    <w:name w:val="RollCallTabs"/>
    <w:basedOn w:val="Normal"/>
    <w:qFormat/>
    <w:rsid w:val="00FE667F"/>
    <w:pPr>
      <w:tabs>
        <w:tab w:val="center" w:pos="284"/>
        <w:tab w:val="left" w:pos="426"/>
      </w:tabs>
    </w:pPr>
    <w:rPr>
      <w:snapToGrid w:val="0"/>
      <w:lang w:eastAsia="en-US"/>
    </w:rPr>
  </w:style>
  <w:style w:type="paragraph" w:customStyle="1" w:styleId="RollCallSymbols14pt">
    <w:name w:val="RollCallSymbols14pt"/>
    <w:basedOn w:val="Normal"/>
    <w:rsid w:val="00FE667F"/>
    <w:pPr>
      <w:spacing w:before="120" w:after="120"/>
      <w:jc w:val="center"/>
    </w:pPr>
    <w:rPr>
      <w:rFonts w:ascii="Arial" w:hAnsi="Arial"/>
      <w:b/>
      <w:bCs/>
      <w:snapToGrid w:val="0"/>
      <w:sz w:val="28"/>
      <w:lang w:eastAsia="en-US"/>
    </w:rPr>
  </w:style>
  <w:style w:type="paragraph" w:customStyle="1" w:styleId="RollCallTable">
    <w:name w:val="RollCallTable"/>
    <w:basedOn w:val="Normal"/>
    <w:rsid w:val="00FE667F"/>
    <w:pPr>
      <w:spacing w:before="120" w:after="120"/>
    </w:pPr>
    <w:rPr>
      <w:snapToGrid w:val="0"/>
      <w:sz w:val="16"/>
      <w:lang w:eastAsia="en-US"/>
    </w:rPr>
  </w:style>
  <w:style w:type="paragraph" w:customStyle="1" w:styleId="Normal12Hanging">
    <w:name w:val="Normal12Hanging"/>
    <w:basedOn w:val="Normal"/>
    <w:link w:val="CharChar1"/>
    <w:rsid w:val="009D4CDB"/>
    <w:pPr>
      <w:spacing w:after="240"/>
      <w:ind w:left="357" w:hanging="357"/>
    </w:pPr>
    <w:rPr>
      <w:snapToGrid w:val="0"/>
    </w:rPr>
  </w:style>
  <w:style w:type="character" w:customStyle="1" w:styleId="CharChar1">
    <w:name w:val="Char Char1"/>
    <w:link w:val="Normal12Hanging"/>
    <w:locked/>
    <w:rsid w:val="009D4CDB"/>
    <w:rPr>
      <w:snapToGrid w:val="0"/>
      <w:sz w:val="24"/>
      <w:lang w:val="it-IT"/>
    </w:rPr>
  </w:style>
  <w:style w:type="paragraph" w:styleId="BalloonText">
    <w:name w:val="Balloon Text"/>
    <w:basedOn w:val="Normal"/>
    <w:link w:val="BalloonTextChar"/>
    <w:rsid w:val="009D4CDB"/>
    <w:rPr>
      <w:rFonts w:ascii="Segoe UI" w:hAnsi="Segoe UI" w:cs="Segoe UI"/>
      <w:sz w:val="18"/>
      <w:szCs w:val="18"/>
    </w:rPr>
  </w:style>
  <w:style w:type="character" w:customStyle="1" w:styleId="BalloonTextChar">
    <w:name w:val="Balloon Text Char"/>
    <w:basedOn w:val="DefaultParagraphFont"/>
    <w:link w:val="BalloonText"/>
    <w:rsid w:val="009D4CDB"/>
    <w:rPr>
      <w:rFonts w:ascii="Segoe UI" w:hAnsi="Segoe UI" w:cs="Segoe UI"/>
      <w:sz w:val="18"/>
      <w:szCs w:val="1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9D4CDB"/>
    <w:rPr>
      <w:sz w:val="22"/>
      <w:lang w:val="fr-FR" w:eastAsia="en-GB" w:bidi="ar-SA"/>
    </w:rPr>
  </w:style>
  <w:style w:type="paragraph" w:styleId="Footer">
    <w:name w:val="footer"/>
    <w:basedOn w:val="Normal"/>
    <w:link w:val="FooterChar"/>
    <w:rsid w:val="009D4CDB"/>
    <w:pPr>
      <w:tabs>
        <w:tab w:val="center" w:pos="4513"/>
        <w:tab w:val="right" w:pos="9026"/>
      </w:tabs>
    </w:pPr>
  </w:style>
  <w:style w:type="character" w:customStyle="1" w:styleId="FooterChar">
    <w:name w:val="Footer Char"/>
    <w:basedOn w:val="DefaultParagraphFont"/>
    <w:link w:val="Footer"/>
    <w:rsid w:val="009D4CDB"/>
    <w:rPr>
      <w:sz w:val="24"/>
      <w:lang w:val="it-IT"/>
    </w:rPr>
  </w:style>
  <w:style w:type="character" w:customStyle="1" w:styleId="Hyperlink1">
    <w:name w:val="Hyperlink1"/>
    <w:basedOn w:val="DefaultParagraphFont"/>
    <w:uiPriority w:val="99"/>
    <w:unhideWhenUsed/>
    <w:rsid w:val="009D4CDB"/>
    <w:rPr>
      <w:color w:val="0000FF"/>
      <w:u w:val="single"/>
    </w:rPr>
  </w:style>
  <w:style w:type="character" w:styleId="Hyperlink">
    <w:name w:val="Hyperlink"/>
    <w:basedOn w:val="DefaultParagraphFont"/>
    <w:rsid w:val="000D1E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F5017-9532-45AB-8576-77D71C4E3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ARossi-RELEC</cp:lastModifiedBy>
  <cp:revision>2</cp:revision>
  <cp:lastPrinted>2004-11-19T15:42:00Z</cp:lastPrinted>
  <dcterms:created xsi:type="dcterms:W3CDTF">2024-07-30T16:02:00Z</dcterms:created>
  <dcterms:modified xsi:type="dcterms:W3CDTF">2024-07-30T16:02:00Z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P9_TA(2024)0191_</vt:lpwstr>
  </property>
  <property fmtid="{D5CDD505-2E9C-101B-9397-08002B2CF9AE}" pid="4" name="&lt;Type&gt;">
    <vt:lpwstr>RR</vt:lpwstr>
  </property>
</Properties>
</file>