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4165" w:rsidTr="0010095E">
        <w:trPr>
          <w:trHeight w:hRule="exact" w:val="1418"/>
        </w:trPr>
        <w:tc>
          <w:tcPr>
            <w:tcW w:w="6804" w:type="dxa"/>
            <w:shd w:val="clear" w:color="auto" w:fill="auto"/>
            <w:vAlign w:val="center"/>
          </w:tcPr>
          <w:p w:rsidR="00751A4A" w:rsidRPr="004C4165" w:rsidRDefault="00082620" w:rsidP="0010095E">
            <w:pPr>
              <w:pStyle w:val="EPName"/>
            </w:pPr>
            <w:r w:rsidRPr="004C4165">
              <w:t>Eiropas Parlaments</w:t>
            </w:r>
          </w:p>
          <w:p w:rsidR="00751A4A" w:rsidRPr="004C4165" w:rsidRDefault="00817416" w:rsidP="00756632">
            <w:pPr>
              <w:pStyle w:val="EPTerm"/>
              <w:rPr>
                <w:rStyle w:val="HideTWBExt"/>
                <w:noProof w:val="0"/>
                <w:vanish w:val="0"/>
                <w:color w:val="auto"/>
              </w:rPr>
            </w:pPr>
            <w:r w:rsidRPr="00D63802">
              <w:t>2019</w:t>
            </w:r>
            <w:r w:rsidRPr="004C4165">
              <w:t>-</w:t>
            </w:r>
            <w:r w:rsidRPr="00D63802">
              <w:t>2024</w:t>
            </w:r>
          </w:p>
        </w:tc>
        <w:tc>
          <w:tcPr>
            <w:tcW w:w="2268" w:type="dxa"/>
            <w:shd w:val="clear" w:color="auto" w:fill="auto"/>
          </w:tcPr>
          <w:p w:rsidR="00751A4A" w:rsidRPr="004C4165" w:rsidRDefault="00187494" w:rsidP="0010095E">
            <w:pPr>
              <w:pStyle w:val="EPLogo"/>
            </w:pPr>
            <w:r w:rsidRPr="004C41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4165" w:rsidRDefault="00D058B8" w:rsidP="004C5D52">
      <w:pPr>
        <w:pStyle w:val="LineTop"/>
      </w:pPr>
    </w:p>
    <w:p w:rsidR="00680577" w:rsidRPr="004C4165" w:rsidRDefault="00082620" w:rsidP="00680577">
      <w:pPr>
        <w:pStyle w:val="EPBodyTA1"/>
      </w:pPr>
      <w:r w:rsidRPr="004C4165">
        <w:t>PIEŅEMTIE TEKSTI</w:t>
      </w:r>
    </w:p>
    <w:p w:rsidR="00D058B8" w:rsidRPr="004C4165" w:rsidRDefault="00D058B8" w:rsidP="00D058B8">
      <w:pPr>
        <w:pStyle w:val="LineBottom"/>
      </w:pPr>
    </w:p>
    <w:p w:rsidR="00082620" w:rsidRPr="004C4165" w:rsidRDefault="00082620" w:rsidP="00082620">
      <w:pPr>
        <w:pStyle w:val="ATHeading1"/>
      </w:pPr>
      <w:bookmarkStart w:id="0" w:name="TANumber"/>
      <w:r w:rsidRPr="004C4165">
        <w:t>P</w:t>
      </w:r>
      <w:r w:rsidRPr="00D63802">
        <w:t>9</w:t>
      </w:r>
      <w:r w:rsidRPr="004C4165">
        <w:t>_TA(</w:t>
      </w:r>
      <w:r w:rsidRPr="00D63802">
        <w:t>2024</w:t>
      </w:r>
      <w:r w:rsidRPr="004C4165">
        <w:t>)</w:t>
      </w:r>
      <w:r w:rsidRPr="00D63802">
        <w:t>0</w:t>
      </w:r>
      <w:r w:rsidR="009249F9" w:rsidRPr="00D63802">
        <w:t>191</w:t>
      </w:r>
      <w:bookmarkEnd w:id="0"/>
    </w:p>
    <w:p w:rsidR="00082620" w:rsidRPr="004C4165" w:rsidRDefault="003D3C9C" w:rsidP="003D3C9C">
      <w:pPr>
        <w:pStyle w:val="ATHeading2"/>
      </w:pPr>
      <w:bookmarkStart w:id="1" w:name="title"/>
      <w:r w:rsidRPr="004C4165">
        <w:t xml:space="preserve">Dzīvsudrabs: zobārstniecības </w:t>
      </w:r>
      <w:proofErr w:type="spellStart"/>
      <w:r w:rsidRPr="004C4165">
        <w:t>amalgams</w:t>
      </w:r>
      <w:proofErr w:type="spellEnd"/>
      <w:r w:rsidRPr="004C4165">
        <w:t xml:space="preserve"> un citi dzīvsudrabu saturoši produkti, kuriem piemēro ražošanas, importa un eksporta ierobežojumus</w:t>
      </w:r>
      <w:bookmarkEnd w:id="1"/>
    </w:p>
    <w:p w:rsidR="00082620" w:rsidRPr="004C4165" w:rsidRDefault="00082620" w:rsidP="00082620">
      <w:pPr>
        <w:rPr>
          <w:i/>
          <w:vanish/>
        </w:rPr>
      </w:pPr>
      <w:r w:rsidRPr="004C4165">
        <w:rPr>
          <w:i/>
        </w:rPr>
        <w:fldChar w:fldCharType="begin"/>
      </w:r>
      <w:r w:rsidRPr="004C4165">
        <w:rPr>
          <w:i/>
        </w:rPr>
        <w:instrText xml:space="preserve"> TC"(</w:instrText>
      </w:r>
      <w:bookmarkStart w:id="2" w:name="DocNumber"/>
      <w:r w:rsidRPr="004C4165">
        <w:rPr>
          <w:i/>
        </w:rPr>
        <w:instrText>A</w:instrText>
      </w:r>
      <w:r w:rsidRPr="00D63802">
        <w:rPr>
          <w:i/>
        </w:rPr>
        <w:instrText>9</w:instrText>
      </w:r>
      <w:r w:rsidRPr="004C4165">
        <w:rPr>
          <w:i/>
        </w:rPr>
        <w:instrText>-</w:instrText>
      </w:r>
      <w:r w:rsidRPr="00D63802">
        <w:rPr>
          <w:i/>
        </w:rPr>
        <w:instrText>0002</w:instrText>
      </w:r>
      <w:r w:rsidRPr="004C4165">
        <w:rPr>
          <w:i/>
        </w:rPr>
        <w:instrText>/</w:instrText>
      </w:r>
      <w:r w:rsidRPr="00D63802">
        <w:rPr>
          <w:i/>
        </w:rPr>
        <w:instrText>2024</w:instrText>
      </w:r>
      <w:bookmarkEnd w:id="2"/>
      <w:r w:rsidRPr="004C4165">
        <w:rPr>
          <w:i/>
        </w:rPr>
        <w:instrText xml:space="preserve"> - Referente: Marlene Mortler)"\l</w:instrText>
      </w:r>
      <w:r w:rsidRPr="00D63802">
        <w:rPr>
          <w:i/>
        </w:rPr>
        <w:instrText>3</w:instrText>
      </w:r>
      <w:r w:rsidRPr="004C4165">
        <w:rPr>
          <w:i/>
        </w:rPr>
        <w:instrText xml:space="preserve"> \n&gt; \* MERGEFORMAT </w:instrText>
      </w:r>
      <w:r w:rsidRPr="004C4165">
        <w:rPr>
          <w:i/>
        </w:rPr>
        <w:fldChar w:fldCharType="end"/>
      </w:r>
    </w:p>
    <w:p w:rsidR="00082620" w:rsidRPr="004C4165" w:rsidRDefault="00082620" w:rsidP="00082620">
      <w:pPr>
        <w:rPr>
          <w:vanish/>
        </w:rPr>
      </w:pPr>
      <w:bookmarkStart w:id="3" w:name="Commission"/>
      <w:r w:rsidRPr="004C4165">
        <w:rPr>
          <w:vanish/>
        </w:rPr>
        <w:t>Vides, sabiedrības veselības un pārtikas nekaitīguma komiteja</w:t>
      </w:r>
      <w:bookmarkEnd w:id="3"/>
    </w:p>
    <w:p w:rsidR="00082620" w:rsidRPr="004C4165" w:rsidRDefault="00082620" w:rsidP="00082620">
      <w:pPr>
        <w:rPr>
          <w:vanish/>
        </w:rPr>
      </w:pPr>
      <w:bookmarkStart w:id="4" w:name="PE"/>
      <w:r w:rsidRPr="004C4165">
        <w:rPr>
          <w:vanish/>
        </w:rPr>
        <w:t>PE</w:t>
      </w:r>
      <w:r w:rsidRPr="00D63802">
        <w:rPr>
          <w:vanish/>
        </w:rPr>
        <w:t>753</w:t>
      </w:r>
      <w:r w:rsidRPr="004C4165">
        <w:rPr>
          <w:vanish/>
        </w:rPr>
        <w:t>.</w:t>
      </w:r>
      <w:r w:rsidRPr="00D63802">
        <w:rPr>
          <w:vanish/>
        </w:rPr>
        <w:t>554</w:t>
      </w:r>
      <w:bookmarkEnd w:id="4"/>
    </w:p>
    <w:p w:rsidR="00163DBE" w:rsidRPr="004C4165" w:rsidRDefault="00082620" w:rsidP="00057EB2">
      <w:pPr>
        <w:pStyle w:val="ATHeading3"/>
      </w:pPr>
      <w:bookmarkStart w:id="5" w:name="Sujet"/>
      <w:r w:rsidRPr="004C4165">
        <w:t xml:space="preserve">Eiropas Parlamenta </w:t>
      </w:r>
      <w:r w:rsidRPr="00D63802">
        <w:t>2024</w:t>
      </w:r>
      <w:r w:rsidRPr="004C4165">
        <w:t xml:space="preserve">. gada </w:t>
      </w:r>
      <w:r w:rsidR="00B92C34" w:rsidRPr="00D63802">
        <w:t>10</w:t>
      </w:r>
      <w:r w:rsidR="00B92C34" w:rsidRPr="004C4165">
        <w:t>. aprīļa</w:t>
      </w:r>
      <w:r w:rsidRPr="004C4165">
        <w:t xml:space="preserve"> normatīvā rezolūcija par priekšlikumu Eiropas Parlamenta un Padomes regulai, </w:t>
      </w:r>
      <w:bookmarkEnd w:id="5"/>
      <w:r w:rsidR="00057EB2" w:rsidRPr="00BF538D">
        <w:rPr>
          <w:noProof/>
        </w:rPr>
        <w:t>ar ko attiecībā uz zobārstniecības amalgamu un citiem dzīvsudrabu saturošiem produktiem, kuriem piemēro ražošanas, importa un eksporta ierobežojumus, groza Eiropas Parlamenta un Padomes 2017. gada 17. maija Regulu (ES) 2017/852 par dzīvsudrabu</w:t>
      </w:r>
      <w:r w:rsidRPr="004C4165">
        <w:t xml:space="preserve"> </w:t>
      </w:r>
      <w:bookmarkStart w:id="6" w:name="References"/>
      <w:r w:rsidRPr="004C4165">
        <w:t>(COM(</w:t>
      </w:r>
      <w:r w:rsidRPr="00D63802">
        <w:t>2023</w:t>
      </w:r>
      <w:r w:rsidRPr="004C4165">
        <w:t>)</w:t>
      </w:r>
      <w:r w:rsidRPr="00D63802">
        <w:t>0395</w:t>
      </w:r>
      <w:r w:rsidRPr="004C4165">
        <w:t xml:space="preserve"> – C</w:t>
      </w:r>
      <w:r w:rsidRPr="00D63802">
        <w:t>9</w:t>
      </w:r>
      <w:r w:rsidRPr="004C4165">
        <w:t>-</w:t>
      </w:r>
      <w:r w:rsidRPr="00D63802">
        <w:t>0309</w:t>
      </w:r>
      <w:r w:rsidRPr="004C4165">
        <w:t>/</w:t>
      </w:r>
      <w:r w:rsidRPr="00D63802">
        <w:t>2023</w:t>
      </w:r>
      <w:r w:rsidRPr="004C4165">
        <w:t xml:space="preserve"> – </w:t>
      </w:r>
      <w:r w:rsidRPr="00D63802">
        <w:t>2023</w:t>
      </w:r>
      <w:r w:rsidRPr="004C4165">
        <w:t>/</w:t>
      </w:r>
      <w:r w:rsidRPr="00D63802">
        <w:t>0272</w:t>
      </w:r>
      <w:r w:rsidRPr="004C4165">
        <w:t>(COD))</w:t>
      </w:r>
      <w:bookmarkStart w:id="7" w:name="TextBodyBegin"/>
      <w:bookmarkEnd w:id="6"/>
      <w:bookmarkEnd w:id="7"/>
    </w:p>
    <w:p w:rsidR="00163DBE" w:rsidRPr="004C4165" w:rsidRDefault="00163DBE" w:rsidP="00163DBE">
      <w:pPr>
        <w:pStyle w:val="NormalBold"/>
      </w:pPr>
      <w:r w:rsidRPr="004C4165">
        <w:t>(Parastā likumdošanas procedūra: pirmais lasījums)</w:t>
      </w:r>
    </w:p>
    <w:p w:rsidR="00163DBE" w:rsidRPr="004C4165" w:rsidRDefault="00163DBE" w:rsidP="00B92C34">
      <w:pPr>
        <w:pStyle w:val="EPComma"/>
      </w:pPr>
      <w:r w:rsidRPr="004C4165">
        <w:rPr>
          <w:i/>
        </w:rPr>
        <w:t>Eiropas Parlaments</w:t>
      </w:r>
      <w:r w:rsidRPr="004C4165">
        <w:t>,</w:t>
      </w:r>
    </w:p>
    <w:p w:rsidR="00163DBE" w:rsidRPr="004C4165" w:rsidRDefault="00163DBE" w:rsidP="009249F9">
      <w:pPr>
        <w:pStyle w:val="NormalHanging12a"/>
      </w:pPr>
      <w:r w:rsidRPr="004C4165">
        <w:t>–</w:t>
      </w:r>
      <w:r w:rsidRPr="004C4165">
        <w:tab/>
        <w:t>ņemot vērā Komisijas priekšlikumu Eiropas Parlamentam un Padomei (COM(</w:t>
      </w:r>
      <w:r w:rsidRPr="00D63802">
        <w:t>2023</w:t>
      </w:r>
      <w:r w:rsidRPr="004C4165">
        <w:t>)</w:t>
      </w:r>
      <w:r w:rsidRPr="00D63802">
        <w:t>0395</w:t>
      </w:r>
      <w:r w:rsidRPr="004C4165">
        <w:t>),</w:t>
      </w:r>
    </w:p>
    <w:p w:rsidR="00163DBE" w:rsidRPr="004C4165" w:rsidRDefault="00163DBE" w:rsidP="009249F9">
      <w:pPr>
        <w:pStyle w:val="NormalHanging12a"/>
      </w:pPr>
      <w:r w:rsidRPr="004C4165">
        <w:t>–</w:t>
      </w:r>
      <w:r w:rsidRPr="004C4165">
        <w:tab/>
        <w:t xml:space="preserve">ņemot vērā Līguma par Eiropas Savienības darbību </w:t>
      </w:r>
      <w:r w:rsidRPr="00D63802">
        <w:t>294</w:t>
      </w:r>
      <w:r w:rsidRPr="004C4165">
        <w:t xml:space="preserve">. panta </w:t>
      </w:r>
      <w:r w:rsidRPr="00D63802">
        <w:t>2</w:t>
      </w:r>
      <w:r w:rsidRPr="004C4165">
        <w:t xml:space="preserve">. punktu un </w:t>
      </w:r>
      <w:r w:rsidRPr="00D63802">
        <w:t>192</w:t>
      </w:r>
      <w:r w:rsidRPr="004C4165">
        <w:t xml:space="preserve">. panta </w:t>
      </w:r>
      <w:r w:rsidRPr="00D63802">
        <w:t>1</w:t>
      </w:r>
      <w:r w:rsidRPr="004C4165">
        <w:t>. punktu, saskaņā ar kuriem Komisija tam ir iesniegusi priekšlikumu (C</w:t>
      </w:r>
      <w:r w:rsidRPr="00D63802">
        <w:t>9</w:t>
      </w:r>
      <w:r w:rsidRPr="004C4165">
        <w:noBreakHyphen/>
      </w:r>
      <w:r w:rsidRPr="00D63802">
        <w:t>0309</w:t>
      </w:r>
      <w:r w:rsidRPr="004C4165">
        <w:t>/</w:t>
      </w:r>
      <w:r w:rsidRPr="00D63802">
        <w:t>2023</w:t>
      </w:r>
      <w:r w:rsidRPr="004C4165">
        <w:t>),</w:t>
      </w:r>
    </w:p>
    <w:p w:rsidR="00163DBE" w:rsidRPr="004C4165" w:rsidRDefault="00163DBE" w:rsidP="009249F9">
      <w:pPr>
        <w:pStyle w:val="NormalHanging12a"/>
      </w:pPr>
      <w:r w:rsidRPr="004C4165">
        <w:t>–</w:t>
      </w:r>
      <w:r w:rsidRPr="004C4165">
        <w:tab/>
        <w:t xml:space="preserve">ņemot vērā Līguma par Eiropas Savienības darbību </w:t>
      </w:r>
      <w:r w:rsidRPr="00D63802">
        <w:t>294</w:t>
      </w:r>
      <w:r w:rsidRPr="004C4165">
        <w:t xml:space="preserve">. panta </w:t>
      </w:r>
      <w:r w:rsidRPr="00D63802">
        <w:t>3</w:t>
      </w:r>
      <w:r w:rsidRPr="004C4165">
        <w:t>. punktu,</w:t>
      </w:r>
    </w:p>
    <w:p w:rsidR="00163DBE" w:rsidRPr="004C4165" w:rsidRDefault="00163DBE" w:rsidP="009249F9">
      <w:pPr>
        <w:pStyle w:val="NormalHanging12a"/>
        <w:rPr>
          <w:szCs w:val="24"/>
        </w:rPr>
      </w:pPr>
      <w:r w:rsidRPr="004C4165">
        <w:t>–</w:t>
      </w:r>
      <w:r w:rsidRPr="004C4165">
        <w:tab/>
        <w:t xml:space="preserve">ņemot vērā Eiropas Ekonomikas un sociālo lietu komitejas </w:t>
      </w:r>
      <w:r w:rsidRPr="00D63802">
        <w:t>2023</w:t>
      </w:r>
      <w:r w:rsidRPr="004C4165">
        <w:t xml:space="preserve">. gada </w:t>
      </w:r>
      <w:r w:rsidRPr="00D63802">
        <w:t>26</w:t>
      </w:r>
      <w:r w:rsidRPr="004C4165">
        <w:t>. oktobra atzinumu</w:t>
      </w:r>
      <w:r w:rsidRPr="004C4165">
        <w:rPr>
          <w:rStyle w:val="FootnoteReference"/>
          <w:szCs w:val="24"/>
        </w:rPr>
        <w:footnoteReference w:id="1"/>
      </w:r>
      <w:r w:rsidRPr="004C4165">
        <w:t>,</w:t>
      </w:r>
    </w:p>
    <w:p w:rsidR="00163DBE" w:rsidRPr="004C4165" w:rsidRDefault="00163DBE" w:rsidP="009249F9">
      <w:pPr>
        <w:pStyle w:val="NormalHanging12a"/>
      </w:pPr>
      <w:r w:rsidRPr="004C4165">
        <w:t>–</w:t>
      </w:r>
      <w:r w:rsidRPr="004C4165">
        <w:tab/>
        <w:t>ņemot vērā Reģionu komitejas atzinumu,</w:t>
      </w:r>
    </w:p>
    <w:p w:rsidR="00B92C34" w:rsidRPr="004C4165" w:rsidRDefault="00B92C34" w:rsidP="00B92C34">
      <w:pPr>
        <w:spacing w:after="240"/>
        <w:ind w:left="567" w:hanging="567"/>
      </w:pPr>
      <w:r w:rsidRPr="004C4165">
        <w:t>–</w:t>
      </w:r>
      <w:r w:rsidRPr="004C4165">
        <w:tab/>
        <w:t xml:space="preserve">ņemot vērā provizorisko vienošanos, ko atbildīgā komiteja apstiprināja saskaņā ar Reglamenta </w:t>
      </w:r>
      <w:r w:rsidRPr="00D63802">
        <w:t>74</w:t>
      </w:r>
      <w:r w:rsidRPr="004C4165">
        <w:t xml:space="preserve">. panta </w:t>
      </w:r>
      <w:r w:rsidRPr="00D63802">
        <w:t>4</w:t>
      </w:r>
      <w:r w:rsidRPr="004C4165">
        <w:t xml:space="preserve">. punktu, un Padomes pārstāvja </w:t>
      </w:r>
      <w:r w:rsidRPr="00D63802">
        <w:t>2024</w:t>
      </w:r>
      <w:r w:rsidRPr="004C4165">
        <w:t xml:space="preserve">. gada </w:t>
      </w:r>
      <w:r w:rsidRPr="00D63802">
        <w:t>21</w:t>
      </w:r>
      <w:r w:rsidRPr="004C4165">
        <w:t xml:space="preserve">. februāra vēstulē pausto apņemšanos apstiprināt Parlamenta nostāju saskaņā ar Līguma par Eiropas Savienības darbību </w:t>
      </w:r>
      <w:r w:rsidRPr="00D63802">
        <w:t>294</w:t>
      </w:r>
      <w:r w:rsidRPr="004C4165">
        <w:t xml:space="preserve">. panta </w:t>
      </w:r>
      <w:r w:rsidRPr="00D63802">
        <w:t>4</w:t>
      </w:r>
      <w:r w:rsidRPr="004C4165">
        <w:t>. punktu,</w:t>
      </w:r>
    </w:p>
    <w:p w:rsidR="00163DBE" w:rsidRPr="004C4165" w:rsidRDefault="00163DBE" w:rsidP="009249F9">
      <w:pPr>
        <w:pStyle w:val="NormalHanging12a"/>
      </w:pPr>
      <w:r w:rsidRPr="004C4165">
        <w:t>–</w:t>
      </w:r>
      <w:r w:rsidRPr="004C4165">
        <w:tab/>
        <w:t xml:space="preserve">ņemot vērā Reglamenta </w:t>
      </w:r>
      <w:r w:rsidRPr="00D63802">
        <w:t>59</w:t>
      </w:r>
      <w:r w:rsidRPr="004C4165">
        <w:t>. pantu,</w:t>
      </w:r>
    </w:p>
    <w:p w:rsidR="00163DBE" w:rsidRPr="004C4165" w:rsidRDefault="00163DBE" w:rsidP="009249F9">
      <w:pPr>
        <w:pStyle w:val="NormalHanging12a"/>
      </w:pPr>
      <w:r w:rsidRPr="004C4165">
        <w:t>–</w:t>
      </w:r>
      <w:r w:rsidRPr="004C4165">
        <w:tab/>
        <w:t xml:space="preserve">ņemot vērā Vides, sabiedrības veselības un pārtikas nekaitīguma komitejas ziņojumu </w:t>
      </w:r>
      <w:r w:rsidRPr="004C4165">
        <w:lastRenderedPageBreak/>
        <w:t>(A</w:t>
      </w:r>
      <w:r w:rsidRPr="00D63802">
        <w:t>9</w:t>
      </w:r>
      <w:r w:rsidRPr="004C4165">
        <w:noBreakHyphen/>
      </w:r>
      <w:r w:rsidRPr="00D63802">
        <w:t>0002</w:t>
      </w:r>
      <w:r w:rsidRPr="004C4165">
        <w:t>/</w:t>
      </w:r>
      <w:r w:rsidRPr="00D63802">
        <w:t>2024</w:t>
      </w:r>
      <w:r w:rsidRPr="004C4165">
        <w:t>),</w:t>
      </w:r>
    </w:p>
    <w:p w:rsidR="00163DBE" w:rsidRPr="004C4165" w:rsidRDefault="00163DBE" w:rsidP="00B92C34">
      <w:pPr>
        <w:pStyle w:val="NormalHanging12a"/>
      </w:pPr>
      <w:r w:rsidRPr="00D63802">
        <w:t>1</w:t>
      </w:r>
      <w:r w:rsidRPr="004C4165">
        <w:t>.</w:t>
      </w:r>
      <w:r w:rsidRPr="004C4165">
        <w:tab/>
        <w:t>pieņem pirmajā lasījumā turpmāk izklāstīto nostāju</w:t>
      </w:r>
      <w:r w:rsidR="00B92C34" w:rsidRPr="004C4165">
        <w:rPr>
          <w:rStyle w:val="FootnoteReference"/>
        </w:rPr>
        <w:footnoteReference w:id="2"/>
      </w:r>
      <w:r w:rsidRPr="004C4165">
        <w:t>;</w:t>
      </w:r>
    </w:p>
    <w:p w:rsidR="00163DBE" w:rsidRPr="004C4165" w:rsidRDefault="00163DBE" w:rsidP="00B92C34">
      <w:pPr>
        <w:pStyle w:val="NormalHanging12a"/>
      </w:pPr>
      <w:r w:rsidRPr="00D63802">
        <w:t>2</w:t>
      </w:r>
      <w:r w:rsidRPr="004C4165">
        <w:t>.</w:t>
      </w:r>
      <w:r w:rsidRPr="004C4165">
        <w:tab/>
        <w:t>prasa Komisijai priekšlikumu Parlamentam iesniegt vēlreiz, ja tā savu priekšlikumu aizstāj, būtiski groza vai ir paredzējusi to būtiski grozīt;</w:t>
      </w:r>
    </w:p>
    <w:p w:rsidR="00D63802" w:rsidRDefault="00163DBE" w:rsidP="00B92C34">
      <w:pPr>
        <w:pStyle w:val="NormalHanging12a"/>
        <w:sectPr w:rsidR="00D63802" w:rsidSect="004A70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D63802">
        <w:t>3</w:t>
      </w:r>
      <w:r w:rsidRPr="004C4165">
        <w:t>.</w:t>
      </w:r>
      <w:r w:rsidRPr="004C4165">
        <w:tab/>
        <w:t>uzdod priekšsēdētājai Parlamenta nostāju nosūtīt Padomei un Komisijai, kā arī dalībvalstu parlamentiem.</w:t>
      </w:r>
    </w:p>
    <w:p w:rsidR="00B92C34" w:rsidRPr="004C4165" w:rsidRDefault="00B92C34" w:rsidP="00B92C34">
      <w:pPr>
        <w:pStyle w:val="Normal12Hanging"/>
        <w:tabs>
          <w:tab w:val="clear" w:pos="4679"/>
          <w:tab w:val="left" w:pos="357"/>
          <w:tab w:val="left" w:pos="2551"/>
        </w:tabs>
        <w:ind w:left="0" w:firstLine="0"/>
        <w:rPr>
          <w:b/>
        </w:rPr>
      </w:pPr>
      <w:r w:rsidRPr="004C4165">
        <w:rPr>
          <w:b/>
        </w:rPr>
        <w:lastRenderedPageBreak/>
        <w:t>P</w:t>
      </w:r>
      <w:r w:rsidRPr="00D63802">
        <w:rPr>
          <w:b/>
        </w:rPr>
        <w:t>9</w:t>
      </w:r>
      <w:r w:rsidRPr="004C4165">
        <w:rPr>
          <w:b/>
        </w:rPr>
        <w:t>_TC</w:t>
      </w:r>
      <w:r w:rsidRPr="00D63802">
        <w:rPr>
          <w:b/>
        </w:rPr>
        <w:t>1</w:t>
      </w:r>
      <w:r w:rsidRPr="004C4165">
        <w:rPr>
          <w:b/>
        </w:rPr>
        <w:t>-COD(</w:t>
      </w:r>
      <w:r w:rsidRPr="00D63802">
        <w:rPr>
          <w:b/>
        </w:rPr>
        <w:t>2023</w:t>
      </w:r>
      <w:r w:rsidRPr="004C4165">
        <w:rPr>
          <w:b/>
        </w:rPr>
        <w:t>)</w:t>
      </w:r>
      <w:r w:rsidRPr="00D63802">
        <w:rPr>
          <w:b/>
        </w:rPr>
        <w:t>0272</w:t>
      </w:r>
    </w:p>
    <w:p w:rsidR="00B92C34" w:rsidRDefault="00B92C34" w:rsidP="00B92C34">
      <w:pPr>
        <w:pStyle w:val="Normal12Hanging"/>
        <w:tabs>
          <w:tab w:val="clear" w:pos="4679"/>
          <w:tab w:val="left" w:pos="2551"/>
        </w:tabs>
        <w:ind w:left="0" w:firstLine="0"/>
        <w:rPr>
          <w:rFonts w:eastAsia="Calibri"/>
          <w:b/>
          <w:szCs w:val="22"/>
          <w:lang w:eastAsia="en-US"/>
        </w:rPr>
      </w:pPr>
      <w:r w:rsidRPr="004C4165">
        <w:rPr>
          <w:b/>
        </w:rPr>
        <w:t xml:space="preserve">Eiropas Parlamenta nostāja, pieņemta pirmajā lasījumā </w:t>
      </w:r>
      <w:r w:rsidRPr="00D63802">
        <w:rPr>
          <w:b/>
        </w:rPr>
        <w:t>2024</w:t>
      </w:r>
      <w:r w:rsidRPr="004C4165">
        <w:rPr>
          <w:b/>
        </w:rPr>
        <w:t xml:space="preserve">. gada </w:t>
      </w:r>
      <w:r w:rsidRPr="00D63802">
        <w:rPr>
          <w:b/>
        </w:rPr>
        <w:t>10</w:t>
      </w:r>
      <w:r w:rsidRPr="004C4165">
        <w:rPr>
          <w:b/>
        </w:rPr>
        <w:t xml:space="preserve">. aprīlī, lai pieņemtu Eiropas Parlamenta un Padomes Regulu (ES) </w:t>
      </w:r>
      <w:r w:rsidRPr="00D63802">
        <w:rPr>
          <w:b/>
        </w:rPr>
        <w:t>2024</w:t>
      </w:r>
      <w:r w:rsidRPr="004C4165">
        <w:rPr>
          <w:b/>
        </w:rPr>
        <w:t xml:space="preserve">/..., </w:t>
      </w:r>
      <w:r w:rsidR="00057EB2">
        <w:rPr>
          <w:b/>
          <w:bCs/>
          <w:color w:val="000000"/>
          <w:shd w:val="clear" w:color="auto" w:fill="FFFFFF"/>
        </w:rPr>
        <w:t>ar ko groza Regulu (ES) 2017/852 par dzīvsudrabu attiecībā uz zobārstniecības amalgamu un citiem dzīvsudrabu saturošiem produktiem, kuriem piemēro eksporta, importa un ražošanas ierobežojumus</w:t>
      </w:r>
    </w:p>
    <w:p w:rsidR="00057EB2" w:rsidRPr="00057EB2" w:rsidRDefault="00057EB2" w:rsidP="00B92C34">
      <w:pPr>
        <w:pStyle w:val="Normal12Hanging"/>
        <w:tabs>
          <w:tab w:val="clear" w:pos="4679"/>
          <w:tab w:val="left" w:pos="2551"/>
        </w:tabs>
        <w:ind w:left="0" w:firstLine="0"/>
        <w:rPr>
          <w:i/>
        </w:rPr>
      </w:pPr>
      <w:r w:rsidRPr="003E6639">
        <w:rPr>
          <w:i/>
        </w:rPr>
        <w:t>(Tā kā starp Parlamentu un Padomi tika panākta vienošanās, Parlamenta nostāja atbilst galīgajam ties</w:t>
      </w:r>
      <w:bookmarkStart w:id="8" w:name="_GoBack"/>
      <w:bookmarkEnd w:id="8"/>
      <w:r w:rsidRPr="003E6639">
        <w:rPr>
          <w:i/>
        </w:rPr>
        <w:t xml:space="preserve">ību aktam Regulai </w:t>
      </w:r>
      <w:r w:rsidRPr="00057EB2">
        <w:rPr>
          <w:i/>
        </w:rPr>
        <w:t xml:space="preserve">(ES) </w:t>
      </w:r>
      <w:r w:rsidRPr="00057EB2">
        <w:rPr>
          <w:i/>
        </w:rPr>
        <w:t>2024/1849</w:t>
      </w:r>
      <w:r w:rsidRPr="00057EB2">
        <w:rPr>
          <w:i/>
        </w:rPr>
        <w:t>.)</w:t>
      </w:r>
    </w:p>
    <w:sectPr w:rsidR="00057EB2" w:rsidRPr="00057EB2" w:rsidSect="004A70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620" w:rsidRPr="004A70D5" w:rsidRDefault="00082620">
      <w:r w:rsidRPr="004A70D5">
        <w:separator/>
      </w:r>
    </w:p>
  </w:endnote>
  <w:endnote w:type="continuationSeparator" w:id="0">
    <w:p w:rsidR="00082620" w:rsidRPr="004A70D5" w:rsidRDefault="00082620">
      <w:r w:rsidRPr="004A7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0D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0D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0D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620" w:rsidRPr="004A70D5" w:rsidRDefault="00082620">
      <w:r w:rsidRPr="004A70D5">
        <w:separator/>
      </w:r>
    </w:p>
  </w:footnote>
  <w:footnote w:type="continuationSeparator" w:id="0">
    <w:p w:rsidR="00082620" w:rsidRPr="004A70D5" w:rsidRDefault="00082620">
      <w:r w:rsidRPr="004A70D5">
        <w:continuationSeparator/>
      </w:r>
    </w:p>
  </w:footnote>
  <w:footnote w:id="1">
    <w:p w:rsidR="00163DBE" w:rsidRPr="004A70D5" w:rsidRDefault="00163DBE" w:rsidP="004A70D5">
      <w:pPr>
        <w:pStyle w:val="FootnoteText"/>
        <w:ind w:left="567" w:hanging="567"/>
        <w:rPr>
          <w:sz w:val="24"/>
          <w:lang w:val="lv-LV"/>
        </w:rPr>
      </w:pPr>
      <w:r w:rsidRPr="00B92C34">
        <w:rPr>
          <w:rStyle w:val="FootnoteReference"/>
          <w:sz w:val="24"/>
          <w:lang w:val="lv-LV"/>
        </w:rPr>
        <w:footnoteRef/>
      </w:r>
      <w:r w:rsidR="004A70D5" w:rsidRPr="00B92C34">
        <w:rPr>
          <w:sz w:val="24"/>
          <w:lang w:val="lv-LV"/>
        </w:rPr>
        <w:t xml:space="preserve"> </w:t>
      </w:r>
      <w:r w:rsidR="004A70D5" w:rsidRPr="00B92C34">
        <w:rPr>
          <w:sz w:val="24"/>
          <w:lang w:val="lv-LV"/>
        </w:rPr>
        <w:tab/>
      </w:r>
      <w:r w:rsidR="00B92C34" w:rsidRPr="009249F9">
        <w:rPr>
          <w:sz w:val="24"/>
          <w:szCs w:val="24"/>
          <w:lang w:val="fi-FI"/>
        </w:rPr>
        <w:t>OV C, C/</w:t>
      </w:r>
      <w:r w:rsidR="00B92C34" w:rsidRPr="00D63802">
        <w:rPr>
          <w:sz w:val="24"/>
          <w:szCs w:val="24"/>
          <w:lang w:val="fi-FI"/>
        </w:rPr>
        <w:t>2024</w:t>
      </w:r>
      <w:r w:rsidR="00B92C34" w:rsidRPr="009249F9">
        <w:rPr>
          <w:sz w:val="24"/>
          <w:szCs w:val="24"/>
          <w:lang w:val="fi-FI"/>
        </w:rPr>
        <w:t>/</w:t>
      </w:r>
      <w:r w:rsidR="00B92C34" w:rsidRPr="00D63802">
        <w:rPr>
          <w:sz w:val="24"/>
          <w:szCs w:val="24"/>
          <w:lang w:val="fi-FI"/>
        </w:rPr>
        <w:t>894</w:t>
      </w:r>
      <w:r w:rsidR="00B92C34" w:rsidRPr="009249F9">
        <w:rPr>
          <w:sz w:val="24"/>
          <w:szCs w:val="24"/>
          <w:lang w:val="fi-FI"/>
        </w:rPr>
        <w:t xml:space="preserve">, </w:t>
      </w:r>
      <w:r w:rsidR="00B92C34" w:rsidRPr="00D63802">
        <w:rPr>
          <w:sz w:val="24"/>
          <w:szCs w:val="24"/>
          <w:lang w:val="fi-FI"/>
        </w:rPr>
        <w:t>6</w:t>
      </w:r>
      <w:r w:rsidR="00B92C34" w:rsidRPr="009249F9">
        <w:rPr>
          <w:sz w:val="24"/>
          <w:szCs w:val="24"/>
          <w:lang w:val="fi-FI"/>
        </w:rPr>
        <w:t>.</w:t>
      </w:r>
      <w:r w:rsidR="00B92C34" w:rsidRPr="00D63802">
        <w:rPr>
          <w:sz w:val="24"/>
          <w:szCs w:val="24"/>
          <w:lang w:val="fi-FI"/>
        </w:rPr>
        <w:t>2</w:t>
      </w:r>
      <w:r w:rsidR="00B92C34" w:rsidRPr="009249F9">
        <w:rPr>
          <w:sz w:val="24"/>
          <w:szCs w:val="24"/>
          <w:lang w:val="fi-FI"/>
        </w:rPr>
        <w:t>.</w:t>
      </w:r>
      <w:r w:rsidR="00B92C34" w:rsidRPr="00D63802">
        <w:rPr>
          <w:sz w:val="24"/>
          <w:szCs w:val="24"/>
          <w:lang w:val="fi-FI"/>
        </w:rPr>
        <w:t>2024</w:t>
      </w:r>
      <w:r w:rsidR="00B92C34" w:rsidRPr="009249F9">
        <w:rPr>
          <w:sz w:val="24"/>
          <w:szCs w:val="24"/>
          <w:lang w:val="fi-FI"/>
        </w:rPr>
        <w:t xml:space="preserve">., ELI: </w:t>
      </w:r>
      <w:hyperlink r:id="rId1" w:history="1">
        <w:r w:rsidR="00B92C34" w:rsidRPr="00D63802">
          <w:rPr>
            <w:rStyle w:val="Hyperlink"/>
            <w:sz w:val="24"/>
            <w:szCs w:val="24"/>
            <w:lang w:val="fi-FI"/>
          </w:rPr>
          <w:t>https://eur-lex.europa.eu/eli/C/2024/894/oj</w:t>
        </w:r>
      </w:hyperlink>
      <w:r w:rsidRPr="00B92C34">
        <w:rPr>
          <w:sz w:val="24"/>
          <w:lang w:val="lv-LV"/>
        </w:rPr>
        <w:t>.</w:t>
      </w:r>
    </w:p>
  </w:footnote>
  <w:footnote w:id="2">
    <w:p w:rsidR="00B92C34" w:rsidRPr="009249F9" w:rsidRDefault="00B92C34" w:rsidP="009249F9">
      <w:pPr>
        <w:pStyle w:val="FootnoteText"/>
        <w:ind w:left="567" w:hanging="567"/>
        <w:rPr>
          <w:sz w:val="24"/>
          <w:szCs w:val="24"/>
          <w:lang w:val="lv-LV"/>
        </w:rPr>
      </w:pPr>
      <w:r w:rsidRPr="009249F9">
        <w:rPr>
          <w:rStyle w:val="FootnoteReference"/>
          <w:sz w:val="24"/>
          <w:szCs w:val="24"/>
        </w:rPr>
        <w:footnoteRef/>
      </w:r>
      <w:r w:rsidRPr="009249F9">
        <w:rPr>
          <w:sz w:val="24"/>
          <w:szCs w:val="24"/>
          <w:lang w:val="lv-LV"/>
        </w:rPr>
        <w:t xml:space="preserve"> </w:t>
      </w:r>
      <w:r w:rsidRPr="009249F9">
        <w:rPr>
          <w:sz w:val="24"/>
          <w:szCs w:val="24"/>
          <w:lang w:val="lv-LV"/>
        </w:rPr>
        <w:tab/>
        <w:t xml:space="preserve">Ar šo nostāju aizstāj </w:t>
      </w:r>
      <w:r w:rsidRPr="00D63802">
        <w:rPr>
          <w:sz w:val="24"/>
          <w:szCs w:val="24"/>
          <w:lang w:val="lv-LV"/>
        </w:rPr>
        <w:t>2024</w:t>
      </w:r>
      <w:r w:rsidRPr="009249F9">
        <w:rPr>
          <w:sz w:val="24"/>
          <w:szCs w:val="24"/>
          <w:lang w:val="lv-LV"/>
        </w:rPr>
        <w:t xml:space="preserve">. gada </w:t>
      </w:r>
      <w:r w:rsidRPr="00D63802">
        <w:rPr>
          <w:sz w:val="24"/>
          <w:szCs w:val="24"/>
          <w:lang w:val="lv-LV"/>
        </w:rPr>
        <w:t>17</w:t>
      </w:r>
      <w:r w:rsidRPr="009249F9">
        <w:rPr>
          <w:sz w:val="24"/>
          <w:szCs w:val="24"/>
          <w:lang w:val="lv-LV"/>
        </w:rPr>
        <w:t>. janvārī pieņemtos grozījumus (Pieņemtie teksti, P</w:t>
      </w:r>
      <w:r w:rsidRPr="00D63802">
        <w:rPr>
          <w:sz w:val="24"/>
          <w:szCs w:val="24"/>
          <w:lang w:val="lv-LV"/>
        </w:rPr>
        <w:t>9</w:t>
      </w:r>
      <w:r w:rsidRPr="009249F9">
        <w:rPr>
          <w:sz w:val="24"/>
          <w:szCs w:val="24"/>
          <w:lang w:val="lv-LV"/>
        </w:rPr>
        <w:t>_TA(</w:t>
      </w:r>
      <w:r w:rsidRPr="00D63802">
        <w:rPr>
          <w:sz w:val="24"/>
          <w:szCs w:val="24"/>
          <w:lang w:val="lv-LV"/>
        </w:rPr>
        <w:t>2024</w:t>
      </w:r>
      <w:r w:rsidRPr="009249F9">
        <w:rPr>
          <w:sz w:val="24"/>
          <w:szCs w:val="24"/>
          <w:lang w:val="lv-LV"/>
        </w:rPr>
        <w:t>)</w:t>
      </w:r>
      <w:r w:rsidRPr="00D63802">
        <w:rPr>
          <w:sz w:val="24"/>
          <w:szCs w:val="24"/>
          <w:lang w:val="lv-LV"/>
        </w:rPr>
        <w:t>0019</w:t>
      </w:r>
      <w:r w:rsidRPr="009249F9">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0D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0D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A70D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BE95D7F"/>
    <w:multiLevelType w:val="multilevel"/>
    <w:tmpl w:val="6D0AA288"/>
    <w:lvl w:ilvl="0">
      <w:start w:val="1"/>
      <w:numFmt w:val="decimal"/>
      <w:lvlText w:val="(%1)"/>
      <w:lvlJc w:val="left"/>
      <w:pPr>
        <w:tabs>
          <w:tab w:val="num" w:pos="850"/>
        </w:tabs>
        <w:ind w:left="850" w:hanging="850"/>
      </w:pPr>
      <w:rPr>
        <w:rFonts w:cs="Times New Roman" w:hint="default"/>
      </w:rPr>
    </w:lvl>
    <w:lvl w:ilvl="1">
      <w:start w:val="1"/>
      <w:numFmt w:val="lowerLetter"/>
      <w:lvlText w:val="(%2)"/>
      <w:lvlJc w:val="left"/>
      <w:pPr>
        <w:tabs>
          <w:tab w:val="num" w:pos="850"/>
        </w:tabs>
        <w:ind w:left="850" w:hanging="850"/>
      </w:pPr>
      <w:rPr>
        <w:rFonts w:cs="Times New Roman" w:hint="default"/>
      </w:rPr>
    </w:lvl>
    <w:lvl w:ilvl="2">
      <w:start w:val="1"/>
      <w:numFmt w:val="decimal"/>
      <w:lvlText w:val="(%3)"/>
      <w:lvlJc w:val="left"/>
      <w:pPr>
        <w:tabs>
          <w:tab w:val="num" w:pos="1417"/>
        </w:tabs>
        <w:ind w:left="1417" w:hanging="567"/>
      </w:pPr>
      <w:rPr>
        <w:rFonts w:cs="Times New Roman" w:hint="default"/>
      </w:rPr>
    </w:lvl>
    <w:lvl w:ilvl="3">
      <w:start w:val="1"/>
      <w:numFmt w:val="lowerLetter"/>
      <w:lvlText w:val="(%4)"/>
      <w:lvlJc w:val="left"/>
      <w:pPr>
        <w:tabs>
          <w:tab w:val="num" w:pos="1417"/>
        </w:tabs>
        <w:ind w:left="1417" w:hanging="567"/>
      </w:pPr>
      <w:rPr>
        <w:rFonts w:cs="Times New Roman" w:hint="default"/>
      </w:rPr>
    </w:lvl>
    <w:lvl w:ilvl="4">
      <w:start w:val="1"/>
      <w:numFmt w:val="decimal"/>
      <w:lvlText w:val="(%5)"/>
      <w:lvlJc w:val="left"/>
      <w:pPr>
        <w:tabs>
          <w:tab w:val="num" w:pos="1984"/>
        </w:tabs>
        <w:ind w:left="1984" w:hanging="567"/>
      </w:pPr>
      <w:rPr>
        <w:rFonts w:cs="Times New Roman" w:hint="default"/>
      </w:rPr>
    </w:lvl>
    <w:lvl w:ilvl="5">
      <w:start w:val="1"/>
      <w:numFmt w:val="lowerLetter"/>
      <w:lvlText w:val="(%6)"/>
      <w:lvlJc w:val="left"/>
      <w:pPr>
        <w:tabs>
          <w:tab w:val="num" w:pos="1984"/>
        </w:tabs>
        <w:ind w:left="1984" w:hanging="567"/>
      </w:pPr>
      <w:rPr>
        <w:rFonts w:cs="Times New Roman" w:hint="default"/>
      </w:rPr>
    </w:lvl>
    <w:lvl w:ilvl="6">
      <w:start w:val="1"/>
      <w:numFmt w:val="decimal"/>
      <w:lvlText w:val="(%7)"/>
      <w:lvlJc w:val="left"/>
      <w:pPr>
        <w:tabs>
          <w:tab w:val="num" w:pos="4679"/>
        </w:tabs>
        <w:ind w:left="4679" w:hanging="567"/>
      </w:pPr>
      <w:rPr>
        <w:rFonts w:cs="Times New Roman" w:hint="default"/>
      </w:rPr>
    </w:lvl>
    <w:lvl w:ilvl="7">
      <w:start w:val="1"/>
      <w:numFmt w:val="lowerLetter"/>
      <w:lvlText w:val="(%8)"/>
      <w:lvlJc w:val="left"/>
      <w:pPr>
        <w:tabs>
          <w:tab w:val="num" w:pos="2551"/>
        </w:tabs>
        <w:ind w:left="2551" w:hanging="567"/>
      </w:pPr>
      <w:rPr>
        <w:rFonts w:cs="Times New Roman" w:hint="default"/>
      </w:rPr>
    </w:lvl>
    <w:lvl w:ilvl="8">
      <w:start w:val="1"/>
      <w:numFmt w:val="lowerLetter"/>
      <w:lvlText w:val="(%9)"/>
      <w:lvlJc w:val="left"/>
      <w:pPr>
        <w:tabs>
          <w:tab w:val="num" w:pos="3118"/>
        </w:tabs>
        <w:ind w:left="3118" w:hanging="567"/>
      </w:pPr>
      <w:rPr>
        <w:rFonts w:cs="Times New Roman"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LV"/>
    <w:docVar w:name="dvnumam" w:val="15"/>
    <w:docVar w:name="dvpe" w:val="753.554"/>
    <w:docVar w:name="dvrapporteur" w:val="Referente: "/>
    <w:docVar w:name="dvstar" w:val="***I"/>
    <w:docVar w:name="dvtitre" w:val="Eiropas Parlamenta 2024. gada XX. XXX normatīvā rezolūcija par priekšlikumu Eiropas Parlamenta un Padomes regulai, ar ko attiecībā uz zobārstniecības amalgamu un citiem dzīvsudrabu saturošiem produktiem, kuriem piemēro ražošanas, importa un eksporta ierobežojumus, groza Eiropas Parlamenta un Padomes 2017. gada 17. maija Regulu (ES) 2017/852 par dzīvsudrabu(COM(2023)0395 – C9-0309/2023 – 2023/0272(COD))"/>
  </w:docVars>
  <w:rsids>
    <w:rsidRoot w:val="00082620"/>
    <w:rsid w:val="00002272"/>
    <w:rsid w:val="00057EB2"/>
    <w:rsid w:val="00064002"/>
    <w:rsid w:val="000677B9"/>
    <w:rsid w:val="00082620"/>
    <w:rsid w:val="000831BA"/>
    <w:rsid w:val="000A42CC"/>
    <w:rsid w:val="000E7DD9"/>
    <w:rsid w:val="0010095E"/>
    <w:rsid w:val="00125B37"/>
    <w:rsid w:val="00163DBE"/>
    <w:rsid w:val="00187494"/>
    <w:rsid w:val="001F32AE"/>
    <w:rsid w:val="002767FF"/>
    <w:rsid w:val="002B18FE"/>
    <w:rsid w:val="002B5493"/>
    <w:rsid w:val="002E11C9"/>
    <w:rsid w:val="00343214"/>
    <w:rsid w:val="003474A0"/>
    <w:rsid w:val="00361C00"/>
    <w:rsid w:val="00395FA1"/>
    <w:rsid w:val="003D3C9C"/>
    <w:rsid w:val="003E15D4"/>
    <w:rsid w:val="00411CCE"/>
    <w:rsid w:val="0041666E"/>
    <w:rsid w:val="00421060"/>
    <w:rsid w:val="00471C19"/>
    <w:rsid w:val="004867E3"/>
    <w:rsid w:val="00494A28"/>
    <w:rsid w:val="004A70D5"/>
    <w:rsid w:val="004C0004"/>
    <w:rsid w:val="004C4165"/>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9F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2C34"/>
    <w:rsid w:val="00BA02D4"/>
    <w:rsid w:val="00BD48FE"/>
    <w:rsid w:val="00BD7BD8"/>
    <w:rsid w:val="00BE6ADC"/>
    <w:rsid w:val="00C05BFE"/>
    <w:rsid w:val="00C23CD4"/>
    <w:rsid w:val="00C61C0C"/>
    <w:rsid w:val="00C941CB"/>
    <w:rsid w:val="00CC2357"/>
    <w:rsid w:val="00CF071A"/>
    <w:rsid w:val="00D058B8"/>
    <w:rsid w:val="00D56C11"/>
    <w:rsid w:val="00D63802"/>
    <w:rsid w:val="00D834A0"/>
    <w:rsid w:val="00D872DF"/>
    <w:rsid w:val="00D91E21"/>
    <w:rsid w:val="00DA2E1E"/>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875C2"/>
  <w15:chartTrackingRefBased/>
  <w15:docId w15:val="{28641A4A-A712-4C67-B9B3-8328DAF7D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63DBE"/>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163DBE"/>
    <w:pPr>
      <w:spacing w:after="120"/>
    </w:pPr>
  </w:style>
  <w:style w:type="paragraph" w:customStyle="1" w:styleId="PageHeading">
    <w:name w:val="PageHeading"/>
    <w:basedOn w:val="Normal"/>
    <w:rsid w:val="00163DBE"/>
    <w:pPr>
      <w:keepNext/>
      <w:spacing w:after="480"/>
      <w:jc w:val="center"/>
    </w:pPr>
    <w:rPr>
      <w:rFonts w:ascii="Arial" w:hAnsi="Arial" w:cs="Arial"/>
      <w:b/>
    </w:rPr>
  </w:style>
  <w:style w:type="paragraph" w:customStyle="1" w:styleId="NormalBold">
    <w:name w:val="NormalBold"/>
    <w:basedOn w:val="Normal"/>
    <w:link w:val="NormalBoldChar"/>
    <w:rsid w:val="00163DBE"/>
    <w:rPr>
      <w:b/>
    </w:rPr>
  </w:style>
  <w:style w:type="paragraph" w:customStyle="1" w:styleId="NormalBold12a">
    <w:name w:val="NormalBold12a"/>
    <w:basedOn w:val="Normal"/>
    <w:rsid w:val="00163DBE"/>
    <w:pPr>
      <w:spacing w:after="240"/>
    </w:pPr>
    <w:rPr>
      <w:b/>
    </w:rPr>
  </w:style>
  <w:style w:type="paragraph" w:customStyle="1" w:styleId="NormalHanging12a">
    <w:name w:val="NormalHanging12a"/>
    <w:basedOn w:val="Normal"/>
    <w:rsid w:val="00163DBE"/>
    <w:pPr>
      <w:spacing w:after="240"/>
      <w:ind w:left="567" w:hanging="567"/>
    </w:pPr>
  </w:style>
  <w:style w:type="paragraph" w:styleId="Header">
    <w:name w:val="header"/>
    <w:basedOn w:val="Normal"/>
    <w:link w:val="HeaderChar"/>
    <w:rsid w:val="00163DBE"/>
    <w:pPr>
      <w:tabs>
        <w:tab w:val="center" w:pos="4513"/>
        <w:tab w:val="right" w:pos="9026"/>
      </w:tabs>
    </w:pPr>
  </w:style>
  <w:style w:type="character" w:customStyle="1" w:styleId="HeaderChar">
    <w:name w:val="Header Char"/>
    <w:basedOn w:val="DefaultParagraphFont"/>
    <w:link w:val="Header"/>
    <w:rsid w:val="00163DBE"/>
    <w:rPr>
      <w:sz w:val="24"/>
      <w:lang w:val="lv-LV"/>
    </w:rPr>
  </w:style>
  <w:style w:type="paragraph" w:customStyle="1" w:styleId="AmColumnHeading">
    <w:name w:val="AmColumnHeading"/>
    <w:basedOn w:val="Normal"/>
    <w:rsid w:val="00163DBE"/>
    <w:pPr>
      <w:spacing w:after="240"/>
      <w:jc w:val="center"/>
    </w:pPr>
    <w:rPr>
      <w:i/>
    </w:rPr>
  </w:style>
  <w:style w:type="paragraph" w:customStyle="1" w:styleId="AmNumberTabs">
    <w:name w:val="AmNumberTabs"/>
    <w:basedOn w:val="Normal"/>
    <w:link w:val="AmNumberTabsChar"/>
    <w:rsid w:val="00163D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63DBE"/>
    <w:pPr>
      <w:spacing w:before="240"/>
    </w:pPr>
    <w:rPr>
      <w:b/>
    </w:rPr>
  </w:style>
  <w:style w:type="paragraph" w:customStyle="1" w:styleId="EPFooter">
    <w:name w:val="EPFooter"/>
    <w:basedOn w:val="Normal"/>
    <w:rsid w:val="00163DBE"/>
    <w:pPr>
      <w:tabs>
        <w:tab w:val="center" w:pos="4535"/>
        <w:tab w:val="right" w:pos="9071"/>
      </w:tabs>
      <w:spacing w:before="240" w:after="240"/>
    </w:pPr>
    <w:rPr>
      <w:color w:val="010000"/>
      <w:sz w:val="22"/>
    </w:rPr>
  </w:style>
  <w:style w:type="paragraph" w:customStyle="1" w:styleId="EPComma">
    <w:name w:val="EPComma"/>
    <w:basedOn w:val="Normal"/>
    <w:rsid w:val="00163DBE"/>
    <w:pPr>
      <w:spacing w:before="480" w:after="240"/>
    </w:pPr>
  </w:style>
  <w:style w:type="paragraph" w:customStyle="1" w:styleId="Normal24a">
    <w:name w:val="Normal24a"/>
    <w:basedOn w:val="Normal"/>
    <w:rsid w:val="00163DBE"/>
    <w:pPr>
      <w:spacing w:after="480"/>
    </w:pPr>
  </w:style>
  <w:style w:type="paragraph" w:customStyle="1" w:styleId="NormalBoldCenter">
    <w:name w:val="NormalBoldCenter"/>
    <w:basedOn w:val="Normal"/>
    <w:rsid w:val="00163DBE"/>
    <w:pPr>
      <w:jc w:val="center"/>
    </w:pPr>
    <w:rPr>
      <w:b/>
    </w:rPr>
  </w:style>
  <w:style w:type="character" w:customStyle="1" w:styleId="Normal6Char">
    <w:name w:val="Normal6 Char"/>
    <w:basedOn w:val="DefaultParagraphFont"/>
    <w:link w:val="Normal6"/>
    <w:locked/>
    <w:rsid w:val="00163DBE"/>
    <w:rPr>
      <w:sz w:val="24"/>
      <w:lang w:val="lv-LV"/>
    </w:rPr>
  </w:style>
  <w:style w:type="paragraph" w:customStyle="1" w:styleId="Normal6">
    <w:name w:val="Normal6"/>
    <w:basedOn w:val="Normal"/>
    <w:link w:val="Normal6Char"/>
    <w:rsid w:val="00163DBE"/>
    <w:pPr>
      <w:spacing w:after="120"/>
    </w:pPr>
  </w:style>
  <w:style w:type="character" w:customStyle="1" w:styleId="NormalBoldChar">
    <w:name w:val="NormalBold Char"/>
    <w:basedOn w:val="DefaultParagraphFont"/>
    <w:link w:val="NormalBold"/>
    <w:locked/>
    <w:rsid w:val="00163DBE"/>
    <w:rPr>
      <w:b/>
      <w:sz w:val="24"/>
      <w:lang w:val="lv-LV"/>
    </w:rPr>
  </w:style>
  <w:style w:type="paragraph" w:customStyle="1" w:styleId="ColumnHeading">
    <w:name w:val="ColumnHeading"/>
    <w:basedOn w:val="Normal"/>
    <w:rsid w:val="00163DBE"/>
    <w:pPr>
      <w:spacing w:after="240"/>
      <w:jc w:val="center"/>
    </w:pPr>
    <w:rPr>
      <w:i/>
    </w:rPr>
  </w:style>
  <w:style w:type="paragraph" w:customStyle="1" w:styleId="AMNumberTabs0">
    <w:name w:val="AMNumberTabs"/>
    <w:basedOn w:val="Normal"/>
    <w:rsid w:val="00163D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163DBE"/>
    <w:rPr>
      <w:b/>
      <w:sz w:val="24"/>
      <w:lang w:val="lv-LV"/>
    </w:rPr>
  </w:style>
  <w:style w:type="character" w:customStyle="1" w:styleId="NormalBold12bChar">
    <w:name w:val="NormalBold12b Char"/>
    <w:basedOn w:val="AmNumberTabsChar"/>
    <w:link w:val="NormalBold12b"/>
    <w:rsid w:val="00163DBE"/>
    <w:rPr>
      <w:b/>
      <w:sz w:val="24"/>
      <w:lang w:val="lv-LV"/>
    </w:rPr>
  </w:style>
  <w:style w:type="character" w:styleId="Emphasis">
    <w:name w:val="Emphasis"/>
    <w:basedOn w:val="DefaultParagraphFont"/>
    <w:uiPriority w:val="20"/>
    <w:qFormat/>
    <w:rsid w:val="00163DBE"/>
    <w:rPr>
      <w:i/>
      <w:iCs/>
    </w:rPr>
  </w:style>
  <w:style w:type="paragraph" w:customStyle="1" w:styleId="CrossRef">
    <w:name w:val="CrossRef"/>
    <w:basedOn w:val="Normal"/>
    <w:rsid w:val="00163DBE"/>
    <w:pPr>
      <w:spacing w:before="240"/>
      <w:jc w:val="center"/>
    </w:pPr>
    <w:rPr>
      <w:i/>
    </w:rPr>
  </w:style>
  <w:style w:type="paragraph" w:customStyle="1" w:styleId="Normal12a">
    <w:name w:val="Normal12a"/>
    <w:basedOn w:val="Normal"/>
    <w:rsid w:val="00163DBE"/>
    <w:pPr>
      <w:spacing w:after="240"/>
    </w:pPr>
  </w:style>
  <w:style w:type="paragraph" w:customStyle="1" w:styleId="RollCallVotes">
    <w:name w:val="RollCallVotes"/>
    <w:basedOn w:val="Normal"/>
    <w:rsid w:val="00163DBE"/>
    <w:pPr>
      <w:spacing w:before="120" w:after="120"/>
      <w:jc w:val="center"/>
    </w:pPr>
    <w:rPr>
      <w:b/>
      <w:bCs/>
      <w:snapToGrid w:val="0"/>
      <w:sz w:val="16"/>
      <w:lang w:eastAsia="en-US"/>
    </w:rPr>
  </w:style>
  <w:style w:type="paragraph" w:customStyle="1" w:styleId="RollCallTabs">
    <w:name w:val="RollCallTabs"/>
    <w:basedOn w:val="Normal"/>
    <w:qFormat/>
    <w:rsid w:val="00163DBE"/>
    <w:pPr>
      <w:tabs>
        <w:tab w:val="center" w:pos="284"/>
        <w:tab w:val="left" w:pos="426"/>
      </w:tabs>
    </w:pPr>
    <w:rPr>
      <w:snapToGrid w:val="0"/>
      <w:lang w:eastAsia="en-US"/>
    </w:rPr>
  </w:style>
  <w:style w:type="paragraph" w:customStyle="1" w:styleId="RollCallSymbols14pt">
    <w:name w:val="RollCallSymbols14pt"/>
    <w:basedOn w:val="Normal"/>
    <w:rsid w:val="00163DBE"/>
    <w:pPr>
      <w:spacing w:before="120" w:after="120"/>
      <w:jc w:val="center"/>
    </w:pPr>
    <w:rPr>
      <w:rFonts w:ascii="Arial" w:hAnsi="Arial"/>
      <w:b/>
      <w:bCs/>
      <w:snapToGrid w:val="0"/>
      <w:sz w:val="28"/>
      <w:lang w:eastAsia="en-US"/>
    </w:rPr>
  </w:style>
  <w:style w:type="paragraph" w:customStyle="1" w:styleId="RollCallTable">
    <w:name w:val="RollCallTable"/>
    <w:basedOn w:val="Normal"/>
    <w:rsid w:val="00163DBE"/>
    <w:pPr>
      <w:spacing w:before="120" w:after="120"/>
    </w:pPr>
    <w:rPr>
      <w:snapToGrid w:val="0"/>
      <w:sz w:val="16"/>
      <w:lang w:eastAsia="en-US"/>
    </w:rPr>
  </w:style>
  <w:style w:type="paragraph" w:styleId="BalloonText">
    <w:name w:val="Balloon Text"/>
    <w:basedOn w:val="Normal"/>
    <w:link w:val="BalloonTextChar"/>
    <w:rsid w:val="003D3C9C"/>
    <w:rPr>
      <w:rFonts w:ascii="Segoe UI" w:hAnsi="Segoe UI" w:cs="Segoe UI"/>
      <w:sz w:val="18"/>
      <w:szCs w:val="18"/>
    </w:rPr>
  </w:style>
  <w:style w:type="character" w:customStyle="1" w:styleId="BalloonTextChar">
    <w:name w:val="Balloon Text Char"/>
    <w:basedOn w:val="DefaultParagraphFont"/>
    <w:link w:val="BalloonText"/>
    <w:rsid w:val="003D3C9C"/>
    <w:rPr>
      <w:rFonts w:ascii="Segoe UI" w:hAnsi="Segoe UI" w:cs="Segoe UI"/>
      <w:sz w:val="18"/>
      <w:szCs w:val="18"/>
      <w:lang w:val="lv-LV"/>
    </w:rPr>
  </w:style>
  <w:style w:type="paragraph" w:customStyle="1" w:styleId="Normal12Hanging">
    <w:name w:val="Normal12Hanging"/>
    <w:basedOn w:val="Normal"/>
    <w:link w:val="Normal12HangingChar"/>
    <w:rsid w:val="00B92C34"/>
    <w:pPr>
      <w:tabs>
        <w:tab w:val="num" w:pos="4679"/>
      </w:tabs>
      <w:spacing w:after="240"/>
      <w:ind w:left="4679" w:hanging="567"/>
    </w:pPr>
    <w:rPr>
      <w:snapToGrid w:val="0"/>
    </w:rPr>
  </w:style>
  <w:style w:type="character" w:customStyle="1" w:styleId="Normal12HangingChar">
    <w:name w:val="Normal12Hanging Char"/>
    <w:link w:val="Normal12Hanging"/>
    <w:rsid w:val="00B92C34"/>
    <w:rPr>
      <w:snapToGrid w:val="0"/>
      <w:sz w:val="24"/>
      <w:lang w:val="lv-LV"/>
    </w:rPr>
  </w:style>
  <w:style w:type="paragraph" w:customStyle="1" w:styleId="AmOrLang">
    <w:name w:val="AmOrLang"/>
    <w:basedOn w:val="Normal"/>
    <w:rsid w:val="00B92C34"/>
    <w:pPr>
      <w:spacing w:before="240" w:after="240"/>
      <w:jc w:val="right"/>
    </w:pPr>
  </w:style>
  <w:style w:type="paragraph" w:customStyle="1" w:styleId="NormalCenter12a">
    <w:name w:val="NormalCenter12a"/>
    <w:basedOn w:val="Normal"/>
    <w:rsid w:val="00B92C34"/>
    <w:pPr>
      <w:spacing w:after="240"/>
      <w:jc w:val="center"/>
    </w:pPr>
  </w:style>
  <w:style w:type="character" w:styleId="Hyperlink">
    <w:name w:val="Hyperlink"/>
    <w:basedOn w:val="DefaultParagraphFont"/>
    <w:rsid w:val="00D638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4/8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ACF2E-B8F0-4109-9D57-FB0E17994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300</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2024-07-29T15:23:00Z</dcterms:created>
  <dcterms:modified xsi:type="dcterms:W3CDTF">2024-07-29T15:23:00Z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P9_TA(2024)0191_</vt:lpwstr>
  </property>
  <property fmtid="{D5CDD505-2E9C-101B-9397-08002B2CF9AE}" pid="4" name="&lt;Type&gt;">
    <vt:lpwstr>RR</vt:lpwstr>
  </property>
</Properties>
</file>