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25776" w:rsidTr="0010095E">
        <w:trPr>
          <w:trHeight w:hRule="exact" w:val="1418"/>
        </w:trPr>
        <w:tc>
          <w:tcPr>
            <w:tcW w:w="6804" w:type="dxa"/>
            <w:shd w:val="clear" w:color="auto" w:fill="auto"/>
            <w:vAlign w:val="center"/>
          </w:tcPr>
          <w:p w:rsidR="00751A4A" w:rsidRPr="00C25776" w:rsidRDefault="00D158FD" w:rsidP="0010095E">
            <w:pPr>
              <w:pStyle w:val="EPName"/>
            </w:pPr>
            <w:r w:rsidRPr="00C25776">
              <w:t>Parlamentul European</w:t>
            </w:r>
          </w:p>
          <w:p w:rsidR="00751A4A" w:rsidRPr="00C25776" w:rsidRDefault="00817416" w:rsidP="00756632">
            <w:pPr>
              <w:pStyle w:val="EPTerm"/>
              <w:rPr>
                <w:rStyle w:val="HideTWBExt"/>
                <w:noProof w:val="0"/>
                <w:vanish w:val="0"/>
                <w:color w:val="auto"/>
              </w:rPr>
            </w:pPr>
            <w:r w:rsidRPr="002B67FF">
              <w:t>2019</w:t>
            </w:r>
            <w:r w:rsidRPr="00C25776">
              <w:t>-</w:t>
            </w:r>
            <w:r w:rsidRPr="002B67FF">
              <w:t>2024</w:t>
            </w:r>
          </w:p>
        </w:tc>
        <w:tc>
          <w:tcPr>
            <w:tcW w:w="2268" w:type="dxa"/>
            <w:shd w:val="clear" w:color="auto" w:fill="auto"/>
          </w:tcPr>
          <w:p w:rsidR="00751A4A" w:rsidRPr="00C25776" w:rsidRDefault="00187494" w:rsidP="0010095E">
            <w:pPr>
              <w:pStyle w:val="EPLogo"/>
            </w:pPr>
            <w:r w:rsidRPr="00C2577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25776" w:rsidRDefault="00D058B8" w:rsidP="004C5D52">
      <w:pPr>
        <w:pStyle w:val="LineTop"/>
      </w:pPr>
    </w:p>
    <w:p w:rsidR="00680577" w:rsidRPr="00C25776" w:rsidRDefault="00D158FD" w:rsidP="00680577">
      <w:pPr>
        <w:pStyle w:val="EPBodyTA1"/>
      </w:pPr>
      <w:r w:rsidRPr="00C25776">
        <w:t>TEXTE ADOPTATE</w:t>
      </w:r>
    </w:p>
    <w:p w:rsidR="00D058B8" w:rsidRPr="00C25776" w:rsidRDefault="00D058B8" w:rsidP="00D058B8">
      <w:pPr>
        <w:pStyle w:val="LineBottom"/>
      </w:pPr>
    </w:p>
    <w:p w:rsidR="00D158FD" w:rsidRPr="00C25776" w:rsidRDefault="00D158FD" w:rsidP="00D158FD">
      <w:pPr>
        <w:pStyle w:val="ATHeading1"/>
      </w:pPr>
      <w:bookmarkStart w:id="0" w:name="TANumber"/>
      <w:r w:rsidRPr="00C25776">
        <w:t>P</w:t>
      </w:r>
      <w:r w:rsidRPr="002B67FF">
        <w:t>9</w:t>
      </w:r>
      <w:r w:rsidRPr="00C25776">
        <w:t>_TA(</w:t>
      </w:r>
      <w:r w:rsidRPr="002B67FF">
        <w:t>2024</w:t>
      </w:r>
      <w:r w:rsidRPr="00C25776">
        <w:t>)</w:t>
      </w:r>
      <w:r w:rsidRPr="002B67FF">
        <w:t>0</w:t>
      </w:r>
      <w:bookmarkEnd w:id="0"/>
      <w:r w:rsidR="00C25776" w:rsidRPr="002B67FF">
        <w:t>191</w:t>
      </w:r>
    </w:p>
    <w:p w:rsidR="00D158FD" w:rsidRPr="00C25776" w:rsidRDefault="00D158FD" w:rsidP="00D158FD">
      <w:pPr>
        <w:pStyle w:val="ATHeading2"/>
      </w:pPr>
      <w:bookmarkStart w:id="1" w:name="title"/>
      <w:r w:rsidRPr="00C25776">
        <w:t>Mercurul: amalgamul dentar și alte produse cu adaos de mercur care fac obiectul unor restricții de fabricație, import și export</w:t>
      </w:r>
      <w:bookmarkEnd w:id="1"/>
    </w:p>
    <w:p w:rsidR="00D158FD" w:rsidRPr="00C25776" w:rsidRDefault="00D158FD" w:rsidP="00D158FD">
      <w:pPr>
        <w:rPr>
          <w:i/>
          <w:vanish/>
        </w:rPr>
      </w:pPr>
      <w:r w:rsidRPr="00C25776">
        <w:rPr>
          <w:i/>
        </w:rPr>
        <w:fldChar w:fldCharType="begin"/>
      </w:r>
      <w:r w:rsidRPr="00C25776">
        <w:rPr>
          <w:i/>
        </w:rPr>
        <w:instrText xml:space="preserve"> TC"(</w:instrText>
      </w:r>
      <w:bookmarkStart w:id="2" w:name="DocNumber"/>
      <w:r w:rsidRPr="00C25776">
        <w:rPr>
          <w:i/>
        </w:rPr>
        <w:instrText>A</w:instrText>
      </w:r>
      <w:r w:rsidRPr="002B67FF">
        <w:rPr>
          <w:i/>
        </w:rPr>
        <w:instrText>9</w:instrText>
      </w:r>
      <w:r w:rsidRPr="00C25776">
        <w:rPr>
          <w:i/>
        </w:rPr>
        <w:instrText>-</w:instrText>
      </w:r>
      <w:r w:rsidRPr="002B67FF">
        <w:rPr>
          <w:i/>
        </w:rPr>
        <w:instrText>0002</w:instrText>
      </w:r>
      <w:r w:rsidRPr="00C25776">
        <w:rPr>
          <w:i/>
        </w:rPr>
        <w:instrText>/</w:instrText>
      </w:r>
      <w:r w:rsidRPr="002B67FF">
        <w:rPr>
          <w:i/>
        </w:rPr>
        <w:instrText>2024</w:instrText>
      </w:r>
      <w:bookmarkEnd w:id="2"/>
      <w:r w:rsidRPr="00C25776">
        <w:rPr>
          <w:i/>
        </w:rPr>
        <w:instrText xml:space="preserve"> - Raportoare: Marlene </w:instrText>
      </w:r>
      <w:proofErr w:type="spellStart"/>
      <w:r w:rsidRPr="00C25776">
        <w:rPr>
          <w:i/>
        </w:rPr>
        <w:instrText>Mortler</w:instrText>
      </w:r>
      <w:proofErr w:type="spellEnd"/>
      <w:r w:rsidRPr="00C25776">
        <w:rPr>
          <w:i/>
        </w:rPr>
        <w:instrText>)"\l</w:instrText>
      </w:r>
      <w:r w:rsidRPr="002B67FF">
        <w:rPr>
          <w:i/>
        </w:rPr>
        <w:instrText>3</w:instrText>
      </w:r>
      <w:r w:rsidRPr="00C25776">
        <w:rPr>
          <w:i/>
        </w:rPr>
        <w:instrText xml:space="preserve"> \n&gt; \* MERGEFORMAT </w:instrText>
      </w:r>
      <w:r w:rsidRPr="00C25776">
        <w:rPr>
          <w:i/>
        </w:rPr>
        <w:fldChar w:fldCharType="end"/>
      </w:r>
    </w:p>
    <w:p w:rsidR="00D158FD" w:rsidRPr="00C25776" w:rsidRDefault="00D158FD" w:rsidP="00D158FD">
      <w:pPr>
        <w:rPr>
          <w:vanish/>
        </w:rPr>
      </w:pPr>
      <w:bookmarkStart w:id="3" w:name="Commission"/>
      <w:r w:rsidRPr="00C25776">
        <w:rPr>
          <w:vanish/>
        </w:rPr>
        <w:t>Comisia pentru mediu, sănătate publică și siguranță alimentară</w:t>
      </w:r>
      <w:bookmarkEnd w:id="3"/>
    </w:p>
    <w:p w:rsidR="00D158FD" w:rsidRPr="00C25776" w:rsidRDefault="00D158FD" w:rsidP="00D158FD">
      <w:pPr>
        <w:rPr>
          <w:vanish/>
        </w:rPr>
      </w:pPr>
      <w:bookmarkStart w:id="4" w:name="PE"/>
      <w:r w:rsidRPr="00C25776">
        <w:rPr>
          <w:vanish/>
        </w:rPr>
        <w:t>PE</w:t>
      </w:r>
      <w:r w:rsidRPr="002B67FF">
        <w:rPr>
          <w:vanish/>
        </w:rPr>
        <w:t>753</w:t>
      </w:r>
      <w:r w:rsidRPr="00C25776">
        <w:rPr>
          <w:vanish/>
        </w:rPr>
        <w:t>.</w:t>
      </w:r>
      <w:r w:rsidRPr="002B67FF">
        <w:rPr>
          <w:vanish/>
        </w:rPr>
        <w:t>554</w:t>
      </w:r>
      <w:bookmarkEnd w:id="4"/>
    </w:p>
    <w:p w:rsidR="00D158FD" w:rsidRPr="00C25776" w:rsidRDefault="00D158FD" w:rsidP="00D158FD">
      <w:pPr>
        <w:pStyle w:val="ATHeading3"/>
      </w:pPr>
      <w:bookmarkStart w:id="5" w:name="Sujet"/>
      <w:r w:rsidRPr="00C25776">
        <w:t xml:space="preserve">Rezoluția legislativă a Parlamentului European din </w:t>
      </w:r>
      <w:r w:rsidRPr="002B67FF">
        <w:t>1</w:t>
      </w:r>
      <w:r w:rsidR="00C34356" w:rsidRPr="002B67FF">
        <w:t>0</w:t>
      </w:r>
      <w:r w:rsidRPr="00C25776">
        <w:t xml:space="preserve"> aprilie </w:t>
      </w:r>
      <w:r w:rsidRPr="002B67FF">
        <w:t>2024</w:t>
      </w:r>
      <w:r w:rsidRPr="00C25776">
        <w:t xml:space="preserve"> referitoare la propunerea de regulament a Parlamentului European și a Consiliului de modificare a Regulamentului (UE) </w:t>
      </w:r>
      <w:r w:rsidRPr="002B67FF">
        <w:t>2017</w:t>
      </w:r>
      <w:r w:rsidRPr="00C25776">
        <w:t>/</w:t>
      </w:r>
      <w:r w:rsidRPr="002B67FF">
        <w:t>852</w:t>
      </w:r>
      <w:r w:rsidRPr="00C25776">
        <w:t xml:space="preserve"> al Parlamentului European și al Consiliului din </w:t>
      </w:r>
      <w:r w:rsidRPr="002B67FF">
        <w:t>17</w:t>
      </w:r>
      <w:r w:rsidRPr="00C25776">
        <w:t xml:space="preserve"> mai </w:t>
      </w:r>
      <w:r w:rsidRPr="002B67FF">
        <w:t>2017</w:t>
      </w:r>
      <w:r w:rsidRPr="00C25776">
        <w:t xml:space="preserve"> privind mercurul în ceea ce privește amalgamul dentar și alte produse cu adaos de mercur care fac obiectul unor restricții de fabricație, import și export</w:t>
      </w:r>
      <w:bookmarkEnd w:id="5"/>
      <w:r w:rsidRPr="00C25776">
        <w:t xml:space="preserve"> </w:t>
      </w:r>
      <w:bookmarkStart w:id="6" w:name="References"/>
      <w:r w:rsidRPr="00C25776">
        <w:t>(COM(</w:t>
      </w:r>
      <w:r w:rsidRPr="002B67FF">
        <w:t>2023</w:t>
      </w:r>
      <w:r w:rsidRPr="00C25776">
        <w:t>)</w:t>
      </w:r>
      <w:r w:rsidRPr="002B67FF">
        <w:t>0395</w:t>
      </w:r>
      <w:r w:rsidRPr="00C25776">
        <w:t xml:space="preserve"> – C</w:t>
      </w:r>
      <w:r w:rsidRPr="002B67FF">
        <w:t>9</w:t>
      </w:r>
      <w:r w:rsidRPr="00C25776">
        <w:t>-</w:t>
      </w:r>
      <w:r w:rsidRPr="002B67FF">
        <w:t>0309</w:t>
      </w:r>
      <w:r w:rsidRPr="00C25776">
        <w:t>/</w:t>
      </w:r>
      <w:r w:rsidRPr="002B67FF">
        <w:t>2023</w:t>
      </w:r>
      <w:r w:rsidRPr="00C25776">
        <w:t xml:space="preserve"> – </w:t>
      </w:r>
      <w:r w:rsidRPr="002B67FF">
        <w:t>2023</w:t>
      </w:r>
      <w:r w:rsidRPr="00C25776">
        <w:t>/</w:t>
      </w:r>
      <w:r w:rsidRPr="002B67FF">
        <w:t>0272</w:t>
      </w:r>
      <w:r w:rsidRPr="00C25776">
        <w:t>(COD))</w:t>
      </w:r>
      <w:bookmarkEnd w:id="6"/>
    </w:p>
    <w:p w:rsidR="00D158FD" w:rsidRPr="00C25776" w:rsidRDefault="00D158FD" w:rsidP="00D158FD"/>
    <w:p w:rsidR="00BD5FCF" w:rsidRPr="00C25776" w:rsidRDefault="00BD5FCF" w:rsidP="00BD5FCF">
      <w:pPr>
        <w:pStyle w:val="NormalBold"/>
      </w:pPr>
      <w:bookmarkStart w:id="7" w:name="TextBodyBegin"/>
      <w:bookmarkEnd w:id="7"/>
      <w:r w:rsidRPr="00C25776">
        <w:t>(Procedura legislativă ordinară: prima lectură)</w:t>
      </w:r>
    </w:p>
    <w:p w:rsidR="00BD5FCF" w:rsidRPr="00C25776" w:rsidRDefault="00BD5FCF" w:rsidP="00BD5FCF">
      <w:pPr>
        <w:pStyle w:val="EPComma"/>
      </w:pPr>
      <w:r w:rsidRPr="00C25776">
        <w:rPr>
          <w:i/>
          <w:iCs/>
        </w:rPr>
        <w:t>Parlamentul European</w:t>
      </w:r>
      <w:r w:rsidRPr="00C25776">
        <w:t>,</w:t>
      </w:r>
    </w:p>
    <w:p w:rsidR="00BD5FCF" w:rsidRPr="00C25776" w:rsidRDefault="00BD5FCF" w:rsidP="00BD5FCF">
      <w:pPr>
        <w:pStyle w:val="NormalHanging12a"/>
        <w:jc w:val="both"/>
      </w:pPr>
      <w:r w:rsidRPr="00C25776">
        <w:t>–</w:t>
      </w:r>
      <w:r w:rsidRPr="00C25776">
        <w:tab/>
        <w:t>având în vedere propunerea Comisiei prezentată Parlamentului European și Consiliului (COM(</w:t>
      </w:r>
      <w:r w:rsidRPr="002B67FF">
        <w:t>2023</w:t>
      </w:r>
      <w:r w:rsidRPr="00C25776">
        <w:t>)</w:t>
      </w:r>
      <w:r w:rsidRPr="002B67FF">
        <w:t>0395</w:t>
      </w:r>
      <w:r w:rsidRPr="00C25776">
        <w:t>),</w:t>
      </w:r>
    </w:p>
    <w:p w:rsidR="00BD5FCF" w:rsidRPr="00C25776" w:rsidRDefault="00BD5FCF" w:rsidP="00BD5FCF">
      <w:pPr>
        <w:pStyle w:val="NormalHanging12a"/>
        <w:jc w:val="both"/>
      </w:pPr>
      <w:r w:rsidRPr="00C25776">
        <w:t>–</w:t>
      </w:r>
      <w:r w:rsidRPr="00C25776">
        <w:tab/>
        <w:t>având în vedere articolul </w:t>
      </w:r>
      <w:r w:rsidRPr="002B67FF">
        <w:t>294</w:t>
      </w:r>
      <w:r w:rsidRPr="00C25776">
        <w:t xml:space="preserve"> alineatul (</w:t>
      </w:r>
      <w:r w:rsidRPr="002B67FF">
        <w:t>2</w:t>
      </w:r>
      <w:r w:rsidRPr="00C25776">
        <w:t>) și articolul </w:t>
      </w:r>
      <w:r w:rsidRPr="002B67FF">
        <w:t>192</w:t>
      </w:r>
      <w:r w:rsidRPr="00C25776">
        <w:t xml:space="preserve"> alineatul (</w:t>
      </w:r>
      <w:r w:rsidRPr="002B67FF">
        <w:t>1</w:t>
      </w:r>
      <w:r w:rsidRPr="00C25776">
        <w:t>) din Tratatul privind funcționarea Uniunii Europene, în temeiul cărora propunerea a fost prezentată de către Comisie (C</w:t>
      </w:r>
      <w:r w:rsidRPr="002B67FF">
        <w:t>9</w:t>
      </w:r>
      <w:r w:rsidRPr="00C25776">
        <w:noBreakHyphen/>
      </w:r>
      <w:r w:rsidRPr="002B67FF">
        <w:t>0309</w:t>
      </w:r>
      <w:r w:rsidRPr="00C25776">
        <w:t>/</w:t>
      </w:r>
      <w:r w:rsidRPr="002B67FF">
        <w:t>2023</w:t>
      </w:r>
      <w:r w:rsidRPr="00C25776">
        <w:t>),</w:t>
      </w:r>
    </w:p>
    <w:p w:rsidR="00BD5FCF" w:rsidRPr="00C25776" w:rsidRDefault="00BD5FCF" w:rsidP="00BD5FCF">
      <w:pPr>
        <w:pStyle w:val="NormalHanging12a"/>
        <w:jc w:val="both"/>
      </w:pPr>
      <w:r w:rsidRPr="00C25776">
        <w:t>–</w:t>
      </w:r>
      <w:r w:rsidRPr="00C25776">
        <w:tab/>
        <w:t xml:space="preserve">având în vedere articolul </w:t>
      </w:r>
      <w:r w:rsidRPr="002B67FF">
        <w:t>294</w:t>
      </w:r>
      <w:r w:rsidRPr="00C25776">
        <w:t xml:space="preserve"> alineatul (</w:t>
      </w:r>
      <w:r w:rsidRPr="002B67FF">
        <w:t>3</w:t>
      </w:r>
      <w:r w:rsidRPr="00C25776">
        <w:t>) din Tratatul privind funcționarea Uniunii Europene,</w:t>
      </w:r>
    </w:p>
    <w:p w:rsidR="00BD5FCF" w:rsidRPr="00C25776" w:rsidRDefault="00BD5FCF" w:rsidP="00BD5FCF">
      <w:pPr>
        <w:pStyle w:val="NormalHanging12a"/>
        <w:jc w:val="both"/>
        <w:rPr>
          <w:szCs w:val="24"/>
        </w:rPr>
      </w:pPr>
      <w:r w:rsidRPr="00C25776">
        <w:t>–</w:t>
      </w:r>
      <w:r w:rsidRPr="00C25776">
        <w:tab/>
        <w:t xml:space="preserve">având în vedere avizul Comitetului Economic și Social European din </w:t>
      </w:r>
      <w:r w:rsidRPr="002B67FF">
        <w:t>26</w:t>
      </w:r>
      <w:r w:rsidRPr="00C25776">
        <w:t xml:space="preserve"> octombrie </w:t>
      </w:r>
      <w:r w:rsidRPr="002B67FF">
        <w:t>2023</w:t>
      </w:r>
      <w:r w:rsidRPr="00C25776">
        <w:rPr>
          <w:rStyle w:val="FootnoteReference"/>
          <w:szCs w:val="24"/>
        </w:rPr>
        <w:footnoteReference w:id="1"/>
      </w:r>
      <w:r w:rsidRPr="00C25776">
        <w:t>,</w:t>
      </w:r>
    </w:p>
    <w:p w:rsidR="00BD5FCF" w:rsidRPr="00C25776" w:rsidRDefault="00BD5FCF" w:rsidP="00BD5FCF">
      <w:pPr>
        <w:pStyle w:val="NormalHanging12a"/>
        <w:jc w:val="both"/>
      </w:pPr>
      <w:r w:rsidRPr="00C25776">
        <w:t>–</w:t>
      </w:r>
      <w:r w:rsidRPr="00C25776">
        <w:tab/>
        <w:t>după consultarea Comitetului Regiunilor,</w:t>
      </w:r>
    </w:p>
    <w:p w:rsidR="00C34356" w:rsidRPr="00C25776" w:rsidRDefault="00C34356" w:rsidP="00C34356">
      <w:pPr>
        <w:spacing w:after="240"/>
        <w:ind w:left="567" w:hanging="567"/>
      </w:pPr>
      <w:r w:rsidRPr="00C25776">
        <w:t>–</w:t>
      </w:r>
      <w:r w:rsidRPr="00C25776">
        <w:tab/>
        <w:t xml:space="preserve">având în vedere acordul provizoriu aprobat de comisia competentă în temeiul articolului </w:t>
      </w:r>
      <w:r w:rsidRPr="002B67FF">
        <w:t>74</w:t>
      </w:r>
      <w:r w:rsidRPr="00C25776">
        <w:t xml:space="preserve"> alineatul (</w:t>
      </w:r>
      <w:r w:rsidRPr="002B67FF">
        <w:t>4</w:t>
      </w:r>
      <w:r w:rsidRPr="00C25776">
        <w:t xml:space="preserve">) din Regulamentul său de procedură și angajamentul reprezentantului Consiliului, exprimat în scrisoarea din </w:t>
      </w:r>
      <w:r w:rsidRPr="002B67FF">
        <w:t>21</w:t>
      </w:r>
      <w:r w:rsidRPr="00C25776">
        <w:t xml:space="preserve"> februarie </w:t>
      </w:r>
      <w:r w:rsidRPr="002B67FF">
        <w:t>2024</w:t>
      </w:r>
      <w:r w:rsidRPr="00C25776">
        <w:t xml:space="preserve">, de a aproba poziția Parlamentului în conformitate cu articolul </w:t>
      </w:r>
      <w:r w:rsidRPr="002B67FF">
        <w:t>294</w:t>
      </w:r>
      <w:r w:rsidRPr="00C25776">
        <w:t xml:space="preserve"> alineatul (</w:t>
      </w:r>
      <w:r w:rsidRPr="002B67FF">
        <w:t>4</w:t>
      </w:r>
      <w:r w:rsidRPr="00C25776">
        <w:t>) din Tratatul privind funcționarea Uniunii Europene,</w:t>
      </w:r>
    </w:p>
    <w:p w:rsidR="00BD5FCF" w:rsidRPr="00C25776" w:rsidRDefault="00BD5FCF" w:rsidP="00BD5FCF">
      <w:pPr>
        <w:pStyle w:val="NormalHanging12a"/>
        <w:jc w:val="both"/>
      </w:pPr>
      <w:r w:rsidRPr="00C25776">
        <w:lastRenderedPageBreak/>
        <w:t>–</w:t>
      </w:r>
      <w:r w:rsidRPr="00C25776">
        <w:tab/>
        <w:t xml:space="preserve">având în vedere articolul </w:t>
      </w:r>
      <w:r w:rsidRPr="002B67FF">
        <w:t>59</w:t>
      </w:r>
      <w:r w:rsidRPr="00C25776">
        <w:t xml:space="preserve"> din Regulamentul său de procedură,</w:t>
      </w:r>
    </w:p>
    <w:p w:rsidR="00BD5FCF" w:rsidRPr="00C25776" w:rsidRDefault="00BD5FCF" w:rsidP="00BD5FCF">
      <w:pPr>
        <w:pStyle w:val="NormalHanging12a"/>
        <w:jc w:val="both"/>
      </w:pPr>
      <w:r w:rsidRPr="00C25776">
        <w:t>–</w:t>
      </w:r>
      <w:r w:rsidRPr="00C25776">
        <w:tab/>
        <w:t>având în vedere raportul Comisiei pentru mediu, sănătate publică și siguranță alimentară (A</w:t>
      </w:r>
      <w:r w:rsidRPr="002B67FF">
        <w:t>9</w:t>
      </w:r>
      <w:r w:rsidRPr="00C25776">
        <w:t>-</w:t>
      </w:r>
      <w:r w:rsidRPr="002B67FF">
        <w:t>0002</w:t>
      </w:r>
      <w:r w:rsidRPr="00C25776">
        <w:t>/</w:t>
      </w:r>
      <w:r w:rsidRPr="002B67FF">
        <w:t>2024</w:t>
      </w:r>
      <w:r w:rsidRPr="00C25776">
        <w:t>),</w:t>
      </w:r>
    </w:p>
    <w:p w:rsidR="00BD5FCF" w:rsidRPr="00C25776" w:rsidRDefault="00BD5FCF" w:rsidP="00BD5FCF">
      <w:pPr>
        <w:pStyle w:val="NormalHanging12a"/>
      </w:pPr>
      <w:r w:rsidRPr="002B67FF">
        <w:t>1</w:t>
      </w:r>
      <w:r w:rsidRPr="00C25776">
        <w:t>.</w:t>
      </w:r>
      <w:r w:rsidRPr="00C25776">
        <w:tab/>
        <w:t>adoptă poziția sa în primă lectură prezentată în continuare</w:t>
      </w:r>
      <w:r w:rsidR="00C34356" w:rsidRPr="00C25776">
        <w:rPr>
          <w:rStyle w:val="FootnoteReference"/>
        </w:rPr>
        <w:footnoteReference w:id="2"/>
      </w:r>
      <w:r w:rsidRPr="00C25776">
        <w:t>;</w:t>
      </w:r>
    </w:p>
    <w:p w:rsidR="00BD5FCF" w:rsidRPr="00C25776" w:rsidRDefault="00BD5FCF" w:rsidP="00BD5FCF">
      <w:pPr>
        <w:pStyle w:val="NormalHanging12a"/>
      </w:pPr>
      <w:r w:rsidRPr="002B67FF">
        <w:t>2</w:t>
      </w:r>
      <w:r w:rsidRPr="00C25776">
        <w:t>.</w:t>
      </w:r>
      <w:r w:rsidRPr="00C25776">
        <w:tab/>
        <w:t>solicită Comisiei să îl sesizeze din nou în cazul în care își înlocuiește, își modifică în mod substanțial sau intenționează să-și modifice în mod substanțial propunerea;</w:t>
      </w:r>
    </w:p>
    <w:p w:rsidR="00C34356" w:rsidRPr="00C25776" w:rsidRDefault="00BD5FCF" w:rsidP="00C34356">
      <w:pPr>
        <w:pStyle w:val="NormalHanging12a"/>
        <w:sectPr w:rsidR="00C34356" w:rsidRPr="00C25776" w:rsidSect="00D40323">
          <w:footnotePr>
            <w:numRestart w:val="eachSect"/>
          </w:footnotePr>
          <w:endnotePr>
            <w:numFmt w:val="decimal"/>
          </w:endnotePr>
          <w:pgSz w:w="11906" w:h="16838" w:code="9"/>
          <w:pgMar w:top="1134" w:right="1418" w:bottom="1418" w:left="1418" w:header="1134" w:footer="567" w:gutter="0"/>
          <w:cols w:space="720"/>
          <w:noEndnote/>
          <w:docGrid w:linePitch="326"/>
        </w:sectPr>
      </w:pPr>
      <w:r w:rsidRPr="002B67FF">
        <w:t>3</w:t>
      </w:r>
      <w:r w:rsidRPr="00C25776">
        <w:t>.</w:t>
      </w:r>
      <w:r w:rsidRPr="00C25776">
        <w:tab/>
        <w:t>încredințează Președintei sarcina de a transmite Consiliului și Comisiei, precum și parlamentelor naționale poziția Parlamentului.</w:t>
      </w:r>
    </w:p>
    <w:p w:rsidR="00C34356" w:rsidRPr="00C25776" w:rsidRDefault="00C34356" w:rsidP="00C34356">
      <w:pPr>
        <w:autoSpaceDE w:val="0"/>
        <w:autoSpaceDN w:val="0"/>
        <w:adjustRightInd w:val="0"/>
        <w:spacing w:after="240"/>
        <w:rPr>
          <w:rFonts w:eastAsia="Calibri"/>
          <w:b/>
          <w:bCs/>
          <w:color w:val="000000"/>
          <w:szCs w:val="24"/>
        </w:rPr>
      </w:pPr>
      <w:r w:rsidRPr="00C25776">
        <w:rPr>
          <w:rFonts w:eastAsia="Calibri"/>
          <w:b/>
          <w:bCs/>
          <w:color w:val="000000"/>
          <w:szCs w:val="24"/>
        </w:rPr>
        <w:lastRenderedPageBreak/>
        <w:t>P</w:t>
      </w:r>
      <w:r w:rsidRPr="002B67FF">
        <w:rPr>
          <w:rFonts w:eastAsia="Calibri"/>
          <w:b/>
          <w:bCs/>
          <w:color w:val="000000"/>
          <w:szCs w:val="24"/>
        </w:rPr>
        <w:t>9</w:t>
      </w:r>
      <w:r w:rsidRPr="00C25776">
        <w:rPr>
          <w:rFonts w:eastAsia="Calibri"/>
          <w:b/>
          <w:bCs/>
          <w:color w:val="000000"/>
          <w:szCs w:val="24"/>
        </w:rPr>
        <w:t>_TC</w:t>
      </w:r>
      <w:r w:rsidRPr="002B67FF">
        <w:rPr>
          <w:rFonts w:eastAsia="Calibri"/>
          <w:b/>
          <w:bCs/>
          <w:color w:val="000000"/>
          <w:szCs w:val="24"/>
        </w:rPr>
        <w:t>1</w:t>
      </w:r>
      <w:r w:rsidRPr="00C25776">
        <w:rPr>
          <w:rFonts w:eastAsia="Calibri"/>
          <w:b/>
          <w:bCs/>
          <w:color w:val="000000"/>
          <w:szCs w:val="24"/>
        </w:rPr>
        <w:t>-COD(</w:t>
      </w:r>
      <w:r w:rsidRPr="002B67FF">
        <w:rPr>
          <w:rFonts w:eastAsia="Calibri"/>
          <w:b/>
          <w:bCs/>
          <w:color w:val="000000"/>
          <w:szCs w:val="24"/>
        </w:rPr>
        <w:t>2023</w:t>
      </w:r>
      <w:r w:rsidRPr="00C25776">
        <w:rPr>
          <w:rFonts w:eastAsia="Calibri"/>
          <w:b/>
          <w:bCs/>
          <w:color w:val="000000"/>
          <w:szCs w:val="24"/>
        </w:rPr>
        <w:t>)</w:t>
      </w:r>
      <w:r w:rsidRPr="002B67FF">
        <w:rPr>
          <w:rFonts w:eastAsia="Calibri"/>
          <w:b/>
          <w:bCs/>
          <w:color w:val="000000"/>
          <w:szCs w:val="24"/>
        </w:rPr>
        <w:t>0272</w:t>
      </w:r>
    </w:p>
    <w:p w:rsidR="00C34356" w:rsidRDefault="00C34356" w:rsidP="00C34356">
      <w:pPr>
        <w:spacing w:before="120" w:after="120" w:line="276" w:lineRule="auto"/>
        <w:rPr>
          <w:b/>
          <w:color w:val="000000"/>
        </w:rPr>
      </w:pPr>
      <w:r w:rsidRPr="00C25776">
        <w:rPr>
          <w:b/>
        </w:rPr>
        <w:t xml:space="preserve">Poziția Parlamentului European adoptată în primă lectură la </w:t>
      </w:r>
      <w:r w:rsidRPr="002B67FF">
        <w:rPr>
          <w:b/>
        </w:rPr>
        <w:t>10</w:t>
      </w:r>
      <w:r w:rsidRPr="00C25776">
        <w:rPr>
          <w:b/>
        </w:rPr>
        <w:t xml:space="preserve"> aprilie </w:t>
      </w:r>
      <w:r w:rsidRPr="002B67FF">
        <w:rPr>
          <w:b/>
        </w:rPr>
        <w:t>2024</w:t>
      </w:r>
      <w:r w:rsidRPr="00C25776">
        <w:rPr>
          <w:b/>
        </w:rPr>
        <w:t xml:space="preserve"> în vederea adoptării Regulamentului (UE) </w:t>
      </w:r>
      <w:r w:rsidRPr="002B67FF">
        <w:rPr>
          <w:b/>
        </w:rPr>
        <w:t>2024</w:t>
      </w:r>
      <w:r w:rsidRPr="00C25776">
        <w:rPr>
          <w:b/>
        </w:rPr>
        <w:t xml:space="preserve">/... al Parlamentului European și al Consiliului </w:t>
      </w:r>
      <w:r w:rsidRPr="00C25776">
        <w:rPr>
          <w:b/>
          <w:color w:val="000000"/>
        </w:rPr>
        <w:t xml:space="preserve">de modificare a Regulamentului (UE) </w:t>
      </w:r>
      <w:r w:rsidRPr="002B67FF">
        <w:rPr>
          <w:b/>
          <w:color w:val="000000"/>
        </w:rPr>
        <w:t>2017</w:t>
      </w:r>
      <w:r w:rsidRPr="00C25776">
        <w:rPr>
          <w:b/>
          <w:color w:val="000000"/>
        </w:rPr>
        <w:t>/</w:t>
      </w:r>
      <w:r w:rsidRPr="002B67FF">
        <w:rPr>
          <w:b/>
          <w:color w:val="000000"/>
        </w:rPr>
        <w:t>852</w:t>
      </w:r>
      <w:r w:rsidRPr="00C25776">
        <w:rPr>
          <w:b/>
          <w:color w:val="000000"/>
        </w:rPr>
        <w:t xml:space="preserve"> privind mercurul în ceea ce privește amalgamul dentar și alte produse cu adaos de mercur care fac obiectul unor restricții de export, de import și de fabricație</w:t>
      </w:r>
    </w:p>
    <w:p w:rsidR="00B92C29" w:rsidRPr="00C25776" w:rsidRDefault="00B92C29" w:rsidP="00B92C29">
      <w:pPr>
        <w:spacing w:before="360"/>
        <w:rPr>
          <w:b/>
          <w:color w:val="000000"/>
        </w:rPr>
      </w:pPr>
      <w:r>
        <w:rPr>
          <w:rStyle w:val="ATHeading3Char"/>
          <w:b w:val="0"/>
          <w:i/>
        </w:rPr>
        <w:t>(Întrucât s-a ajuns la un acord între Parlament și Consiliu, poziția Parlamentului corespunde cu actul legislativ final, Regulamentul (UE) 2024/</w:t>
      </w:r>
      <w:r>
        <w:rPr>
          <w:rStyle w:val="ATHeading3Char"/>
          <w:b w:val="0"/>
          <w:i/>
        </w:rPr>
        <w:t>1849</w:t>
      </w:r>
      <w:r>
        <w:rPr>
          <w:rStyle w:val="ATHeading3Char"/>
          <w:b w:val="0"/>
          <w:i/>
        </w:rPr>
        <w:t>.)</w:t>
      </w:r>
      <w:bookmarkStart w:id="8" w:name="_GoBack"/>
      <w:bookmarkEnd w:id="8"/>
    </w:p>
    <w:sectPr w:rsidR="00B92C29" w:rsidRPr="00C25776" w:rsidSect="00AF76C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58FD" w:rsidRPr="00AF76CB" w:rsidRDefault="00D158FD">
      <w:r w:rsidRPr="00AF76CB">
        <w:separator/>
      </w:r>
    </w:p>
  </w:endnote>
  <w:endnote w:type="continuationSeparator" w:id="0">
    <w:p w:rsidR="00D158FD" w:rsidRPr="00AF76CB" w:rsidRDefault="00D158FD">
      <w:r w:rsidRPr="00AF76C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F76C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F76C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F76C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58FD" w:rsidRPr="00AF76CB" w:rsidRDefault="00D158FD">
      <w:r w:rsidRPr="00AF76CB">
        <w:separator/>
      </w:r>
    </w:p>
  </w:footnote>
  <w:footnote w:type="continuationSeparator" w:id="0">
    <w:p w:rsidR="00D158FD" w:rsidRPr="00AF76CB" w:rsidRDefault="00D158FD">
      <w:r w:rsidRPr="00AF76CB">
        <w:continuationSeparator/>
      </w:r>
    </w:p>
  </w:footnote>
  <w:footnote w:id="1">
    <w:p w:rsidR="00BD5FCF" w:rsidRPr="00C25776" w:rsidRDefault="00BD5FCF" w:rsidP="00AF76CB">
      <w:pPr>
        <w:pStyle w:val="FootnoteText"/>
        <w:ind w:left="567" w:hanging="567"/>
        <w:rPr>
          <w:sz w:val="24"/>
          <w:lang w:val="ro-RO"/>
        </w:rPr>
      </w:pPr>
      <w:r w:rsidRPr="00C25776">
        <w:rPr>
          <w:rStyle w:val="FootnoteReference"/>
          <w:sz w:val="24"/>
          <w:lang w:val="ro-RO"/>
        </w:rPr>
        <w:footnoteRef/>
      </w:r>
      <w:r w:rsidR="00AF76CB" w:rsidRPr="00C25776">
        <w:rPr>
          <w:sz w:val="24"/>
          <w:lang w:val="ro-RO"/>
        </w:rPr>
        <w:t xml:space="preserve"> </w:t>
      </w:r>
      <w:r w:rsidR="00AF76CB" w:rsidRPr="00C25776">
        <w:rPr>
          <w:sz w:val="24"/>
          <w:lang w:val="ro-RO"/>
        </w:rPr>
        <w:tab/>
      </w:r>
      <w:r w:rsidR="00C34356" w:rsidRPr="00C25776">
        <w:rPr>
          <w:sz w:val="24"/>
          <w:lang w:val="ro-RO"/>
        </w:rPr>
        <w:t>JO C, C/</w:t>
      </w:r>
      <w:r w:rsidR="00C34356" w:rsidRPr="002B67FF">
        <w:rPr>
          <w:sz w:val="24"/>
          <w:lang w:val="ro-RO"/>
        </w:rPr>
        <w:t>2024</w:t>
      </w:r>
      <w:r w:rsidR="00C34356" w:rsidRPr="00C25776">
        <w:rPr>
          <w:sz w:val="24"/>
          <w:lang w:val="ro-RO"/>
        </w:rPr>
        <w:t>/</w:t>
      </w:r>
      <w:r w:rsidR="00C34356" w:rsidRPr="002B67FF">
        <w:rPr>
          <w:sz w:val="24"/>
          <w:lang w:val="ro-RO"/>
        </w:rPr>
        <w:t>894</w:t>
      </w:r>
      <w:r w:rsidR="00C34356" w:rsidRPr="00C25776">
        <w:rPr>
          <w:sz w:val="24"/>
          <w:lang w:val="ro-RO"/>
        </w:rPr>
        <w:t xml:space="preserve">, </w:t>
      </w:r>
      <w:r w:rsidR="00C34356" w:rsidRPr="002B67FF">
        <w:rPr>
          <w:sz w:val="24"/>
          <w:lang w:val="ro-RO"/>
        </w:rPr>
        <w:t>6</w:t>
      </w:r>
      <w:r w:rsidR="00C34356" w:rsidRPr="00C25776">
        <w:rPr>
          <w:sz w:val="24"/>
          <w:lang w:val="ro-RO"/>
        </w:rPr>
        <w:t>.</w:t>
      </w:r>
      <w:r w:rsidR="00C34356" w:rsidRPr="002B67FF">
        <w:rPr>
          <w:sz w:val="24"/>
          <w:lang w:val="ro-RO"/>
        </w:rPr>
        <w:t>2</w:t>
      </w:r>
      <w:r w:rsidR="00C34356" w:rsidRPr="00C25776">
        <w:rPr>
          <w:sz w:val="24"/>
          <w:lang w:val="ro-RO"/>
        </w:rPr>
        <w:t>.</w:t>
      </w:r>
      <w:r w:rsidR="00C34356" w:rsidRPr="002B67FF">
        <w:rPr>
          <w:sz w:val="24"/>
          <w:lang w:val="ro-RO"/>
        </w:rPr>
        <w:t>2024</w:t>
      </w:r>
      <w:r w:rsidR="00C34356" w:rsidRPr="00C25776">
        <w:rPr>
          <w:sz w:val="24"/>
          <w:lang w:val="ro-RO"/>
        </w:rPr>
        <w:t xml:space="preserve">, ELI: </w:t>
      </w:r>
      <w:hyperlink r:id="rId1" w:history="1">
        <w:r w:rsidR="00C34356" w:rsidRPr="00C25776">
          <w:rPr>
            <w:rStyle w:val="Hyperlink"/>
            <w:sz w:val="24"/>
            <w:lang w:val="ro-RO"/>
          </w:rPr>
          <w:t>http://data.europa.eu/eli/C/</w:t>
        </w:r>
        <w:r w:rsidR="00C34356" w:rsidRPr="002B67FF">
          <w:rPr>
            <w:rStyle w:val="Hyperlink"/>
            <w:sz w:val="24"/>
            <w:lang w:val="ro-RO"/>
          </w:rPr>
          <w:t>2024</w:t>
        </w:r>
        <w:r w:rsidR="00C34356" w:rsidRPr="00C25776">
          <w:rPr>
            <w:rStyle w:val="Hyperlink"/>
            <w:sz w:val="24"/>
            <w:lang w:val="ro-RO"/>
          </w:rPr>
          <w:t>/</w:t>
        </w:r>
        <w:r w:rsidR="00C34356" w:rsidRPr="002B67FF">
          <w:rPr>
            <w:rStyle w:val="Hyperlink"/>
            <w:sz w:val="24"/>
            <w:lang w:val="ro-RO"/>
          </w:rPr>
          <w:t>894</w:t>
        </w:r>
        <w:r w:rsidR="00C34356" w:rsidRPr="00C25776">
          <w:rPr>
            <w:rStyle w:val="Hyperlink"/>
            <w:sz w:val="24"/>
            <w:lang w:val="ro-RO"/>
          </w:rPr>
          <w:t>/oj</w:t>
        </w:r>
      </w:hyperlink>
      <w:r w:rsidRPr="00C25776">
        <w:rPr>
          <w:sz w:val="24"/>
          <w:lang w:val="ro-RO"/>
        </w:rPr>
        <w:t>.</w:t>
      </w:r>
    </w:p>
  </w:footnote>
  <w:footnote w:id="2">
    <w:p w:rsidR="00C34356" w:rsidRPr="00C25776" w:rsidRDefault="00C34356" w:rsidP="00C34356">
      <w:pPr>
        <w:pStyle w:val="FootnoteText"/>
        <w:ind w:left="851" w:hanging="851"/>
        <w:rPr>
          <w:lang w:val="ro-RO"/>
        </w:rPr>
      </w:pPr>
      <w:r w:rsidRPr="00C25776">
        <w:rPr>
          <w:rStyle w:val="FootnoteReference"/>
          <w:sz w:val="24"/>
          <w:lang w:val="ro-RO"/>
        </w:rPr>
        <w:footnoteRef/>
      </w:r>
      <w:r w:rsidRPr="00C25776">
        <w:rPr>
          <w:sz w:val="24"/>
          <w:lang w:val="ro-RO"/>
        </w:rPr>
        <w:t xml:space="preserve"> </w:t>
      </w:r>
      <w:r w:rsidRPr="00C25776">
        <w:rPr>
          <w:sz w:val="24"/>
          <w:lang w:val="ro-RO"/>
        </w:rPr>
        <w:tab/>
        <w:t xml:space="preserve">Prezenta poziție înlocuiește amendamentele adoptate la </w:t>
      </w:r>
      <w:r w:rsidRPr="002B67FF">
        <w:rPr>
          <w:sz w:val="24"/>
          <w:lang w:val="ro-RO"/>
        </w:rPr>
        <w:t>17</w:t>
      </w:r>
      <w:r w:rsidRPr="00C25776">
        <w:rPr>
          <w:sz w:val="24"/>
          <w:lang w:val="ro-RO"/>
        </w:rPr>
        <w:t xml:space="preserve"> ianuarie </w:t>
      </w:r>
      <w:r w:rsidRPr="002B67FF">
        <w:rPr>
          <w:sz w:val="24"/>
          <w:lang w:val="ro-RO"/>
        </w:rPr>
        <w:t>2024</w:t>
      </w:r>
      <w:r w:rsidRPr="00C25776">
        <w:rPr>
          <w:sz w:val="24"/>
          <w:lang w:val="ro-RO"/>
        </w:rPr>
        <w:t xml:space="preserve"> (Texte adoptate, P</w:t>
      </w:r>
      <w:r w:rsidRPr="002B67FF">
        <w:rPr>
          <w:sz w:val="24"/>
          <w:lang w:val="ro-RO"/>
        </w:rPr>
        <w:t>9</w:t>
      </w:r>
      <w:r w:rsidRPr="00C25776">
        <w:rPr>
          <w:sz w:val="24"/>
          <w:lang w:val="ro-RO"/>
        </w:rPr>
        <w:t>_TA(</w:t>
      </w:r>
      <w:r w:rsidRPr="002B67FF">
        <w:rPr>
          <w:sz w:val="24"/>
          <w:lang w:val="ro-RO"/>
        </w:rPr>
        <w:t>2024</w:t>
      </w:r>
      <w:r w:rsidRPr="00C25776">
        <w:rPr>
          <w:sz w:val="24"/>
          <w:lang w:val="ro-RO"/>
        </w:rPr>
        <w:t>)</w:t>
      </w:r>
      <w:r w:rsidRPr="002B67FF">
        <w:rPr>
          <w:sz w:val="24"/>
          <w:lang w:val="ro-RO"/>
        </w:rPr>
        <w:t>0019</w:t>
      </w:r>
      <w:r w:rsidRPr="00C25776">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F76C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F76C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F76C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2/2024"/>
    <w:docVar w:name="dvlangue" w:val="RO"/>
    <w:docVar w:name="dvnumam" w:val="15"/>
    <w:docVar w:name="dvpe" w:val="753.554"/>
    <w:docVar w:name="dvrapporteur" w:val="Raportoare: "/>
    <w:docVar w:name="dvstar" w:val="***I"/>
    <w:docVar w:name="dvtitre" w:val="Rezoluția legislativă a Parlamentului European din 11 aprilie 2024 referitoare la propunerea de regulament a Parlamentului European și a Consiliului de modificare a Regulamentului (UE) 2017/852 al Parlamentului European și al Consiliului din 17 mai 2017 privind mercurul în ceea ce privește amalgamul dentar și alte produse cu adaos de mercur care fac obiectul unor restricții de fabricație, import și export(COM(2023)0395 – C9-0309/2023 – 2023/0272(COD))"/>
  </w:docVars>
  <w:rsids>
    <w:rsidRoot w:val="00D158FD"/>
    <w:rsid w:val="00002272"/>
    <w:rsid w:val="00064002"/>
    <w:rsid w:val="000677B9"/>
    <w:rsid w:val="000831BA"/>
    <w:rsid w:val="000A42CC"/>
    <w:rsid w:val="000E7DD9"/>
    <w:rsid w:val="0010095E"/>
    <w:rsid w:val="00125B37"/>
    <w:rsid w:val="00187494"/>
    <w:rsid w:val="001C64A6"/>
    <w:rsid w:val="001F32AE"/>
    <w:rsid w:val="002767FF"/>
    <w:rsid w:val="002B18FE"/>
    <w:rsid w:val="002B5493"/>
    <w:rsid w:val="002B67FF"/>
    <w:rsid w:val="00343214"/>
    <w:rsid w:val="00361C00"/>
    <w:rsid w:val="00395FA1"/>
    <w:rsid w:val="003E15D4"/>
    <w:rsid w:val="00411CCE"/>
    <w:rsid w:val="0041666E"/>
    <w:rsid w:val="00421060"/>
    <w:rsid w:val="00471C19"/>
    <w:rsid w:val="004867E3"/>
    <w:rsid w:val="00494A28"/>
    <w:rsid w:val="004C0004"/>
    <w:rsid w:val="004C5D52"/>
    <w:rsid w:val="004D36A9"/>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14C"/>
    <w:rsid w:val="00762C74"/>
    <w:rsid w:val="007769FA"/>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AF76CB"/>
    <w:rsid w:val="00B12E95"/>
    <w:rsid w:val="00B22876"/>
    <w:rsid w:val="00B558F0"/>
    <w:rsid w:val="00B92C29"/>
    <w:rsid w:val="00BD48FE"/>
    <w:rsid w:val="00BD5FCF"/>
    <w:rsid w:val="00BD7BD8"/>
    <w:rsid w:val="00BE6ADC"/>
    <w:rsid w:val="00C05BFE"/>
    <w:rsid w:val="00C23CD4"/>
    <w:rsid w:val="00C25776"/>
    <w:rsid w:val="00C34356"/>
    <w:rsid w:val="00C61C0C"/>
    <w:rsid w:val="00C941CB"/>
    <w:rsid w:val="00CC2357"/>
    <w:rsid w:val="00CF071A"/>
    <w:rsid w:val="00D058B8"/>
    <w:rsid w:val="00D158FD"/>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B1DBA5"/>
  <w15:chartTrackingRefBased/>
  <w15:docId w15:val="{0D5336CC-9775-44A6-931A-AE4916B9B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link w:val="ATHeading3Char"/>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D5FCF"/>
    <w:pPr>
      <w:widowControl/>
      <w:tabs>
        <w:tab w:val="center" w:pos="4535"/>
        <w:tab w:val="right" w:pos="9921"/>
      </w:tabs>
      <w:ind w:left="-850" w:right="-850"/>
    </w:pPr>
    <w:rPr>
      <w:rFonts w:ascii="Arial" w:hAnsi="Arial" w:cs="Arial"/>
      <w:b/>
      <w:sz w:val="48"/>
    </w:rPr>
  </w:style>
  <w:style w:type="paragraph" w:customStyle="1" w:styleId="Normal6a">
    <w:name w:val="Normal6a"/>
    <w:basedOn w:val="Normal"/>
    <w:rsid w:val="00BD5FCF"/>
    <w:pPr>
      <w:spacing w:after="120"/>
    </w:pPr>
  </w:style>
  <w:style w:type="paragraph" w:customStyle="1" w:styleId="PageHeading">
    <w:name w:val="PageHeading"/>
    <w:basedOn w:val="Normal"/>
    <w:rsid w:val="00BD5FCF"/>
    <w:pPr>
      <w:keepNext/>
      <w:spacing w:after="480"/>
      <w:jc w:val="center"/>
    </w:pPr>
    <w:rPr>
      <w:rFonts w:ascii="Arial" w:hAnsi="Arial" w:cs="Arial"/>
      <w:b/>
    </w:rPr>
  </w:style>
  <w:style w:type="paragraph" w:customStyle="1" w:styleId="NormalBold">
    <w:name w:val="NormalBold"/>
    <w:basedOn w:val="Normal"/>
    <w:link w:val="NormalBoldChar"/>
    <w:rsid w:val="00BD5FCF"/>
    <w:rPr>
      <w:b/>
    </w:rPr>
  </w:style>
  <w:style w:type="paragraph" w:customStyle="1" w:styleId="NormalHanging12a">
    <w:name w:val="NormalHanging12a"/>
    <w:basedOn w:val="Normal"/>
    <w:rsid w:val="00BD5FCF"/>
    <w:pPr>
      <w:spacing w:after="240"/>
      <w:ind w:left="567" w:hanging="567"/>
    </w:pPr>
  </w:style>
  <w:style w:type="paragraph" w:styleId="Header">
    <w:name w:val="header"/>
    <w:basedOn w:val="Normal"/>
    <w:link w:val="HeaderChar"/>
    <w:rsid w:val="00BD5FCF"/>
    <w:pPr>
      <w:tabs>
        <w:tab w:val="center" w:pos="4513"/>
        <w:tab w:val="right" w:pos="9026"/>
      </w:tabs>
    </w:pPr>
  </w:style>
  <w:style w:type="character" w:customStyle="1" w:styleId="HeaderChar">
    <w:name w:val="Header Char"/>
    <w:basedOn w:val="DefaultParagraphFont"/>
    <w:link w:val="Header"/>
    <w:rsid w:val="00BD5FCF"/>
    <w:rPr>
      <w:sz w:val="24"/>
      <w:lang w:val="ro-RO"/>
    </w:rPr>
  </w:style>
  <w:style w:type="paragraph" w:customStyle="1" w:styleId="AmColumnHeading">
    <w:name w:val="AmColumnHeading"/>
    <w:basedOn w:val="Normal"/>
    <w:rsid w:val="00BD5FCF"/>
    <w:pPr>
      <w:spacing w:after="240"/>
      <w:jc w:val="center"/>
    </w:pPr>
    <w:rPr>
      <w:i/>
    </w:rPr>
  </w:style>
  <w:style w:type="paragraph" w:customStyle="1" w:styleId="AmNumberTabs">
    <w:name w:val="AmNumberTabs"/>
    <w:basedOn w:val="Normal"/>
    <w:link w:val="AmNumberTabsChar"/>
    <w:rsid w:val="00BD5FC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BD5FCF"/>
    <w:pPr>
      <w:spacing w:before="240"/>
    </w:pPr>
    <w:rPr>
      <w:b/>
    </w:rPr>
  </w:style>
  <w:style w:type="paragraph" w:customStyle="1" w:styleId="EPFooter">
    <w:name w:val="EPFooter"/>
    <w:basedOn w:val="Normal"/>
    <w:rsid w:val="00BD5FCF"/>
    <w:pPr>
      <w:tabs>
        <w:tab w:val="center" w:pos="4535"/>
        <w:tab w:val="right" w:pos="9071"/>
      </w:tabs>
      <w:spacing w:before="240" w:after="240"/>
    </w:pPr>
    <w:rPr>
      <w:color w:val="010000"/>
      <w:sz w:val="22"/>
    </w:rPr>
  </w:style>
  <w:style w:type="paragraph" w:customStyle="1" w:styleId="EPComma">
    <w:name w:val="EPComma"/>
    <w:basedOn w:val="Normal"/>
    <w:rsid w:val="00BD5FCF"/>
    <w:pPr>
      <w:spacing w:before="480" w:after="240"/>
    </w:pPr>
  </w:style>
  <w:style w:type="paragraph" w:customStyle="1" w:styleId="Normal24a">
    <w:name w:val="Normal24a"/>
    <w:basedOn w:val="Normal"/>
    <w:rsid w:val="00BD5FCF"/>
    <w:pPr>
      <w:spacing w:after="480"/>
    </w:pPr>
  </w:style>
  <w:style w:type="paragraph" w:customStyle="1" w:styleId="NormalBoldCenter">
    <w:name w:val="NormalBoldCenter"/>
    <w:basedOn w:val="Normal"/>
    <w:rsid w:val="00BD5FCF"/>
    <w:pPr>
      <w:jc w:val="center"/>
    </w:pPr>
    <w:rPr>
      <w:b/>
    </w:rPr>
  </w:style>
  <w:style w:type="character" w:customStyle="1" w:styleId="Normal6Char">
    <w:name w:val="Normal6 Char"/>
    <w:basedOn w:val="DefaultParagraphFont"/>
    <w:link w:val="Normal6"/>
    <w:locked/>
    <w:rsid w:val="00BD5FCF"/>
    <w:rPr>
      <w:sz w:val="24"/>
      <w:lang w:val="ro-RO"/>
    </w:rPr>
  </w:style>
  <w:style w:type="paragraph" w:customStyle="1" w:styleId="Normal6">
    <w:name w:val="Normal6"/>
    <w:basedOn w:val="Normal"/>
    <w:link w:val="Normal6Char"/>
    <w:rsid w:val="00BD5FCF"/>
    <w:pPr>
      <w:spacing w:after="120"/>
    </w:pPr>
  </w:style>
  <w:style w:type="character" w:customStyle="1" w:styleId="NormalBoldChar">
    <w:name w:val="NormalBold Char"/>
    <w:basedOn w:val="DefaultParagraphFont"/>
    <w:link w:val="NormalBold"/>
    <w:locked/>
    <w:rsid w:val="00BD5FCF"/>
    <w:rPr>
      <w:b/>
      <w:sz w:val="24"/>
      <w:lang w:val="ro-RO"/>
    </w:rPr>
  </w:style>
  <w:style w:type="paragraph" w:customStyle="1" w:styleId="ColumnHeading">
    <w:name w:val="ColumnHeading"/>
    <w:basedOn w:val="Normal"/>
    <w:rsid w:val="00BD5FCF"/>
    <w:pPr>
      <w:spacing w:after="240"/>
      <w:jc w:val="center"/>
    </w:pPr>
    <w:rPr>
      <w:i/>
    </w:rPr>
  </w:style>
  <w:style w:type="character" w:customStyle="1" w:styleId="AmNumberTabsChar">
    <w:name w:val="AmNumberTabs Char"/>
    <w:basedOn w:val="DefaultParagraphFont"/>
    <w:link w:val="AmNumberTabs"/>
    <w:rsid w:val="00BD5FCF"/>
    <w:rPr>
      <w:b/>
      <w:sz w:val="24"/>
      <w:lang w:val="ro-RO"/>
    </w:rPr>
  </w:style>
  <w:style w:type="character" w:customStyle="1" w:styleId="NormalBold12bChar">
    <w:name w:val="NormalBold12b Char"/>
    <w:basedOn w:val="AmNumberTabsChar"/>
    <w:link w:val="NormalBold12b"/>
    <w:rsid w:val="00BD5FCF"/>
    <w:rPr>
      <w:b/>
      <w:sz w:val="24"/>
      <w:lang w:val="ro-RO"/>
    </w:rPr>
  </w:style>
  <w:style w:type="character" w:styleId="Emphasis">
    <w:name w:val="Emphasis"/>
    <w:basedOn w:val="DefaultParagraphFont"/>
    <w:uiPriority w:val="20"/>
    <w:qFormat/>
    <w:rsid w:val="00BD5FCF"/>
    <w:rPr>
      <w:i/>
      <w:iCs/>
    </w:rPr>
  </w:style>
  <w:style w:type="paragraph" w:customStyle="1" w:styleId="CrossRef">
    <w:name w:val="CrossRef"/>
    <w:basedOn w:val="Normal"/>
    <w:rsid w:val="00BD5FCF"/>
    <w:pPr>
      <w:spacing w:before="240"/>
      <w:jc w:val="center"/>
    </w:pPr>
    <w:rPr>
      <w:i/>
    </w:rPr>
  </w:style>
  <w:style w:type="paragraph" w:styleId="Footer">
    <w:name w:val="footer"/>
    <w:basedOn w:val="Normal"/>
    <w:link w:val="FooterChar"/>
    <w:rsid w:val="00C34356"/>
    <w:pPr>
      <w:tabs>
        <w:tab w:val="center" w:pos="4513"/>
        <w:tab w:val="right" w:pos="9026"/>
      </w:tabs>
    </w:pPr>
  </w:style>
  <w:style w:type="character" w:customStyle="1" w:styleId="FooterChar">
    <w:name w:val="Footer Char"/>
    <w:basedOn w:val="DefaultParagraphFont"/>
    <w:link w:val="Footer"/>
    <w:rsid w:val="00C34356"/>
    <w:rPr>
      <w:sz w:val="24"/>
      <w:lang w:val="ro-RO"/>
    </w:rPr>
  </w:style>
  <w:style w:type="paragraph" w:styleId="BalloonText">
    <w:name w:val="Balloon Text"/>
    <w:basedOn w:val="Normal"/>
    <w:link w:val="BalloonTextChar"/>
    <w:rsid w:val="00C34356"/>
    <w:rPr>
      <w:rFonts w:ascii="Segoe UI" w:hAnsi="Segoe UI" w:cs="Segoe UI"/>
      <w:sz w:val="18"/>
      <w:szCs w:val="18"/>
    </w:rPr>
  </w:style>
  <w:style w:type="character" w:customStyle="1" w:styleId="BalloonTextChar">
    <w:name w:val="Balloon Text Char"/>
    <w:basedOn w:val="DefaultParagraphFont"/>
    <w:link w:val="BalloonText"/>
    <w:rsid w:val="00C34356"/>
    <w:rPr>
      <w:rFonts w:ascii="Segoe UI" w:hAnsi="Segoe UI" w:cs="Segoe UI"/>
      <w:sz w:val="18"/>
      <w:szCs w:val="18"/>
      <w:lang w:val="ro-RO"/>
    </w:rPr>
  </w:style>
  <w:style w:type="character" w:styleId="Hyperlink">
    <w:name w:val="Hyperlink"/>
    <w:basedOn w:val="DefaultParagraphFont"/>
    <w:rsid w:val="00C34356"/>
    <w:rPr>
      <w:color w:val="0563C1" w:themeColor="hyperlink"/>
      <w:u w:val="single"/>
    </w:rPr>
  </w:style>
  <w:style w:type="character" w:styleId="FollowedHyperlink">
    <w:name w:val="FollowedHyperlink"/>
    <w:basedOn w:val="DefaultParagraphFont"/>
    <w:rsid w:val="001C64A6"/>
    <w:rPr>
      <w:color w:val="954F72" w:themeColor="followedHyperlink"/>
      <w:u w:val="single"/>
    </w:rPr>
  </w:style>
  <w:style w:type="character" w:customStyle="1" w:styleId="ATHeading3Char">
    <w:name w:val="AT Heading 3 Char"/>
    <w:link w:val="ATHeading3"/>
    <w:locked/>
    <w:rsid w:val="00B92C29"/>
    <w:rPr>
      <w:b/>
      <w:sz w:val="24"/>
      <w:lang w:val="ro-RO"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1554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8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06F456-7E2F-4A9E-A49F-10D0861298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371</Words>
  <Characters>2503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2024-07-25T16:26:00Z</dcterms:created>
  <dcterms:modified xsi:type="dcterms:W3CDTF">2024-07-25T16:26:00Z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P9_TA(2024)0191_</vt:lpwstr>
  </property>
  <property fmtid="{D5CDD505-2E9C-101B-9397-08002B2CF9AE}" pid="4" name="&lt;Type&gt;">
    <vt:lpwstr>RR</vt:lpwstr>
  </property>
</Properties>
</file>