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DC5B7C" w:rsidRPr="000D46A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DC5B7C" w:rsidRPr="000D46AF" w:rsidRDefault="00DB4C14">
            <w:pPr>
              <w:pStyle w:val="EPName"/>
            </w:pPr>
            <w:r w:rsidRPr="000D46AF">
              <w:t>Európsky parlament</w:t>
            </w:r>
          </w:p>
          <w:p w:rsidR="00DC5B7C" w:rsidRPr="000D46AF" w:rsidRDefault="00DB4C14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00D2B">
              <w:t>2019</w:t>
            </w:r>
            <w:r w:rsidRPr="000D46AF">
              <w:t>-</w:t>
            </w:r>
            <w:r w:rsidRPr="00900D2B">
              <w:t>2024</w:t>
            </w:r>
          </w:p>
        </w:tc>
        <w:tc>
          <w:tcPr>
            <w:tcW w:w="2268" w:type="dxa"/>
            <w:shd w:val="clear" w:color="auto" w:fill="auto"/>
          </w:tcPr>
          <w:p w:rsidR="00DC5B7C" w:rsidRPr="000D46AF" w:rsidRDefault="00DB4C14">
            <w:pPr>
              <w:pStyle w:val="EPLogo"/>
            </w:pPr>
            <w:r w:rsidRPr="000D46A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C5B7C" w:rsidRPr="000D46AF" w:rsidRDefault="00DC5B7C">
      <w:pPr>
        <w:pStyle w:val="LineTop"/>
      </w:pPr>
    </w:p>
    <w:p w:rsidR="00DC5B7C" w:rsidRPr="000D46AF" w:rsidRDefault="00DB4C14">
      <w:pPr>
        <w:pStyle w:val="EPBodyTA1"/>
      </w:pPr>
      <w:r w:rsidRPr="000D46AF">
        <w:t>PRIJATÉ TEXTY</w:t>
      </w:r>
    </w:p>
    <w:p w:rsidR="00DC5B7C" w:rsidRPr="000D46AF" w:rsidRDefault="00DC5B7C">
      <w:pPr>
        <w:pStyle w:val="LineBottom"/>
      </w:pPr>
    </w:p>
    <w:p w:rsidR="00DC5B7C" w:rsidRPr="000D46AF" w:rsidRDefault="00DB4C14">
      <w:pPr>
        <w:pStyle w:val="ATHeading1"/>
      </w:pPr>
      <w:bookmarkStart w:id="0" w:name="TANumber"/>
      <w:r w:rsidRPr="000D46AF">
        <w:t>P</w:t>
      </w:r>
      <w:r w:rsidRPr="00900D2B">
        <w:t>9</w:t>
      </w:r>
      <w:r w:rsidRPr="000D46AF">
        <w:t>_TA(</w:t>
      </w:r>
      <w:r w:rsidRPr="00900D2B">
        <w:t>2024</w:t>
      </w:r>
      <w:r w:rsidRPr="000D46AF">
        <w:t>)</w:t>
      </w:r>
      <w:r w:rsidRPr="00900D2B">
        <w:t>0</w:t>
      </w:r>
      <w:r w:rsidR="000D46AF" w:rsidRPr="00900D2B">
        <w:t>191</w:t>
      </w:r>
      <w:bookmarkEnd w:id="0"/>
    </w:p>
    <w:p w:rsidR="00DC5B7C" w:rsidRPr="000D46AF" w:rsidRDefault="00DB4C14">
      <w:pPr>
        <w:pStyle w:val="ATHeading2"/>
      </w:pPr>
      <w:bookmarkStart w:id="1" w:name="title"/>
      <w:r w:rsidRPr="000D46AF">
        <w:t xml:space="preserve">Ortuť: zubný amalgám a iné výrobky s prídavkom ortuti, na ktoré sa vzťahujú obmedzenia výroby, dovozu a vývozu </w:t>
      </w:r>
      <w:bookmarkEnd w:id="1"/>
    </w:p>
    <w:p w:rsidR="00DC5B7C" w:rsidRPr="000D46AF" w:rsidRDefault="00DB4C14">
      <w:pPr>
        <w:rPr>
          <w:i/>
          <w:vanish/>
        </w:rPr>
      </w:pPr>
      <w:r w:rsidRPr="000D46AF">
        <w:rPr>
          <w:i/>
        </w:rPr>
        <w:fldChar w:fldCharType="begin"/>
      </w:r>
      <w:r w:rsidRPr="000D46AF">
        <w:rPr>
          <w:i/>
        </w:rPr>
        <w:instrText xml:space="preserve"> TC"(</w:instrText>
      </w:r>
      <w:bookmarkStart w:id="2" w:name="DocNumber"/>
      <w:r w:rsidRPr="000D46AF">
        <w:rPr>
          <w:i/>
        </w:rPr>
        <w:instrText>A</w:instrText>
      </w:r>
      <w:r w:rsidRPr="00900D2B">
        <w:rPr>
          <w:i/>
        </w:rPr>
        <w:instrText>9</w:instrText>
      </w:r>
      <w:r w:rsidRPr="000D46AF">
        <w:rPr>
          <w:i/>
        </w:rPr>
        <w:instrText>-</w:instrText>
      </w:r>
      <w:r w:rsidRPr="00900D2B">
        <w:rPr>
          <w:i/>
        </w:rPr>
        <w:instrText>0002</w:instrText>
      </w:r>
      <w:r w:rsidRPr="000D46AF">
        <w:rPr>
          <w:i/>
        </w:rPr>
        <w:instrText>/</w:instrText>
      </w:r>
      <w:r w:rsidRPr="00900D2B">
        <w:rPr>
          <w:i/>
        </w:rPr>
        <w:instrText>2024</w:instrText>
      </w:r>
      <w:bookmarkEnd w:id="2"/>
      <w:r w:rsidRPr="000D46AF">
        <w:rPr>
          <w:i/>
        </w:rPr>
        <w:instrText xml:space="preserve"> - Spravodajkyňa: </w:instrText>
      </w:r>
      <w:proofErr w:type="spellStart"/>
      <w:r w:rsidRPr="000D46AF">
        <w:rPr>
          <w:i/>
        </w:rPr>
        <w:instrText>Marlene</w:instrText>
      </w:r>
      <w:proofErr w:type="spellEnd"/>
      <w:r w:rsidRPr="000D46AF">
        <w:rPr>
          <w:i/>
        </w:rPr>
        <w:instrText xml:space="preserve"> </w:instrText>
      </w:r>
      <w:proofErr w:type="spellStart"/>
      <w:r w:rsidRPr="000D46AF">
        <w:rPr>
          <w:i/>
        </w:rPr>
        <w:instrText>Mortler</w:instrText>
      </w:r>
      <w:proofErr w:type="spellEnd"/>
      <w:r w:rsidRPr="000D46AF">
        <w:rPr>
          <w:i/>
        </w:rPr>
        <w:instrText>)"\l</w:instrText>
      </w:r>
      <w:r w:rsidRPr="00900D2B">
        <w:rPr>
          <w:i/>
        </w:rPr>
        <w:instrText>3</w:instrText>
      </w:r>
      <w:r w:rsidRPr="000D46AF">
        <w:rPr>
          <w:i/>
        </w:rPr>
        <w:instrText xml:space="preserve"> \n&gt; \* MERGEFORMAT </w:instrText>
      </w:r>
      <w:r w:rsidRPr="000D46AF">
        <w:rPr>
          <w:i/>
        </w:rPr>
        <w:fldChar w:fldCharType="end"/>
      </w:r>
    </w:p>
    <w:p w:rsidR="00DC5B7C" w:rsidRPr="000D46AF" w:rsidRDefault="00DB4C14">
      <w:pPr>
        <w:rPr>
          <w:vanish/>
        </w:rPr>
      </w:pPr>
      <w:bookmarkStart w:id="3" w:name="Commission"/>
      <w:r w:rsidRPr="000D46AF">
        <w:rPr>
          <w:vanish/>
        </w:rPr>
        <w:t>Výbor pre životné prostredie, verejné zdravie a bezpečnosť potravín</w:t>
      </w:r>
      <w:bookmarkEnd w:id="3"/>
    </w:p>
    <w:p w:rsidR="00DC5B7C" w:rsidRPr="000D46AF" w:rsidRDefault="00DB4C14">
      <w:pPr>
        <w:rPr>
          <w:vanish/>
        </w:rPr>
      </w:pPr>
      <w:bookmarkStart w:id="4" w:name="PE"/>
      <w:r w:rsidRPr="000D46AF">
        <w:rPr>
          <w:vanish/>
        </w:rPr>
        <w:t>PE</w:t>
      </w:r>
      <w:r w:rsidRPr="00900D2B">
        <w:rPr>
          <w:vanish/>
        </w:rPr>
        <w:t>753</w:t>
      </w:r>
      <w:r w:rsidRPr="000D46AF">
        <w:rPr>
          <w:vanish/>
        </w:rPr>
        <w:t>.</w:t>
      </w:r>
      <w:r w:rsidRPr="00900D2B">
        <w:rPr>
          <w:vanish/>
        </w:rPr>
        <w:t>554</w:t>
      </w:r>
      <w:bookmarkEnd w:id="4"/>
    </w:p>
    <w:p w:rsidR="00DC5B7C" w:rsidRPr="000D46AF" w:rsidRDefault="00DB4C14">
      <w:pPr>
        <w:pStyle w:val="ATHeading3"/>
      </w:pPr>
      <w:bookmarkStart w:id="5" w:name="Sujet"/>
      <w:r w:rsidRPr="000D46AF">
        <w:t xml:space="preserve">Legislatívne uznesenie Európskeho parlamentu z </w:t>
      </w:r>
      <w:r w:rsidR="001307E5" w:rsidRPr="00900D2B">
        <w:t>10</w:t>
      </w:r>
      <w:r w:rsidRPr="000D46AF">
        <w:t xml:space="preserve">. </w:t>
      </w:r>
      <w:r w:rsidR="001307E5" w:rsidRPr="000D46AF">
        <w:t xml:space="preserve">apríla </w:t>
      </w:r>
      <w:r w:rsidRPr="00900D2B">
        <w:t>2024</w:t>
      </w:r>
      <w:r w:rsidRPr="000D46AF">
        <w:t xml:space="preserve"> o návrhu nariadenia Európskeho parlamentu a Rady, ktorým sa mení nariadenie Európskeho parlamentu a Rady (EÚ) </w:t>
      </w:r>
      <w:r w:rsidRPr="00900D2B">
        <w:t>2017</w:t>
      </w:r>
      <w:r w:rsidRPr="000D46AF">
        <w:t>/</w:t>
      </w:r>
      <w:r w:rsidRPr="00900D2B">
        <w:t>852</w:t>
      </w:r>
      <w:r w:rsidRPr="000D46AF">
        <w:t xml:space="preserve"> zo </w:t>
      </w:r>
      <w:r w:rsidRPr="00900D2B">
        <w:t>17</w:t>
      </w:r>
      <w:r w:rsidRPr="000D46AF">
        <w:t xml:space="preserve">. mája </w:t>
      </w:r>
      <w:r w:rsidRPr="00900D2B">
        <w:t>2017</w:t>
      </w:r>
      <w:r w:rsidRPr="000D46AF">
        <w:t xml:space="preserve"> o ortuti, pokiaľ ide o zubný amalgám a iné výrobky s prídavkom ortuti, na ktoré sa vzťahujú obmedzenia výroby, dovozu a vývozu</w:t>
      </w:r>
      <w:bookmarkEnd w:id="5"/>
      <w:r w:rsidRPr="000D46AF">
        <w:t xml:space="preserve"> </w:t>
      </w:r>
      <w:bookmarkStart w:id="6" w:name="References"/>
      <w:r w:rsidRPr="000D46AF">
        <w:t>(COM(</w:t>
      </w:r>
      <w:r w:rsidRPr="00900D2B">
        <w:t>2023</w:t>
      </w:r>
      <w:r w:rsidRPr="000D46AF">
        <w:t>)</w:t>
      </w:r>
      <w:r w:rsidRPr="00900D2B">
        <w:t>0395</w:t>
      </w:r>
      <w:r w:rsidRPr="000D46AF">
        <w:t xml:space="preserve"> – C</w:t>
      </w:r>
      <w:r w:rsidRPr="00900D2B">
        <w:t>9</w:t>
      </w:r>
      <w:r w:rsidRPr="000D46AF">
        <w:t>-</w:t>
      </w:r>
      <w:r w:rsidRPr="00900D2B">
        <w:t>0309</w:t>
      </w:r>
      <w:r w:rsidRPr="000D46AF">
        <w:t>/</w:t>
      </w:r>
      <w:r w:rsidRPr="00900D2B">
        <w:t>2023</w:t>
      </w:r>
      <w:r w:rsidRPr="000D46AF">
        <w:t xml:space="preserve"> – </w:t>
      </w:r>
      <w:r w:rsidRPr="00900D2B">
        <w:t>2023</w:t>
      </w:r>
      <w:r w:rsidRPr="000D46AF">
        <w:t>/</w:t>
      </w:r>
      <w:r w:rsidRPr="00900D2B">
        <w:t>0272</w:t>
      </w:r>
      <w:r w:rsidRPr="000D46AF">
        <w:t>(COD))</w:t>
      </w:r>
      <w:bookmarkEnd w:id="6"/>
    </w:p>
    <w:p w:rsidR="00DC5B7C" w:rsidRPr="000D46AF" w:rsidRDefault="00DC5B7C"/>
    <w:p w:rsidR="00DC5B7C" w:rsidRPr="000D46AF" w:rsidRDefault="00DB4C14">
      <w:pPr>
        <w:pStyle w:val="NormalBold"/>
      </w:pPr>
      <w:bookmarkStart w:id="7" w:name="TextBodyBegin"/>
      <w:bookmarkEnd w:id="7"/>
      <w:r w:rsidRPr="000D46AF">
        <w:t>(Riadny legislatívny postup: prvé čítanie)</w:t>
      </w:r>
    </w:p>
    <w:p w:rsidR="00DC5B7C" w:rsidRPr="000D46AF" w:rsidRDefault="00DB4C14">
      <w:pPr>
        <w:pStyle w:val="EPComma"/>
      </w:pPr>
      <w:r w:rsidRPr="000D46AF">
        <w:rPr>
          <w:i/>
        </w:rPr>
        <w:t>Európsky parlament</w:t>
      </w:r>
      <w:r w:rsidRPr="000D46AF">
        <w:t>,</w:t>
      </w:r>
    </w:p>
    <w:p w:rsidR="00DC5B7C" w:rsidRPr="000D46AF" w:rsidRDefault="00DB4C14">
      <w:pPr>
        <w:pStyle w:val="NormalHanging12a"/>
      </w:pPr>
      <w:r w:rsidRPr="000D46AF">
        <w:t>–</w:t>
      </w:r>
      <w:r w:rsidRPr="000D46AF">
        <w:tab/>
        <w:t>so zreteľom na návrh Komisie pre Európsky parlament a Radu (COM(</w:t>
      </w:r>
      <w:r w:rsidRPr="00900D2B">
        <w:t>2023</w:t>
      </w:r>
      <w:r w:rsidRPr="000D46AF">
        <w:t>)</w:t>
      </w:r>
      <w:r w:rsidRPr="00900D2B">
        <w:t>0395</w:t>
      </w:r>
      <w:r w:rsidRPr="000D46AF">
        <w:t>),</w:t>
      </w:r>
    </w:p>
    <w:p w:rsidR="00DC5B7C" w:rsidRPr="000D46AF" w:rsidRDefault="00DB4C14">
      <w:pPr>
        <w:pStyle w:val="NormalHanging12a"/>
      </w:pPr>
      <w:r w:rsidRPr="000D46AF">
        <w:t>–</w:t>
      </w:r>
      <w:r w:rsidRPr="000D46AF">
        <w:tab/>
        <w:t xml:space="preserve">so zreteľom na článok </w:t>
      </w:r>
      <w:r w:rsidRPr="00900D2B">
        <w:t>294</w:t>
      </w:r>
      <w:r w:rsidRPr="000D46AF">
        <w:t xml:space="preserve"> ods. </w:t>
      </w:r>
      <w:r w:rsidRPr="00900D2B">
        <w:t>2</w:t>
      </w:r>
      <w:r w:rsidRPr="000D46AF">
        <w:t xml:space="preserve"> a článok </w:t>
      </w:r>
      <w:r w:rsidRPr="00900D2B">
        <w:t>192</w:t>
      </w:r>
      <w:r w:rsidRPr="000D46AF">
        <w:t xml:space="preserve"> ods. </w:t>
      </w:r>
      <w:r w:rsidRPr="00900D2B">
        <w:t>1</w:t>
      </w:r>
      <w:r w:rsidRPr="000D46AF">
        <w:t xml:space="preserve"> Zmluvy o fungovaní Európskej únie, v súlade s ktorými Komisia predložila návrh Európskemu parlamentu (C</w:t>
      </w:r>
      <w:r w:rsidRPr="00900D2B">
        <w:t>9</w:t>
      </w:r>
      <w:r w:rsidRPr="000D46AF">
        <w:noBreakHyphen/>
      </w:r>
      <w:r w:rsidRPr="00900D2B">
        <w:t>0309</w:t>
      </w:r>
      <w:r w:rsidRPr="000D46AF">
        <w:t>/</w:t>
      </w:r>
      <w:r w:rsidRPr="00900D2B">
        <w:t>2023</w:t>
      </w:r>
      <w:r w:rsidRPr="000D46AF">
        <w:t>),</w:t>
      </w:r>
    </w:p>
    <w:p w:rsidR="00DC5B7C" w:rsidRPr="000D46AF" w:rsidRDefault="00DB4C14">
      <w:pPr>
        <w:pStyle w:val="NormalHanging12a"/>
      </w:pPr>
      <w:r w:rsidRPr="000D46AF">
        <w:t>–</w:t>
      </w:r>
      <w:r w:rsidRPr="000D46AF">
        <w:tab/>
        <w:t xml:space="preserve">so zreteľom na článok </w:t>
      </w:r>
      <w:r w:rsidRPr="00900D2B">
        <w:t>294</w:t>
      </w:r>
      <w:r w:rsidRPr="000D46AF">
        <w:t xml:space="preserve"> ods. </w:t>
      </w:r>
      <w:r w:rsidRPr="00900D2B">
        <w:t>3</w:t>
      </w:r>
      <w:r w:rsidRPr="000D46AF">
        <w:t xml:space="preserve"> Zmluvy o fungovaní Európskej únie,</w:t>
      </w:r>
    </w:p>
    <w:p w:rsidR="00DC5B7C" w:rsidRPr="000D46AF" w:rsidRDefault="00DB4C14">
      <w:pPr>
        <w:pStyle w:val="NormalHanging12a"/>
        <w:rPr>
          <w:szCs w:val="24"/>
        </w:rPr>
      </w:pPr>
      <w:r w:rsidRPr="000D46AF">
        <w:t>–</w:t>
      </w:r>
      <w:r w:rsidRPr="000D46AF">
        <w:tab/>
        <w:t>so zreteľom na stanovisko Európskeho hospodárskeho a sociálneho výboru z </w:t>
      </w:r>
      <w:r w:rsidRPr="00900D2B">
        <w:t>26</w:t>
      </w:r>
      <w:r w:rsidRPr="000D46AF">
        <w:t xml:space="preserve">. októbra </w:t>
      </w:r>
      <w:r w:rsidRPr="00900D2B">
        <w:t>2023</w:t>
      </w:r>
      <w:r w:rsidRPr="000D46AF">
        <w:rPr>
          <w:rStyle w:val="FootnoteReference"/>
          <w:szCs w:val="24"/>
        </w:rPr>
        <w:footnoteReference w:id="1"/>
      </w:r>
      <w:r w:rsidRPr="000D46AF">
        <w:t>,</w:t>
      </w:r>
    </w:p>
    <w:p w:rsidR="00DC5B7C" w:rsidRPr="000D46AF" w:rsidRDefault="00DB4C14">
      <w:pPr>
        <w:pStyle w:val="NormalHanging12a"/>
      </w:pPr>
      <w:r w:rsidRPr="000D46AF">
        <w:t>–</w:t>
      </w:r>
      <w:r w:rsidRPr="000D46AF">
        <w:tab/>
        <w:t>po porade s Výborom regiónov,</w:t>
      </w:r>
    </w:p>
    <w:p w:rsidR="001307E5" w:rsidRPr="000D46AF" w:rsidRDefault="001307E5">
      <w:pPr>
        <w:pStyle w:val="NormalHanging12a"/>
      </w:pPr>
      <w:r w:rsidRPr="000D46AF">
        <w:t>–</w:t>
      </w:r>
      <w:r w:rsidRPr="000D46AF">
        <w:tab/>
        <w:t xml:space="preserve">so zreteľom na predbežnú dohodu schválenú gestorským výborom podľa článku </w:t>
      </w:r>
      <w:r w:rsidRPr="00900D2B">
        <w:t>74</w:t>
      </w:r>
      <w:r w:rsidRPr="000D46AF">
        <w:t xml:space="preserve"> ods. </w:t>
      </w:r>
      <w:r w:rsidRPr="00900D2B">
        <w:t>4</w:t>
      </w:r>
      <w:r w:rsidRPr="000D46AF">
        <w:t xml:space="preserve"> rokovacieho poriadku, a na záväzok zástupcu Rady, vyjadrený v liste z </w:t>
      </w:r>
      <w:r w:rsidRPr="00900D2B">
        <w:t>21</w:t>
      </w:r>
      <w:r w:rsidRPr="000D46AF">
        <w:t xml:space="preserve">. februára </w:t>
      </w:r>
      <w:r w:rsidRPr="00900D2B">
        <w:t>2024</w:t>
      </w:r>
      <w:r w:rsidRPr="000D46AF">
        <w:t xml:space="preserve">, schváliť pozíciu Európskeho parlamentu v súlade s článkom </w:t>
      </w:r>
      <w:r w:rsidRPr="00900D2B">
        <w:t>294</w:t>
      </w:r>
      <w:r w:rsidRPr="000D46AF">
        <w:t xml:space="preserve"> ods. </w:t>
      </w:r>
      <w:r w:rsidRPr="00900D2B">
        <w:t>4</w:t>
      </w:r>
      <w:r w:rsidRPr="000D46AF">
        <w:t xml:space="preserve"> Zmluvy o fungovaní Európskej únie,</w:t>
      </w:r>
    </w:p>
    <w:p w:rsidR="00DC5B7C" w:rsidRPr="000D46AF" w:rsidRDefault="00DB4C14">
      <w:pPr>
        <w:pStyle w:val="NormalHanging12a"/>
      </w:pPr>
      <w:r w:rsidRPr="000D46AF">
        <w:t>–</w:t>
      </w:r>
      <w:r w:rsidRPr="000D46AF">
        <w:tab/>
        <w:t xml:space="preserve">so zreteľom na článok </w:t>
      </w:r>
      <w:r w:rsidRPr="00900D2B">
        <w:t>59</w:t>
      </w:r>
      <w:r w:rsidRPr="000D46AF">
        <w:t xml:space="preserve"> rokovacieho poriadku,</w:t>
      </w:r>
    </w:p>
    <w:p w:rsidR="00DC5B7C" w:rsidRPr="000D46AF" w:rsidRDefault="00DB4C14">
      <w:pPr>
        <w:pStyle w:val="NormalHanging12a"/>
      </w:pPr>
      <w:r w:rsidRPr="000D46AF">
        <w:t>–</w:t>
      </w:r>
      <w:r w:rsidRPr="000D46AF">
        <w:tab/>
        <w:t xml:space="preserve">so zreteľom na správu Výboru pre životné prostredie, verejné zdravie a bezpečnosť </w:t>
      </w:r>
      <w:r w:rsidRPr="000D46AF">
        <w:lastRenderedPageBreak/>
        <w:t>potravín (A</w:t>
      </w:r>
      <w:r w:rsidRPr="00900D2B">
        <w:t>9</w:t>
      </w:r>
      <w:r w:rsidRPr="000D46AF">
        <w:t>-</w:t>
      </w:r>
      <w:r w:rsidRPr="00900D2B">
        <w:t>0002</w:t>
      </w:r>
      <w:r w:rsidRPr="000D46AF">
        <w:t>/</w:t>
      </w:r>
      <w:r w:rsidRPr="00900D2B">
        <w:t>2024</w:t>
      </w:r>
      <w:r w:rsidRPr="000D46AF">
        <w:t>),</w:t>
      </w:r>
    </w:p>
    <w:p w:rsidR="00DC5B7C" w:rsidRPr="000D46AF" w:rsidRDefault="00DB4C14">
      <w:pPr>
        <w:pStyle w:val="NormalHanging12a"/>
      </w:pPr>
      <w:r w:rsidRPr="00900D2B">
        <w:t>1</w:t>
      </w:r>
      <w:r w:rsidRPr="000D46AF">
        <w:t>.</w:t>
      </w:r>
      <w:r w:rsidRPr="000D46AF">
        <w:tab/>
        <w:t>prijíma nasledujúcu pozíciu v prvom čítaní</w:t>
      </w:r>
      <w:r w:rsidR="00270659" w:rsidRPr="000D46AF">
        <w:rPr>
          <w:rStyle w:val="FootnoteReference"/>
        </w:rPr>
        <w:footnoteReference w:id="2"/>
      </w:r>
      <w:r w:rsidRPr="000D46AF">
        <w:t>;</w:t>
      </w:r>
    </w:p>
    <w:p w:rsidR="00DC5B7C" w:rsidRPr="000D46AF" w:rsidRDefault="00DB4C14">
      <w:pPr>
        <w:pStyle w:val="NormalHanging12a"/>
      </w:pPr>
      <w:r w:rsidRPr="00900D2B">
        <w:t>2</w:t>
      </w:r>
      <w:r w:rsidRPr="000D46AF">
        <w:t>.</w:t>
      </w:r>
      <w:r w:rsidRPr="000D46AF">
        <w:tab/>
        <w:t>žiada Komisiu, aby mu vec znovu predložila, ak nahrádza, podstatne mení alebo má v úmysle podstatne zmeniť svoj návrh;</w:t>
      </w:r>
    </w:p>
    <w:p w:rsidR="004F4C93" w:rsidRPr="000D46AF" w:rsidRDefault="00DB4C14">
      <w:pPr>
        <w:pStyle w:val="NormalHanging12a"/>
      </w:pPr>
      <w:r w:rsidRPr="00900D2B">
        <w:t>3</w:t>
      </w:r>
      <w:r w:rsidRPr="000D46AF">
        <w:t>.</w:t>
      </w:r>
      <w:r w:rsidRPr="000D46AF">
        <w:tab/>
        <w:t>poveruje svoju predsedníčku, aby postúpila túto pozíciu Rade, Komisii a národným parlamentom.</w:t>
      </w:r>
    </w:p>
    <w:p w:rsidR="001307E5" w:rsidRPr="000D46AF" w:rsidRDefault="001307E5">
      <w:pPr>
        <w:pStyle w:val="NormalHanging12a"/>
        <w:sectPr w:rsidR="001307E5" w:rsidRPr="000D46AF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4F4C93" w:rsidRPr="000D46AF" w:rsidRDefault="004F4C93" w:rsidP="004F4C93">
      <w:pPr>
        <w:pStyle w:val="Institutionquiagit"/>
        <w:keepNext w:val="0"/>
        <w:spacing w:before="0" w:after="240"/>
        <w:jc w:val="left"/>
        <w:outlineLvl w:val="0"/>
        <w:rPr>
          <w:b/>
        </w:rPr>
      </w:pPr>
      <w:r w:rsidRPr="000D46AF">
        <w:rPr>
          <w:b/>
        </w:rPr>
        <w:t>P</w:t>
      </w:r>
      <w:r w:rsidRPr="00900D2B">
        <w:rPr>
          <w:b/>
        </w:rPr>
        <w:t>9</w:t>
      </w:r>
      <w:r w:rsidRPr="000D46AF">
        <w:rPr>
          <w:b/>
        </w:rPr>
        <w:t>_TC</w:t>
      </w:r>
      <w:r w:rsidRPr="00900D2B">
        <w:rPr>
          <w:b/>
        </w:rPr>
        <w:t>1</w:t>
      </w:r>
      <w:r w:rsidRPr="000D46AF">
        <w:rPr>
          <w:b/>
        </w:rPr>
        <w:t>-COD(</w:t>
      </w:r>
      <w:r w:rsidRPr="00900D2B">
        <w:rPr>
          <w:b/>
        </w:rPr>
        <w:t>2023</w:t>
      </w:r>
      <w:r w:rsidRPr="000D46AF">
        <w:rPr>
          <w:b/>
        </w:rPr>
        <w:t>)</w:t>
      </w:r>
      <w:r w:rsidRPr="00900D2B">
        <w:rPr>
          <w:b/>
        </w:rPr>
        <w:t>0272</w:t>
      </w:r>
    </w:p>
    <w:p w:rsidR="001307E5" w:rsidRDefault="004F4C93" w:rsidP="00DB4C14">
      <w:pPr>
        <w:pStyle w:val="NormalHanging12a"/>
        <w:ind w:left="0" w:firstLine="0"/>
        <w:rPr>
          <w:rFonts w:eastAsia="Calibri"/>
          <w:b/>
          <w:szCs w:val="22"/>
          <w:lang w:eastAsia="en-US"/>
        </w:rPr>
      </w:pPr>
      <w:r w:rsidRPr="000D46AF">
        <w:rPr>
          <w:b/>
        </w:rPr>
        <w:t xml:space="preserve">Pozícia Európskeho parlamentu prijatá v prvom čítaní </w:t>
      </w:r>
      <w:r w:rsidRPr="00900D2B">
        <w:rPr>
          <w:b/>
        </w:rPr>
        <w:t>10</w:t>
      </w:r>
      <w:r w:rsidRPr="000D46AF">
        <w:rPr>
          <w:b/>
        </w:rPr>
        <w:t xml:space="preserve">. apríla </w:t>
      </w:r>
      <w:r w:rsidRPr="00900D2B">
        <w:rPr>
          <w:b/>
        </w:rPr>
        <w:t>2024</w:t>
      </w:r>
      <w:r w:rsidRPr="000D46AF">
        <w:rPr>
          <w:b/>
        </w:rPr>
        <w:t xml:space="preserve"> na účely prijatia nariadenia Európskeho parlamentu a Rady (EÚ) </w:t>
      </w:r>
      <w:r w:rsidRPr="00900D2B">
        <w:rPr>
          <w:b/>
        </w:rPr>
        <w:t>2024</w:t>
      </w:r>
      <w:r w:rsidRPr="000D46AF">
        <w:rPr>
          <w:b/>
        </w:rPr>
        <w:t>/...</w:t>
      </w:r>
      <w:r w:rsidR="00DB4C14" w:rsidRPr="000D46AF">
        <w:rPr>
          <w:b/>
        </w:rPr>
        <w:t xml:space="preserve">, </w:t>
      </w:r>
      <w:r w:rsidR="001307E5" w:rsidRPr="000D46AF">
        <w:rPr>
          <w:rFonts w:eastAsia="Calibri"/>
          <w:b/>
          <w:szCs w:val="22"/>
          <w:lang w:eastAsia="en-US"/>
        </w:rPr>
        <w:t xml:space="preserve">ktorým sa mení nariadenie (EÚ) </w:t>
      </w:r>
      <w:r w:rsidR="001307E5" w:rsidRPr="00900D2B">
        <w:rPr>
          <w:rFonts w:eastAsia="Calibri"/>
          <w:b/>
          <w:szCs w:val="22"/>
          <w:lang w:eastAsia="en-US"/>
        </w:rPr>
        <w:t>2017</w:t>
      </w:r>
      <w:r w:rsidR="001307E5" w:rsidRPr="000D46AF">
        <w:rPr>
          <w:rFonts w:eastAsia="Calibri"/>
          <w:b/>
          <w:szCs w:val="22"/>
          <w:lang w:eastAsia="en-US"/>
        </w:rPr>
        <w:t>/</w:t>
      </w:r>
      <w:r w:rsidR="001307E5" w:rsidRPr="00900D2B">
        <w:rPr>
          <w:rFonts w:eastAsia="Calibri"/>
          <w:b/>
          <w:szCs w:val="22"/>
          <w:lang w:eastAsia="en-US"/>
        </w:rPr>
        <w:t>852</w:t>
      </w:r>
      <w:r w:rsidR="001307E5" w:rsidRPr="000D46AF">
        <w:rPr>
          <w:rFonts w:eastAsia="Calibri"/>
          <w:b/>
          <w:szCs w:val="22"/>
          <w:lang w:eastAsia="en-US"/>
        </w:rPr>
        <w:t xml:space="preserve"> o ortuti, pokiaľ ide o zubný amalgám a iné výrobky s prídavkom ortuti, na ktoré sa vzťahujú obmedzenia vývozu, dovozu a</w:t>
      </w:r>
      <w:r w:rsidR="00B42DE7">
        <w:rPr>
          <w:rFonts w:eastAsia="Calibri"/>
          <w:b/>
          <w:szCs w:val="22"/>
          <w:lang w:eastAsia="en-US"/>
        </w:rPr>
        <w:t> </w:t>
      </w:r>
      <w:r w:rsidR="001307E5" w:rsidRPr="000D46AF">
        <w:rPr>
          <w:rFonts w:eastAsia="Calibri"/>
          <w:b/>
          <w:szCs w:val="22"/>
          <w:lang w:eastAsia="en-US"/>
        </w:rPr>
        <w:t>výroby</w:t>
      </w:r>
    </w:p>
    <w:p w:rsidR="00B42DE7" w:rsidRDefault="00B42DE7" w:rsidP="00DB4C14">
      <w:pPr>
        <w:pStyle w:val="NormalHanging12a"/>
        <w:ind w:left="0" w:firstLine="0"/>
        <w:rPr>
          <w:rFonts w:eastAsia="Calibri"/>
          <w:b/>
          <w:szCs w:val="22"/>
          <w:lang w:eastAsia="en-US"/>
        </w:rPr>
      </w:pPr>
    </w:p>
    <w:p w:rsidR="00B42DE7" w:rsidRPr="00731EF8" w:rsidRDefault="00B42DE7" w:rsidP="00B42DE7">
      <w:r w:rsidRPr="00731EF8">
        <w:rPr>
          <w:i/>
          <w:iCs/>
        </w:rPr>
        <w:t xml:space="preserve">(Keďže bola dosiahnutá </w:t>
      </w:r>
      <w:r w:rsidRPr="002E1240">
        <w:rPr>
          <w:i/>
          <w:iCs/>
        </w:rPr>
        <w:t>dohoda medzi Európskym parlamentom a Radou, pozícia Európskeho parlamentu zodpovedá záverečnému legislatívnemu aktu, nariadeniu (EÚ) 202</w:t>
      </w:r>
      <w:r>
        <w:rPr>
          <w:i/>
          <w:iCs/>
        </w:rPr>
        <w:t>4</w:t>
      </w:r>
      <w:r w:rsidRPr="002E1240">
        <w:rPr>
          <w:i/>
          <w:iCs/>
        </w:rPr>
        <w:t>/</w:t>
      </w:r>
      <w:r>
        <w:rPr>
          <w:i/>
          <w:iCs/>
        </w:rPr>
        <w:t>1</w:t>
      </w:r>
      <w:r>
        <w:rPr>
          <w:i/>
          <w:iCs/>
        </w:rPr>
        <w:t>849</w:t>
      </w:r>
      <w:bookmarkStart w:id="8" w:name="_GoBack"/>
      <w:bookmarkEnd w:id="8"/>
      <w:r w:rsidRPr="002E1240">
        <w:rPr>
          <w:i/>
          <w:iCs/>
        </w:rPr>
        <w:t>.)</w:t>
      </w:r>
    </w:p>
    <w:p w:rsidR="00B42DE7" w:rsidRDefault="00B42DE7" w:rsidP="00DB4C14">
      <w:pPr>
        <w:pStyle w:val="NormalHanging12a"/>
        <w:ind w:left="0" w:firstLine="0"/>
        <w:rPr>
          <w:rFonts w:eastAsia="Calibri"/>
          <w:b/>
          <w:szCs w:val="22"/>
          <w:lang w:eastAsia="en-US"/>
        </w:rPr>
      </w:pPr>
    </w:p>
    <w:sectPr w:rsidR="00B42DE7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5B7C" w:rsidRDefault="00DB4C14">
      <w:r>
        <w:separator/>
      </w:r>
    </w:p>
  </w:endnote>
  <w:endnote w:type="continuationSeparator" w:id="0">
    <w:p w:rsidR="00DC5B7C" w:rsidRDefault="00DB4C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5B7C" w:rsidRDefault="00DC5B7C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5B7C" w:rsidRDefault="00DC5B7C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5B7C" w:rsidRDefault="00DC5B7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5B7C" w:rsidRDefault="00DB4C14">
      <w:r>
        <w:separator/>
      </w:r>
    </w:p>
  </w:footnote>
  <w:footnote w:type="continuationSeparator" w:id="0">
    <w:p w:rsidR="00DC5B7C" w:rsidRDefault="00DB4C14">
      <w:r>
        <w:continuationSeparator/>
      </w:r>
    </w:p>
  </w:footnote>
  <w:footnote w:id="1">
    <w:p w:rsidR="00DC5B7C" w:rsidRPr="00DB4C14" w:rsidRDefault="00DB4C14">
      <w:pPr>
        <w:pStyle w:val="FootnoteText"/>
        <w:ind w:left="567" w:hanging="567"/>
        <w:rPr>
          <w:sz w:val="24"/>
          <w:lang w:val="sk-SK"/>
        </w:rPr>
      </w:pPr>
      <w:r w:rsidRPr="00DB4C14">
        <w:rPr>
          <w:rStyle w:val="FootnoteReference"/>
          <w:sz w:val="24"/>
          <w:lang w:val="sk-SK"/>
        </w:rPr>
        <w:footnoteRef/>
      </w:r>
      <w:r w:rsidRPr="00DB4C14">
        <w:rPr>
          <w:sz w:val="24"/>
          <w:lang w:val="sk-SK"/>
        </w:rPr>
        <w:t xml:space="preserve"> </w:t>
      </w:r>
      <w:r w:rsidRPr="00DB4C14">
        <w:rPr>
          <w:sz w:val="24"/>
          <w:lang w:val="sk-SK"/>
        </w:rPr>
        <w:tab/>
      </w:r>
      <w:r w:rsidR="001307E5" w:rsidRPr="00DB4C14">
        <w:rPr>
          <w:sz w:val="24"/>
          <w:szCs w:val="24"/>
          <w:lang w:val="sk-SK"/>
        </w:rPr>
        <w:t>Ú. v. EÚ</w:t>
      </w:r>
      <w:r w:rsidR="001307E5" w:rsidRPr="000D46AF">
        <w:rPr>
          <w:sz w:val="24"/>
          <w:szCs w:val="24"/>
          <w:lang w:val="sk-SK"/>
        </w:rPr>
        <w:t xml:space="preserve"> C, C/</w:t>
      </w:r>
      <w:r w:rsidR="001307E5" w:rsidRPr="00900D2B">
        <w:rPr>
          <w:sz w:val="24"/>
          <w:szCs w:val="24"/>
          <w:lang w:val="sk-SK"/>
        </w:rPr>
        <w:t>2024</w:t>
      </w:r>
      <w:r w:rsidR="001307E5" w:rsidRPr="000D46AF">
        <w:rPr>
          <w:sz w:val="24"/>
          <w:szCs w:val="24"/>
          <w:lang w:val="sk-SK"/>
        </w:rPr>
        <w:t>/</w:t>
      </w:r>
      <w:r w:rsidR="001307E5" w:rsidRPr="00900D2B">
        <w:rPr>
          <w:sz w:val="24"/>
          <w:szCs w:val="24"/>
          <w:lang w:val="sk-SK"/>
        </w:rPr>
        <w:t>894</w:t>
      </w:r>
      <w:r w:rsidR="001307E5" w:rsidRPr="000D46AF">
        <w:rPr>
          <w:sz w:val="24"/>
          <w:szCs w:val="24"/>
          <w:lang w:val="sk-SK"/>
        </w:rPr>
        <w:t xml:space="preserve">, </w:t>
      </w:r>
      <w:r w:rsidR="001307E5" w:rsidRPr="00900D2B">
        <w:rPr>
          <w:sz w:val="24"/>
          <w:szCs w:val="24"/>
          <w:lang w:val="sk-SK"/>
        </w:rPr>
        <w:t>6</w:t>
      </w:r>
      <w:r w:rsidR="001307E5" w:rsidRPr="000D46AF">
        <w:rPr>
          <w:sz w:val="24"/>
          <w:szCs w:val="24"/>
          <w:lang w:val="sk-SK"/>
        </w:rPr>
        <w:t>.</w:t>
      </w:r>
      <w:r w:rsidR="001307E5" w:rsidRPr="00900D2B">
        <w:rPr>
          <w:sz w:val="24"/>
          <w:szCs w:val="24"/>
          <w:lang w:val="sk-SK"/>
        </w:rPr>
        <w:t>2</w:t>
      </w:r>
      <w:r w:rsidR="001307E5" w:rsidRPr="000D46AF">
        <w:rPr>
          <w:sz w:val="24"/>
          <w:szCs w:val="24"/>
          <w:lang w:val="sk-SK"/>
        </w:rPr>
        <w:t>.</w:t>
      </w:r>
      <w:r w:rsidR="001307E5" w:rsidRPr="00900D2B">
        <w:rPr>
          <w:sz w:val="24"/>
          <w:szCs w:val="24"/>
          <w:lang w:val="sk-SK"/>
        </w:rPr>
        <w:t>2024</w:t>
      </w:r>
      <w:r w:rsidR="001307E5" w:rsidRPr="000D46AF">
        <w:rPr>
          <w:sz w:val="24"/>
          <w:szCs w:val="24"/>
          <w:lang w:val="sk-SK"/>
        </w:rPr>
        <w:t xml:space="preserve">, ELI: </w:t>
      </w:r>
      <w:hyperlink r:id="rId1" w:history="1">
        <w:r w:rsidR="001307E5" w:rsidRPr="00900D2B">
          <w:rPr>
            <w:rStyle w:val="Hyperlink"/>
            <w:sz w:val="24"/>
            <w:szCs w:val="24"/>
            <w:lang w:val="sk-SK"/>
          </w:rPr>
          <w:t>http://data.europa.eu/eli/C/2024/894/oj</w:t>
        </w:r>
      </w:hyperlink>
      <w:r w:rsidRPr="00DB4C14">
        <w:rPr>
          <w:sz w:val="24"/>
          <w:lang w:val="sk-SK"/>
        </w:rPr>
        <w:t>.</w:t>
      </w:r>
    </w:p>
  </w:footnote>
  <w:footnote w:id="2">
    <w:p w:rsidR="00270659" w:rsidRPr="000D46AF" w:rsidRDefault="00270659" w:rsidP="000D46AF">
      <w:pPr>
        <w:pStyle w:val="FootnoteText"/>
        <w:ind w:left="567" w:hanging="567"/>
        <w:rPr>
          <w:sz w:val="24"/>
          <w:szCs w:val="24"/>
          <w:lang w:val="sk-SK"/>
        </w:rPr>
      </w:pPr>
      <w:r w:rsidRPr="000D46AF">
        <w:rPr>
          <w:rStyle w:val="FootnoteReference"/>
          <w:sz w:val="24"/>
          <w:szCs w:val="24"/>
          <w:lang w:val="sk-SK"/>
        </w:rPr>
        <w:footnoteRef/>
      </w:r>
      <w:r w:rsidRPr="000D46AF">
        <w:rPr>
          <w:sz w:val="24"/>
          <w:szCs w:val="24"/>
          <w:lang w:val="sk-SK"/>
        </w:rPr>
        <w:t xml:space="preserve"> </w:t>
      </w:r>
      <w:r w:rsidRPr="000D46AF">
        <w:rPr>
          <w:sz w:val="24"/>
          <w:szCs w:val="24"/>
          <w:lang w:val="sk-SK"/>
        </w:rPr>
        <w:tab/>
        <w:t xml:space="preserve">Táto pozícia nahrádza pozmeňujúce návrhy prijaté </w:t>
      </w:r>
      <w:r w:rsidRPr="00900D2B">
        <w:rPr>
          <w:sz w:val="24"/>
          <w:szCs w:val="24"/>
          <w:lang w:val="sk-SK"/>
        </w:rPr>
        <w:t>17</w:t>
      </w:r>
      <w:r w:rsidRPr="000D46AF">
        <w:rPr>
          <w:sz w:val="24"/>
          <w:szCs w:val="24"/>
          <w:lang w:val="sk-SK"/>
        </w:rPr>
        <w:t xml:space="preserve">. </w:t>
      </w:r>
      <w:r w:rsidRPr="00DB4C14">
        <w:rPr>
          <w:sz w:val="24"/>
          <w:szCs w:val="24"/>
          <w:lang w:val="sk-SK"/>
        </w:rPr>
        <w:t>januára</w:t>
      </w:r>
      <w:r w:rsidRPr="000D46AF">
        <w:rPr>
          <w:sz w:val="24"/>
          <w:szCs w:val="24"/>
          <w:lang w:val="sk-SK"/>
        </w:rPr>
        <w:t xml:space="preserve"> </w:t>
      </w:r>
      <w:r w:rsidRPr="00900D2B">
        <w:rPr>
          <w:sz w:val="24"/>
          <w:szCs w:val="24"/>
          <w:lang w:val="sk-SK"/>
        </w:rPr>
        <w:t>2024</w:t>
      </w:r>
      <w:r w:rsidRPr="000D46AF">
        <w:rPr>
          <w:sz w:val="24"/>
          <w:szCs w:val="24"/>
          <w:lang w:val="sk-SK"/>
        </w:rPr>
        <w:t xml:space="preserve"> (Prijaté texty, P</w:t>
      </w:r>
      <w:r w:rsidRPr="00900D2B">
        <w:rPr>
          <w:sz w:val="24"/>
          <w:szCs w:val="24"/>
          <w:lang w:val="sk-SK"/>
        </w:rPr>
        <w:t>9</w:t>
      </w:r>
      <w:r w:rsidRPr="000D46AF">
        <w:rPr>
          <w:sz w:val="24"/>
          <w:szCs w:val="24"/>
          <w:lang w:val="sk-SK"/>
        </w:rPr>
        <w:t>_TA(</w:t>
      </w:r>
      <w:r w:rsidRPr="00900D2B">
        <w:rPr>
          <w:sz w:val="24"/>
          <w:szCs w:val="24"/>
          <w:lang w:val="sk-SK"/>
        </w:rPr>
        <w:t>2024</w:t>
      </w:r>
      <w:r w:rsidRPr="000D46AF">
        <w:rPr>
          <w:sz w:val="24"/>
          <w:szCs w:val="24"/>
          <w:lang w:val="sk-SK"/>
        </w:rPr>
        <w:t>)</w:t>
      </w:r>
      <w:r w:rsidRPr="00900D2B">
        <w:rPr>
          <w:sz w:val="24"/>
          <w:szCs w:val="24"/>
          <w:lang w:val="sk-SK"/>
        </w:rPr>
        <w:t>0019</w:t>
      </w:r>
      <w:r w:rsidRPr="000D46AF">
        <w:rPr>
          <w:sz w:val="24"/>
          <w:szCs w:val="24"/>
          <w:lang w:val="sk-SK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5B7C" w:rsidRDefault="00DC5B7C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5B7C" w:rsidRDefault="00DC5B7C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5B7C" w:rsidRDefault="00DC5B7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2/2024"/>
    <w:docVar w:name="dvlangue" w:val="SK"/>
    <w:docVar w:name="dvnumam" w:val="15"/>
    <w:docVar w:name="dvpe" w:val="753.554"/>
    <w:docVar w:name="dvrapporteur" w:val="Spravodajkyňa: "/>
    <w:docVar w:name="dvstar" w:val="***I"/>
    <w:docVar w:name="dvtitre" w:val="Legislatívne uznesenie Európskeho parlamentu z xx. januára 2024 o návrhu nariadenia Európskeho parlamentu a Rady, ktorým sa mení nariadenie Európskeho parlamentu a Rady (EÚ) 2017/852 zo 17. mája 2017 o ortuti, pokiaľ ide o zubný amalgám a iné výrobky s prídavkom ortuti, na ktoré sa vzťahujú obmedzenia výroby, dovozu a vývozu(COM(2023)0395 – C9-0309/2023 – 2023/0272(COD))"/>
  </w:docVars>
  <w:rsids>
    <w:rsidRoot w:val="00DC5B7C"/>
    <w:rsid w:val="000D46AF"/>
    <w:rsid w:val="001306A6"/>
    <w:rsid w:val="001307E5"/>
    <w:rsid w:val="00270659"/>
    <w:rsid w:val="004F4C93"/>
    <w:rsid w:val="00900D2B"/>
    <w:rsid w:val="00B42DE7"/>
    <w:rsid w:val="00DB4C14"/>
    <w:rsid w:val="00DC5B7C"/>
    <w:rsid w:val="00F35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2FC1AF"/>
  <w15:chartTrackingRefBased/>
  <w15:docId w15:val="{843897E9-0D7A-4771-9A91-A7C182E87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Pr>
      <w:sz w:val="22"/>
      <w:lang w:val="fr-FR" w:eastAsia="fr-FR"/>
    </w:rPr>
  </w:style>
  <w:style w:type="character" w:styleId="PageNumber">
    <w:name w:val="page number"/>
    <w:semiHidden/>
  </w:style>
  <w:style w:type="paragraph" w:styleId="TOC2">
    <w:name w:val="toc 2"/>
    <w:basedOn w:val="Normal"/>
    <w:next w:val="Normal"/>
    <w:autoRedefine/>
    <w:semiHidden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NormalBold">
    <w:name w:val="NormalBold"/>
    <w:basedOn w:val="Normal"/>
    <w:link w:val="NormalBoldChar"/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AmColumnHeading">
    <w:name w:val="AmColumnHeading"/>
    <w:basedOn w:val="Normal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pPr>
      <w:spacing w:before="240"/>
    </w:pPr>
    <w:rPr>
      <w:b/>
    </w:rPr>
  </w:style>
  <w:style w:type="paragraph" w:customStyle="1" w:styleId="EPComma">
    <w:name w:val="EPComma"/>
    <w:basedOn w:val="Normal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Pr>
      <w:sz w:val="24"/>
      <w:lang w:val="sk-SK"/>
    </w:rPr>
  </w:style>
  <w:style w:type="paragraph" w:customStyle="1" w:styleId="Normal6">
    <w:name w:val="Normal6"/>
    <w:basedOn w:val="Normal"/>
    <w:link w:val="Normal6Char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Pr>
      <w:b/>
      <w:sz w:val="24"/>
      <w:lang w:val="sk-SK"/>
    </w:rPr>
  </w:style>
  <w:style w:type="paragraph" w:customStyle="1" w:styleId="ColumnHeading">
    <w:name w:val="ColumnHeading"/>
    <w:basedOn w:val="Normal"/>
    <w:pPr>
      <w:spacing w:after="240"/>
      <w:jc w:val="center"/>
    </w:pPr>
    <w:rPr>
      <w:i/>
    </w:rPr>
  </w:style>
  <w:style w:type="character" w:customStyle="1" w:styleId="AmNumberTabsChar">
    <w:name w:val="AmNumberTabs Char"/>
    <w:basedOn w:val="DefaultParagraphFont"/>
    <w:link w:val="AmNumberTabs"/>
    <w:rPr>
      <w:b/>
      <w:sz w:val="24"/>
      <w:lang w:val="sk-SK"/>
    </w:rPr>
  </w:style>
  <w:style w:type="character" w:customStyle="1" w:styleId="NormalBold12bChar">
    <w:name w:val="NormalBold12b Char"/>
    <w:basedOn w:val="AmNumberTabsChar"/>
    <w:link w:val="NormalBold12b"/>
    <w:rPr>
      <w:b/>
      <w:sz w:val="24"/>
      <w:lang w:val="sk-SK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customStyle="1" w:styleId="CrossRef">
    <w:name w:val="CrossRef"/>
    <w:basedOn w:val="Normal"/>
    <w:pPr>
      <w:spacing w:before="240"/>
      <w:jc w:val="center"/>
    </w:pPr>
    <w:rPr>
      <w:i/>
    </w:rPr>
  </w:style>
  <w:style w:type="character" w:styleId="CommentReference">
    <w:name w:val="annotation reference"/>
    <w:basedOn w:val="DefaultParagraphFont"/>
    <w:rPr>
      <w:sz w:val="16"/>
      <w:szCs w:val="16"/>
    </w:rPr>
  </w:style>
  <w:style w:type="paragraph" w:styleId="CommentText">
    <w:name w:val="annotation text"/>
    <w:basedOn w:val="Normal"/>
    <w:link w:val="CommentTextChar"/>
    <w:rPr>
      <w:sz w:val="20"/>
    </w:rPr>
  </w:style>
  <w:style w:type="character" w:customStyle="1" w:styleId="CommentTextChar">
    <w:name w:val="Comment Text Char"/>
    <w:basedOn w:val="DefaultParagraphFont"/>
    <w:link w:val="CommentText"/>
    <w:rPr>
      <w:lang w:val="sk-SK"/>
    </w:rPr>
  </w:style>
  <w:style w:type="paragraph" w:styleId="CommentSubject">
    <w:name w:val="annotation subject"/>
    <w:basedOn w:val="CommentText"/>
    <w:next w:val="CommentText"/>
    <w:link w:val="CommentSubjectChar"/>
    <w:rPr>
      <w:b/>
      <w:bCs/>
    </w:rPr>
  </w:style>
  <w:style w:type="character" w:customStyle="1" w:styleId="CommentSubjectChar">
    <w:name w:val="Comment Subject Char"/>
    <w:basedOn w:val="CommentTextChar"/>
    <w:link w:val="CommentSubject"/>
    <w:rPr>
      <w:b/>
      <w:bCs/>
      <w:lang w:val="sk-SK"/>
    </w:rPr>
  </w:style>
  <w:style w:type="paragraph" w:styleId="Revision">
    <w:name w:val="Revision"/>
    <w:hidden/>
    <w:uiPriority w:val="99"/>
    <w:semiHidden/>
    <w:rPr>
      <w:sz w:val="24"/>
      <w:lang w:val="sk-SK"/>
    </w:rPr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  <w:lang w:val="sk-SK"/>
    </w:rPr>
  </w:style>
  <w:style w:type="paragraph" w:customStyle="1" w:styleId="Institutionquiagit">
    <w:name w:val="Institution qui agit"/>
    <w:basedOn w:val="Normal"/>
    <w:next w:val="Normal"/>
    <w:rsid w:val="004F4C93"/>
    <w:pPr>
      <w:keepNext/>
      <w:widowControl/>
      <w:spacing w:before="600" w:after="120"/>
      <w:jc w:val="both"/>
    </w:pPr>
    <w:rPr>
      <w:rFonts w:eastAsia="Calibri"/>
      <w:szCs w:val="22"/>
      <w:lang w:eastAsia="en-US"/>
    </w:rPr>
  </w:style>
  <w:style w:type="character" w:styleId="Hyperlink">
    <w:name w:val="Hyperlink"/>
    <w:basedOn w:val="DefaultParagraphFont"/>
    <w:rsid w:val="00900D2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89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AC4E20-1126-43F2-B483-4717BA09AD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347</Words>
  <Characters>2074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SOLTYSOVA Zuzana</cp:lastModifiedBy>
  <cp:revision>2</cp:revision>
  <cp:lastPrinted>2004-11-19T15:42:00Z</cp:lastPrinted>
  <dcterms:created xsi:type="dcterms:W3CDTF">2024-07-23T12:07:00Z</dcterms:created>
  <dcterms:modified xsi:type="dcterms:W3CDTF">2024-07-23T12:07:00Z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P9_TA(2024)0191_</vt:lpwstr>
  </property>
  <property fmtid="{D5CDD505-2E9C-101B-9397-08002B2CF9AE}" pid="4" name="&lt;Type&gt;">
    <vt:lpwstr>RR</vt:lpwstr>
  </property>
</Properties>
</file>