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2EF9" w14:paraId="65B371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0127FC" w14:textId="77777777" w:rsidR="00751A4A" w:rsidRPr="00AD2EF9" w:rsidRDefault="00DC2187" w:rsidP="0010095E">
            <w:pPr>
              <w:pStyle w:val="EPName"/>
            </w:pPr>
            <w:r w:rsidRPr="00AD2EF9">
              <w:t>Evropski parlament</w:t>
            </w:r>
          </w:p>
          <w:p w14:paraId="2767CF5B" w14:textId="77777777" w:rsidR="00751A4A" w:rsidRPr="00AD2E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361B">
              <w:t>2019</w:t>
            </w:r>
            <w:r w:rsidRPr="00AD2EF9">
              <w:t>-</w:t>
            </w:r>
            <w:r w:rsidRPr="0052361B">
              <w:t>2024</w:t>
            </w:r>
          </w:p>
        </w:tc>
        <w:tc>
          <w:tcPr>
            <w:tcW w:w="2268" w:type="dxa"/>
            <w:shd w:val="clear" w:color="auto" w:fill="auto"/>
          </w:tcPr>
          <w:p w14:paraId="548AA39C" w14:textId="77777777" w:rsidR="00751A4A" w:rsidRPr="00AD2EF9" w:rsidRDefault="00187494" w:rsidP="0010095E">
            <w:pPr>
              <w:pStyle w:val="EPLogo"/>
            </w:pPr>
            <w:r w:rsidRPr="00AD2EF9">
              <w:rPr>
                <w:noProof/>
                <w:lang w:val="en-GB"/>
              </w:rPr>
              <w:drawing>
                <wp:inline distT="0" distB="0" distL="0" distR="0" wp14:anchorId="22C2BE19" wp14:editId="240390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13A064" w14:textId="77777777" w:rsidR="00D058B8" w:rsidRPr="00AD2EF9" w:rsidRDefault="00D058B8" w:rsidP="004C5D52">
      <w:pPr>
        <w:pStyle w:val="LineTop"/>
      </w:pPr>
    </w:p>
    <w:p w14:paraId="7BFCF9D6" w14:textId="77777777" w:rsidR="00680577" w:rsidRPr="00AD2EF9" w:rsidRDefault="00DC2187" w:rsidP="00680577">
      <w:pPr>
        <w:pStyle w:val="EPBodyTA1"/>
      </w:pPr>
      <w:r w:rsidRPr="00AD2EF9">
        <w:t>SPREJETA BESEDILA</w:t>
      </w:r>
    </w:p>
    <w:p w14:paraId="33097AF5" w14:textId="77777777" w:rsidR="00D058B8" w:rsidRPr="00AD2EF9" w:rsidRDefault="00D058B8" w:rsidP="00D058B8">
      <w:pPr>
        <w:pStyle w:val="LineBottom"/>
      </w:pPr>
    </w:p>
    <w:p w14:paraId="0DBED85B" w14:textId="63F864D2" w:rsidR="00DC2187" w:rsidRPr="00AD2EF9" w:rsidRDefault="00DC2187" w:rsidP="00AD2EF9">
      <w:pPr>
        <w:pStyle w:val="ATHeading1"/>
      </w:pPr>
      <w:bookmarkStart w:id="0" w:name="TANumber"/>
      <w:r w:rsidRPr="00AD2EF9">
        <w:t>P</w:t>
      </w:r>
      <w:r w:rsidRPr="0052361B">
        <w:t>9</w:t>
      </w:r>
      <w:r w:rsidRPr="00AD2EF9">
        <w:t>_TA(</w:t>
      </w:r>
      <w:r w:rsidRPr="0052361B">
        <w:t>2024</w:t>
      </w:r>
      <w:r w:rsidRPr="00AD2EF9">
        <w:t>)</w:t>
      </w:r>
      <w:r w:rsidRPr="0052361B">
        <w:t>0</w:t>
      </w:r>
      <w:r w:rsidR="00AD2EF9" w:rsidRPr="0052361B">
        <w:t>191</w:t>
      </w:r>
      <w:bookmarkEnd w:id="0"/>
    </w:p>
    <w:p w14:paraId="6D7EDC3E" w14:textId="77777777" w:rsidR="00DC2187" w:rsidRPr="00AD2EF9" w:rsidRDefault="00DC2187" w:rsidP="00DC2187">
      <w:pPr>
        <w:pStyle w:val="ATHeading2"/>
      </w:pPr>
      <w:bookmarkStart w:id="1" w:name="title"/>
      <w:r w:rsidRPr="00AD2EF9">
        <w:t>Živo srebro: zobni amalgam in drugi proizvodi, ki vsebujejo dodano živo srebro, za katere veljajo omejitve proizvodnje, uvoza in izvoza</w:t>
      </w:r>
      <w:bookmarkEnd w:id="1"/>
    </w:p>
    <w:p w14:paraId="36D437C7" w14:textId="77777777" w:rsidR="00DC2187" w:rsidRPr="00AD2EF9" w:rsidRDefault="00DC2187" w:rsidP="00DC2187">
      <w:pPr>
        <w:rPr>
          <w:i/>
          <w:vanish/>
        </w:rPr>
      </w:pPr>
      <w:r w:rsidRPr="00AD2EF9">
        <w:rPr>
          <w:i/>
        </w:rPr>
        <w:fldChar w:fldCharType="begin"/>
      </w:r>
      <w:r w:rsidRPr="00AD2EF9">
        <w:rPr>
          <w:i/>
        </w:rPr>
        <w:instrText xml:space="preserve"> TC"(</w:instrText>
      </w:r>
      <w:bookmarkStart w:id="2" w:name="DocNumber"/>
      <w:r w:rsidRPr="00AD2EF9">
        <w:rPr>
          <w:i/>
        </w:rPr>
        <w:instrText>A</w:instrText>
      </w:r>
      <w:r w:rsidRPr="0052361B">
        <w:rPr>
          <w:i/>
        </w:rPr>
        <w:instrText>9</w:instrText>
      </w:r>
      <w:r w:rsidRPr="00AD2EF9">
        <w:rPr>
          <w:i/>
        </w:rPr>
        <w:instrText>-</w:instrText>
      </w:r>
      <w:r w:rsidRPr="0052361B">
        <w:rPr>
          <w:i/>
        </w:rPr>
        <w:instrText>0002</w:instrText>
      </w:r>
      <w:r w:rsidRPr="00AD2EF9">
        <w:rPr>
          <w:i/>
        </w:rPr>
        <w:instrText>/</w:instrText>
      </w:r>
      <w:r w:rsidRPr="0052361B">
        <w:rPr>
          <w:i/>
        </w:rPr>
        <w:instrText>2024</w:instrText>
      </w:r>
      <w:bookmarkEnd w:id="2"/>
      <w:r w:rsidRPr="00AD2EF9">
        <w:rPr>
          <w:i/>
        </w:rPr>
        <w:instrText xml:space="preserve"> - Poročevalka: Marlene </w:instrText>
      </w:r>
      <w:proofErr w:type="spellStart"/>
      <w:r w:rsidRPr="00AD2EF9">
        <w:rPr>
          <w:i/>
        </w:rPr>
        <w:instrText>Mortler</w:instrText>
      </w:r>
      <w:proofErr w:type="spellEnd"/>
      <w:r w:rsidRPr="00AD2EF9">
        <w:rPr>
          <w:i/>
        </w:rPr>
        <w:instrText>)"\l</w:instrText>
      </w:r>
      <w:r w:rsidRPr="0052361B">
        <w:rPr>
          <w:i/>
        </w:rPr>
        <w:instrText>3</w:instrText>
      </w:r>
      <w:r w:rsidRPr="00AD2EF9">
        <w:rPr>
          <w:i/>
        </w:rPr>
        <w:instrText xml:space="preserve"> \n&gt; \* MERGEFORMAT </w:instrText>
      </w:r>
      <w:r w:rsidRPr="00AD2EF9">
        <w:rPr>
          <w:i/>
        </w:rPr>
        <w:fldChar w:fldCharType="end"/>
      </w:r>
    </w:p>
    <w:p w14:paraId="066C8D83" w14:textId="77777777" w:rsidR="00DC2187" w:rsidRPr="00AD2EF9" w:rsidRDefault="00DC2187" w:rsidP="00DC2187">
      <w:pPr>
        <w:rPr>
          <w:vanish/>
        </w:rPr>
      </w:pPr>
      <w:bookmarkStart w:id="3" w:name="Commission"/>
      <w:r w:rsidRPr="00AD2EF9">
        <w:rPr>
          <w:vanish/>
        </w:rPr>
        <w:t>Odbor za okolje, javno zdravje in varnost hrane</w:t>
      </w:r>
      <w:bookmarkEnd w:id="3"/>
    </w:p>
    <w:p w14:paraId="0D7D8142" w14:textId="77777777" w:rsidR="00DC2187" w:rsidRPr="00AD2EF9" w:rsidRDefault="00DC2187" w:rsidP="00DC2187">
      <w:pPr>
        <w:rPr>
          <w:vanish/>
        </w:rPr>
      </w:pPr>
      <w:bookmarkStart w:id="4" w:name="PE"/>
      <w:r w:rsidRPr="00AD2EF9">
        <w:rPr>
          <w:vanish/>
        </w:rPr>
        <w:t>PE</w:t>
      </w:r>
      <w:r w:rsidRPr="0052361B">
        <w:rPr>
          <w:vanish/>
        </w:rPr>
        <w:t>753</w:t>
      </w:r>
      <w:r w:rsidRPr="00AD2EF9">
        <w:rPr>
          <w:vanish/>
        </w:rPr>
        <w:t>.</w:t>
      </w:r>
      <w:r w:rsidRPr="0052361B">
        <w:rPr>
          <w:vanish/>
        </w:rPr>
        <w:t>554</w:t>
      </w:r>
      <w:bookmarkEnd w:id="4"/>
    </w:p>
    <w:p w14:paraId="22D469F7" w14:textId="77777777" w:rsidR="00DC2187" w:rsidRPr="00AD2EF9" w:rsidRDefault="00DC2187" w:rsidP="00DC2187">
      <w:pPr>
        <w:pStyle w:val="ATHeading3"/>
      </w:pPr>
      <w:bookmarkStart w:id="5" w:name="Sujet"/>
      <w:r w:rsidRPr="00AD2EF9">
        <w:t xml:space="preserve">Zakonodajna resolucija Evropskega parlamenta z dne </w:t>
      </w:r>
      <w:r w:rsidRPr="0052361B">
        <w:t>10</w:t>
      </w:r>
      <w:r w:rsidRPr="00AD2EF9">
        <w:t xml:space="preserve">. aprila </w:t>
      </w:r>
      <w:r w:rsidRPr="0052361B">
        <w:t>2024</w:t>
      </w:r>
      <w:r w:rsidRPr="00AD2EF9">
        <w:t xml:space="preserve"> o predlogu uredbe Evropskega parlamenta in Sveta spremembi Uredbe (EU) </w:t>
      </w:r>
      <w:r w:rsidRPr="0052361B">
        <w:t>2017</w:t>
      </w:r>
      <w:r w:rsidRPr="00AD2EF9">
        <w:t>/</w:t>
      </w:r>
      <w:r w:rsidRPr="0052361B">
        <w:t>852</w:t>
      </w:r>
      <w:r w:rsidRPr="00AD2EF9">
        <w:t xml:space="preserve"> Evropskega parlamenta in Sveta z dne </w:t>
      </w:r>
      <w:r w:rsidRPr="0052361B">
        <w:t>17</w:t>
      </w:r>
      <w:r w:rsidRPr="00AD2EF9">
        <w:t>. maja </w:t>
      </w:r>
      <w:r w:rsidRPr="0052361B">
        <w:t>2017</w:t>
      </w:r>
      <w:r w:rsidRPr="00AD2EF9">
        <w:t xml:space="preserve"> o živem srebru v zvezi z zobnim amalgamom in drugimi proizvodi, ki vsebujejo dodano živo srebro, za katere veljajo omejitve proizvodnje, uvoza in izvoza</w:t>
      </w:r>
      <w:bookmarkEnd w:id="5"/>
      <w:r w:rsidRPr="00AD2EF9">
        <w:t xml:space="preserve"> </w:t>
      </w:r>
      <w:bookmarkStart w:id="6" w:name="References"/>
      <w:r w:rsidRPr="00AD2EF9">
        <w:t>(COM(</w:t>
      </w:r>
      <w:r w:rsidRPr="0052361B">
        <w:t>2023</w:t>
      </w:r>
      <w:r w:rsidRPr="00AD2EF9">
        <w:t>)</w:t>
      </w:r>
      <w:r w:rsidRPr="0052361B">
        <w:t>0395</w:t>
      </w:r>
      <w:r w:rsidRPr="00AD2EF9">
        <w:t xml:space="preserve"> – C</w:t>
      </w:r>
      <w:r w:rsidRPr="0052361B">
        <w:t>9</w:t>
      </w:r>
      <w:r w:rsidRPr="00AD2EF9">
        <w:t>-</w:t>
      </w:r>
      <w:r w:rsidRPr="0052361B">
        <w:t>0309</w:t>
      </w:r>
      <w:r w:rsidRPr="00AD2EF9">
        <w:t>/</w:t>
      </w:r>
      <w:r w:rsidRPr="0052361B">
        <w:t>2023</w:t>
      </w:r>
      <w:r w:rsidRPr="00AD2EF9">
        <w:t xml:space="preserve"> – </w:t>
      </w:r>
      <w:r w:rsidRPr="0052361B">
        <w:t>2023</w:t>
      </w:r>
      <w:r w:rsidRPr="00AD2EF9">
        <w:t>/</w:t>
      </w:r>
      <w:r w:rsidRPr="0052361B">
        <w:t>0272</w:t>
      </w:r>
      <w:r w:rsidRPr="00AD2EF9">
        <w:t>(COD))</w:t>
      </w:r>
      <w:bookmarkEnd w:id="6"/>
    </w:p>
    <w:p w14:paraId="49F1E9EB" w14:textId="77777777" w:rsidR="00DC2187" w:rsidRPr="00AD2EF9" w:rsidRDefault="00DC2187" w:rsidP="00DC2187"/>
    <w:p w14:paraId="60A7B742" w14:textId="77777777" w:rsidR="00727FC6" w:rsidRPr="00AD2EF9" w:rsidRDefault="00727FC6" w:rsidP="00727FC6">
      <w:pPr>
        <w:pStyle w:val="NormalBold"/>
      </w:pPr>
      <w:bookmarkStart w:id="7" w:name="TextBodyBegin"/>
      <w:bookmarkEnd w:id="7"/>
      <w:r w:rsidRPr="00AD2EF9">
        <w:t>(Redni zakonodajni postopek: prva obravnava)</w:t>
      </w:r>
    </w:p>
    <w:p w14:paraId="1D2E457B" w14:textId="77777777" w:rsidR="00727FC6" w:rsidRPr="00AD2EF9" w:rsidRDefault="00727FC6" w:rsidP="00727FC6">
      <w:pPr>
        <w:pStyle w:val="EPComma"/>
      </w:pPr>
      <w:r w:rsidRPr="00AD2EF9">
        <w:rPr>
          <w:i/>
        </w:rPr>
        <w:t>Evropski parlament</w:t>
      </w:r>
      <w:r w:rsidRPr="00AD2EF9">
        <w:t>,</w:t>
      </w:r>
    </w:p>
    <w:p w14:paraId="132C45BF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>ob upoštevanju predloga Komisije Evropskemu parlamentu in Svetu (COM(</w:t>
      </w:r>
      <w:r w:rsidRPr="0052361B">
        <w:t>2023</w:t>
      </w:r>
      <w:r w:rsidRPr="00AD2EF9">
        <w:t>)</w:t>
      </w:r>
      <w:r w:rsidRPr="0052361B">
        <w:t>0395</w:t>
      </w:r>
      <w:r w:rsidRPr="00AD2EF9">
        <w:t>),</w:t>
      </w:r>
    </w:p>
    <w:p w14:paraId="247C5D7F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 xml:space="preserve">ob upoštevanju člena </w:t>
      </w:r>
      <w:r w:rsidRPr="0052361B">
        <w:t>294</w:t>
      </w:r>
      <w:r w:rsidRPr="00AD2EF9">
        <w:t>(</w:t>
      </w:r>
      <w:r w:rsidRPr="0052361B">
        <w:t>2</w:t>
      </w:r>
      <w:r w:rsidRPr="00AD2EF9">
        <w:t xml:space="preserve">) in člena </w:t>
      </w:r>
      <w:r w:rsidRPr="0052361B">
        <w:t>192</w:t>
      </w:r>
      <w:r w:rsidRPr="00AD2EF9">
        <w:t>(</w:t>
      </w:r>
      <w:r w:rsidRPr="0052361B">
        <w:t>1</w:t>
      </w:r>
      <w:r w:rsidRPr="00AD2EF9">
        <w:t>) Pogodbe o delovanju Evropske unije, na podlagi katerih je Komisija podala predlog Parlamentu (C</w:t>
      </w:r>
      <w:r w:rsidRPr="0052361B">
        <w:t>9</w:t>
      </w:r>
      <w:r w:rsidRPr="00AD2EF9">
        <w:noBreakHyphen/>
      </w:r>
      <w:r w:rsidRPr="0052361B">
        <w:t>0309</w:t>
      </w:r>
      <w:r w:rsidRPr="00AD2EF9">
        <w:t>/</w:t>
      </w:r>
      <w:r w:rsidRPr="0052361B">
        <w:t>2023</w:t>
      </w:r>
      <w:r w:rsidRPr="00AD2EF9">
        <w:t>),</w:t>
      </w:r>
    </w:p>
    <w:p w14:paraId="521B91F3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 xml:space="preserve">ob upoštevanju člena </w:t>
      </w:r>
      <w:r w:rsidRPr="0052361B">
        <w:t>294</w:t>
      </w:r>
      <w:r w:rsidRPr="00AD2EF9">
        <w:t>(</w:t>
      </w:r>
      <w:r w:rsidRPr="0052361B">
        <w:t>3</w:t>
      </w:r>
      <w:r w:rsidRPr="00AD2EF9">
        <w:t>) Pogodbe o delovanju Evropske unije,</w:t>
      </w:r>
    </w:p>
    <w:p w14:paraId="06BAF5B1" w14:textId="77777777" w:rsidR="00727FC6" w:rsidRPr="00AD2EF9" w:rsidRDefault="00727FC6" w:rsidP="00727FC6">
      <w:pPr>
        <w:pStyle w:val="NormalHanging12a"/>
        <w:rPr>
          <w:szCs w:val="24"/>
        </w:rPr>
      </w:pPr>
      <w:r w:rsidRPr="00AD2EF9">
        <w:t>–</w:t>
      </w:r>
      <w:r w:rsidRPr="00AD2EF9">
        <w:tab/>
        <w:t xml:space="preserve">ob upoštevanju mnenja Evropskega ekonomsko-socialnega odbora z dne </w:t>
      </w:r>
      <w:r w:rsidRPr="0052361B">
        <w:t>26</w:t>
      </w:r>
      <w:r w:rsidRPr="00AD2EF9">
        <w:t xml:space="preserve">. oktobra </w:t>
      </w:r>
      <w:r w:rsidRPr="0052361B">
        <w:t>2023</w:t>
      </w:r>
      <w:r w:rsidRPr="00AD2EF9">
        <w:rPr>
          <w:rStyle w:val="FootnoteReference"/>
          <w:szCs w:val="24"/>
        </w:rPr>
        <w:footnoteReference w:id="1"/>
      </w:r>
      <w:r w:rsidRPr="00AD2EF9">
        <w:t>,</w:t>
      </w:r>
    </w:p>
    <w:p w14:paraId="4D7035AE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>po posvetovanju z Odborom regij,</w:t>
      </w:r>
    </w:p>
    <w:p w14:paraId="64C83EC2" w14:textId="65B9A3AA" w:rsidR="002F0BA0" w:rsidRPr="00AD2EF9" w:rsidRDefault="002F0BA0" w:rsidP="002F0BA0">
      <w:pPr>
        <w:pStyle w:val="NormalHanging12a"/>
      </w:pPr>
      <w:r w:rsidRPr="00AD2EF9">
        <w:t>–</w:t>
      </w:r>
      <w:r w:rsidRPr="00AD2EF9">
        <w:tab/>
        <w:t xml:space="preserve">ob upoštevanju začasnega dogovora, ki ga je odobril pristojni odbor na podlagi člena </w:t>
      </w:r>
      <w:r w:rsidRPr="0052361B">
        <w:t>74</w:t>
      </w:r>
      <w:r w:rsidRPr="00AD2EF9">
        <w:t>(</w:t>
      </w:r>
      <w:r w:rsidRPr="0052361B">
        <w:t>4</w:t>
      </w:r>
      <w:r w:rsidRPr="00AD2EF9">
        <w:t xml:space="preserve">) Poslovnika, in zaveze predstavnika Sveta v pismu z dne </w:t>
      </w:r>
      <w:r w:rsidR="00636E21" w:rsidRPr="0052361B">
        <w:t>21</w:t>
      </w:r>
      <w:r w:rsidR="00636E21" w:rsidRPr="00AD2EF9">
        <w:t xml:space="preserve">. februarja </w:t>
      </w:r>
      <w:r w:rsidR="00636E21" w:rsidRPr="0052361B">
        <w:t>2024</w:t>
      </w:r>
      <w:r w:rsidRPr="00AD2EF9">
        <w:t xml:space="preserve">, da bo odobril stališče Evropskega parlamenta v skladu s členom </w:t>
      </w:r>
      <w:r w:rsidRPr="0052361B">
        <w:t>294</w:t>
      </w:r>
      <w:r w:rsidRPr="00AD2EF9">
        <w:t>(</w:t>
      </w:r>
      <w:r w:rsidRPr="0052361B">
        <w:t>4</w:t>
      </w:r>
      <w:r w:rsidRPr="00AD2EF9">
        <w:t>) Pogodbe o delovanju Evropske unije,</w:t>
      </w:r>
    </w:p>
    <w:p w14:paraId="711C7D8D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 xml:space="preserve">ob upoštevanju člena </w:t>
      </w:r>
      <w:r w:rsidRPr="0052361B">
        <w:t>59</w:t>
      </w:r>
      <w:r w:rsidRPr="00AD2EF9">
        <w:t xml:space="preserve"> Poslovnika,</w:t>
      </w:r>
    </w:p>
    <w:p w14:paraId="6D098BB2" w14:textId="77777777" w:rsidR="00727FC6" w:rsidRPr="00AD2EF9" w:rsidRDefault="00727FC6" w:rsidP="00727FC6">
      <w:pPr>
        <w:pStyle w:val="NormalHanging12a"/>
      </w:pPr>
      <w:r w:rsidRPr="00AD2EF9">
        <w:t>–</w:t>
      </w:r>
      <w:r w:rsidRPr="00AD2EF9">
        <w:tab/>
        <w:t xml:space="preserve">ob upoštevanju poročila Odbora za okolje, javno zdravje in varnost hrane </w:t>
      </w:r>
      <w:r w:rsidRPr="00AD2EF9">
        <w:lastRenderedPageBreak/>
        <w:t>(A</w:t>
      </w:r>
      <w:r w:rsidRPr="0052361B">
        <w:t>9</w:t>
      </w:r>
      <w:r w:rsidRPr="00AD2EF9">
        <w:noBreakHyphen/>
      </w:r>
      <w:r w:rsidRPr="0052361B">
        <w:t>0002</w:t>
      </w:r>
      <w:r w:rsidRPr="00AD2EF9">
        <w:t>/</w:t>
      </w:r>
      <w:r w:rsidRPr="0052361B">
        <w:t>2024</w:t>
      </w:r>
      <w:r w:rsidRPr="00AD2EF9">
        <w:t>),</w:t>
      </w:r>
    </w:p>
    <w:p w14:paraId="22412713" w14:textId="77777777" w:rsidR="00727FC6" w:rsidRPr="00AD2EF9" w:rsidRDefault="00727FC6" w:rsidP="00727FC6">
      <w:pPr>
        <w:pStyle w:val="NormalHanging12a"/>
      </w:pPr>
      <w:r w:rsidRPr="0052361B">
        <w:t>1</w:t>
      </w:r>
      <w:r w:rsidRPr="00AD2EF9">
        <w:t>.</w:t>
      </w:r>
      <w:r w:rsidRPr="00AD2EF9">
        <w:tab/>
        <w:t>sprejme stališče v prvi obravnavi, kakor je določeno v nadaljevanju</w:t>
      </w:r>
      <w:r w:rsidR="002F0BA0" w:rsidRPr="00AD2EF9">
        <w:rPr>
          <w:rStyle w:val="FootnoteReference"/>
        </w:rPr>
        <w:footnoteReference w:id="2"/>
      </w:r>
      <w:r w:rsidRPr="00AD2EF9">
        <w:t>;</w:t>
      </w:r>
    </w:p>
    <w:p w14:paraId="3884BDAC" w14:textId="77777777" w:rsidR="00727FC6" w:rsidRPr="00AD2EF9" w:rsidRDefault="00727FC6" w:rsidP="00727FC6">
      <w:pPr>
        <w:pStyle w:val="NormalHanging12a"/>
      </w:pPr>
      <w:r w:rsidRPr="0052361B">
        <w:t>2</w:t>
      </w:r>
      <w:r w:rsidRPr="00AD2EF9">
        <w:t>.</w:t>
      </w:r>
      <w:r w:rsidRPr="00AD2EF9">
        <w:tab/>
        <w:t>poziva Komisijo, naj mu zadevo ponovno predloži, če svoj predlog nadomesti, ga bistveno spremeni ali ga namerava bistveno spremeniti;</w:t>
      </w:r>
    </w:p>
    <w:p w14:paraId="576D4B0C" w14:textId="03CC1C3C" w:rsidR="002F0BA0" w:rsidRPr="00AD2EF9" w:rsidRDefault="00727FC6" w:rsidP="002F0BA0">
      <w:pPr>
        <w:pStyle w:val="NormalHanging12a"/>
      </w:pPr>
      <w:r w:rsidRPr="0052361B">
        <w:t>3</w:t>
      </w:r>
      <w:r w:rsidRPr="00AD2EF9">
        <w:t>.</w:t>
      </w:r>
      <w:r w:rsidRPr="00AD2EF9">
        <w:tab/>
        <w:t>naroči svoji predsednici, naj stališče Parlamenta posreduje Svetu</w:t>
      </w:r>
      <w:r w:rsidR="002F0BA0" w:rsidRPr="00AD2EF9">
        <w:t>,</w:t>
      </w:r>
      <w:r w:rsidRPr="00AD2EF9">
        <w:t xml:space="preserve"> Komisiji </w:t>
      </w:r>
      <w:r w:rsidR="002F0BA0" w:rsidRPr="00AD2EF9">
        <w:t>in</w:t>
      </w:r>
      <w:r w:rsidRPr="00AD2EF9">
        <w:t xml:space="preserve"> nacionalnim parlamentom.</w:t>
      </w:r>
    </w:p>
    <w:p w14:paraId="7DF74093" w14:textId="77777777" w:rsidR="000C31D2" w:rsidRPr="00AD2EF9" w:rsidRDefault="000C31D2" w:rsidP="002F0BA0">
      <w:pPr>
        <w:spacing w:after="240"/>
        <w:rPr>
          <w:b/>
        </w:rPr>
        <w:sectPr w:rsidR="000C31D2" w:rsidRPr="00AD2EF9" w:rsidSect="005E10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05E986" w14:textId="3CD62286" w:rsidR="002F0BA0" w:rsidRPr="00AD2EF9" w:rsidRDefault="002F0BA0" w:rsidP="002F0BA0">
      <w:pPr>
        <w:spacing w:after="240"/>
        <w:rPr>
          <w:b/>
        </w:rPr>
      </w:pPr>
      <w:r w:rsidRPr="00AD2EF9">
        <w:rPr>
          <w:b/>
        </w:rPr>
        <w:t>P</w:t>
      </w:r>
      <w:r w:rsidRPr="0052361B">
        <w:rPr>
          <w:b/>
        </w:rPr>
        <w:t>9</w:t>
      </w:r>
      <w:r w:rsidRPr="00AD2EF9">
        <w:rPr>
          <w:b/>
        </w:rPr>
        <w:t>_TC</w:t>
      </w:r>
      <w:r w:rsidRPr="0052361B">
        <w:rPr>
          <w:b/>
        </w:rPr>
        <w:t>1</w:t>
      </w:r>
      <w:r w:rsidRPr="00AD2EF9">
        <w:rPr>
          <w:b/>
        </w:rPr>
        <w:t>-COD(</w:t>
      </w:r>
      <w:r w:rsidRPr="0052361B">
        <w:rPr>
          <w:b/>
        </w:rPr>
        <w:t>2023</w:t>
      </w:r>
      <w:r w:rsidRPr="00AD2EF9">
        <w:rPr>
          <w:b/>
        </w:rPr>
        <w:t>)</w:t>
      </w:r>
      <w:r w:rsidRPr="0052361B">
        <w:rPr>
          <w:b/>
        </w:rPr>
        <w:t>0272</w:t>
      </w:r>
    </w:p>
    <w:p w14:paraId="6DE8A25E" w14:textId="4F9A0C3B" w:rsidR="000C31D2" w:rsidRPr="00AD2EF9" w:rsidRDefault="002F0BA0" w:rsidP="000C31D2">
      <w:pPr>
        <w:spacing w:after="200"/>
        <w:rPr>
          <w:rFonts w:eastAsia="Calibri"/>
          <w:b/>
          <w:szCs w:val="22"/>
          <w:lang w:eastAsia="en-US"/>
        </w:rPr>
      </w:pPr>
      <w:r w:rsidRPr="00AD2EF9">
        <w:rPr>
          <w:b/>
        </w:rPr>
        <w:t xml:space="preserve">Stališče Evropskega parlamenta, sprejeto v prvi obravnavi </w:t>
      </w:r>
      <w:r w:rsidRPr="0052361B">
        <w:rPr>
          <w:b/>
        </w:rPr>
        <w:t>10</w:t>
      </w:r>
      <w:r w:rsidRPr="00AD2EF9">
        <w:rPr>
          <w:b/>
        </w:rPr>
        <w:t xml:space="preserve">. aprila </w:t>
      </w:r>
      <w:r w:rsidRPr="0052361B">
        <w:rPr>
          <w:b/>
        </w:rPr>
        <w:t>2024</w:t>
      </w:r>
      <w:r w:rsidRPr="00AD2EF9">
        <w:rPr>
          <w:b/>
        </w:rPr>
        <w:t xml:space="preserve"> z namenom sprejetja Uredbe (EU) </w:t>
      </w:r>
      <w:r w:rsidRPr="0052361B">
        <w:rPr>
          <w:b/>
        </w:rPr>
        <w:t>2024</w:t>
      </w:r>
      <w:r w:rsidRPr="00AD2EF9">
        <w:rPr>
          <w:b/>
        </w:rPr>
        <w:t xml:space="preserve">/... Evropskega parlamenta in Sveta </w:t>
      </w:r>
      <w:r w:rsidR="00813815" w:rsidRPr="00813815">
        <w:rPr>
          <w:rFonts w:eastAsia="Calibri"/>
          <w:b/>
          <w:szCs w:val="22"/>
          <w:lang w:eastAsia="en-US"/>
        </w:rPr>
        <w:t>o spremembi Uredbe (EU) 2017/852 o živem srebru v zvezi z zobnim amalgamom in drugimi proizvodi, ki vsebujejo dodano živo srebro, za katere veljajo omejitve izvoza, uvoza in proizvodnje</w:t>
      </w:r>
      <w:bookmarkStart w:id="8" w:name="_GoBack"/>
      <w:bookmarkEnd w:id="8"/>
    </w:p>
    <w:p w14:paraId="27514E0C" w14:textId="3565DD2E" w:rsidR="00813815" w:rsidRDefault="00813815" w:rsidP="00813815">
      <w:pPr>
        <w:pStyle w:val="AmNumberTabs"/>
        <w:rPr>
          <w:b w:val="0"/>
          <w:i/>
        </w:rPr>
      </w:pPr>
      <w:r w:rsidRPr="00B11EA9">
        <w:rPr>
          <w:b w:val="0"/>
          <w:i/>
        </w:rPr>
        <w:t xml:space="preserve">(Ker je bil dosežen sporazum med Parlamentom in Svetom, je stališče Parlamenta enako končnemu zakonodajnemu aktu, </w:t>
      </w:r>
      <w:r>
        <w:rPr>
          <w:b w:val="0"/>
          <w:i/>
        </w:rPr>
        <w:t>Uredbi</w:t>
      </w:r>
      <w:r w:rsidRPr="00B11EA9">
        <w:rPr>
          <w:b w:val="0"/>
          <w:i/>
        </w:rPr>
        <w:t xml:space="preserve"> (EU) 2024/</w:t>
      </w:r>
      <w:r>
        <w:rPr>
          <w:b w:val="0"/>
          <w:i/>
        </w:rPr>
        <w:t>1849</w:t>
      </w:r>
      <w:r w:rsidRPr="00B11EA9">
        <w:rPr>
          <w:b w:val="0"/>
          <w:i/>
        </w:rPr>
        <w:t>.)</w:t>
      </w:r>
    </w:p>
    <w:sectPr w:rsidR="00813815" w:rsidSect="005E10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79F11" w14:textId="77777777" w:rsidR="00DC2187" w:rsidRPr="005E108A" w:rsidRDefault="00DC2187">
      <w:r w:rsidRPr="005E108A">
        <w:separator/>
      </w:r>
    </w:p>
  </w:endnote>
  <w:endnote w:type="continuationSeparator" w:id="0">
    <w:p w14:paraId="1B871B4E" w14:textId="77777777" w:rsidR="00DC2187" w:rsidRPr="005E108A" w:rsidRDefault="00DC2187">
      <w:r w:rsidRPr="005E1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D875A" w14:textId="77777777" w:rsidR="00064002" w:rsidRPr="005E10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542C" w14:textId="77777777" w:rsidR="00064002" w:rsidRPr="005E10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61F0A" w14:textId="77777777" w:rsidR="00064002" w:rsidRPr="005E10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95DDC" w14:textId="77777777" w:rsidR="00DC2187" w:rsidRPr="005E108A" w:rsidRDefault="00DC2187">
      <w:r w:rsidRPr="005E108A">
        <w:separator/>
      </w:r>
    </w:p>
  </w:footnote>
  <w:footnote w:type="continuationSeparator" w:id="0">
    <w:p w14:paraId="0655631C" w14:textId="77777777" w:rsidR="00DC2187" w:rsidRPr="005E108A" w:rsidRDefault="00DC2187">
      <w:r w:rsidRPr="005E108A">
        <w:continuationSeparator/>
      </w:r>
    </w:p>
  </w:footnote>
  <w:footnote w:id="1">
    <w:p w14:paraId="3FB253C0" w14:textId="4863CC57" w:rsidR="00727FC6" w:rsidRPr="000C31D2" w:rsidRDefault="00727FC6" w:rsidP="00636E21">
      <w:pPr>
        <w:pStyle w:val="FootnoteText"/>
        <w:ind w:left="567" w:hanging="567"/>
        <w:rPr>
          <w:sz w:val="24"/>
          <w:szCs w:val="24"/>
          <w:lang w:val="sl-SI"/>
        </w:rPr>
      </w:pPr>
      <w:r w:rsidRPr="000C31D2">
        <w:rPr>
          <w:rStyle w:val="FootnoteReference"/>
          <w:sz w:val="24"/>
          <w:szCs w:val="24"/>
          <w:lang w:val="sl-SI"/>
        </w:rPr>
        <w:footnoteRef/>
      </w:r>
      <w:r w:rsidR="005E108A" w:rsidRPr="000C31D2">
        <w:rPr>
          <w:sz w:val="24"/>
          <w:szCs w:val="24"/>
          <w:lang w:val="sl-SI"/>
        </w:rPr>
        <w:t xml:space="preserve"> </w:t>
      </w:r>
      <w:r w:rsidR="005E108A" w:rsidRPr="000C31D2">
        <w:rPr>
          <w:sz w:val="24"/>
          <w:szCs w:val="24"/>
          <w:lang w:val="sl-SI"/>
        </w:rPr>
        <w:tab/>
      </w:r>
      <w:r w:rsidR="00636E21">
        <w:rPr>
          <w:sz w:val="24"/>
          <w:szCs w:val="24"/>
          <w:lang w:val="sl-SI"/>
        </w:rPr>
        <w:t>UL</w:t>
      </w:r>
      <w:r w:rsidR="00636E21" w:rsidRPr="00A63B10">
        <w:rPr>
          <w:sz w:val="24"/>
          <w:szCs w:val="24"/>
          <w:lang w:val="sv-SE"/>
        </w:rPr>
        <w:t xml:space="preserve"> C, C/</w:t>
      </w:r>
      <w:r w:rsidR="00636E21" w:rsidRPr="0052361B">
        <w:rPr>
          <w:sz w:val="24"/>
          <w:szCs w:val="24"/>
          <w:lang w:val="sv-SE"/>
        </w:rPr>
        <w:t>2024</w:t>
      </w:r>
      <w:r w:rsidR="00636E21" w:rsidRPr="00A63B10">
        <w:rPr>
          <w:sz w:val="24"/>
          <w:szCs w:val="24"/>
          <w:lang w:val="sv-SE"/>
        </w:rPr>
        <w:t>/</w:t>
      </w:r>
      <w:r w:rsidR="00636E21" w:rsidRPr="0052361B">
        <w:rPr>
          <w:sz w:val="24"/>
          <w:szCs w:val="24"/>
          <w:lang w:val="sv-SE"/>
        </w:rPr>
        <w:t>894</w:t>
      </w:r>
      <w:r w:rsidR="00636E21" w:rsidRPr="00A63B10">
        <w:rPr>
          <w:sz w:val="24"/>
          <w:szCs w:val="24"/>
          <w:lang w:val="sv-SE"/>
        </w:rPr>
        <w:t xml:space="preserve">, </w:t>
      </w:r>
      <w:r w:rsidR="00636E21" w:rsidRPr="0052361B">
        <w:rPr>
          <w:sz w:val="24"/>
          <w:szCs w:val="24"/>
          <w:lang w:val="sv-SE"/>
        </w:rPr>
        <w:t>6</w:t>
      </w:r>
      <w:r w:rsidR="00636E21" w:rsidRPr="00A63B10">
        <w:rPr>
          <w:sz w:val="24"/>
          <w:szCs w:val="24"/>
          <w:lang w:val="sv-SE"/>
        </w:rPr>
        <w:t>.</w:t>
      </w:r>
      <w:r w:rsidR="00636E21" w:rsidRPr="0052361B">
        <w:rPr>
          <w:sz w:val="24"/>
          <w:szCs w:val="24"/>
          <w:lang w:val="sv-SE"/>
        </w:rPr>
        <w:t>2</w:t>
      </w:r>
      <w:r w:rsidR="00636E21" w:rsidRPr="00A63B10">
        <w:rPr>
          <w:sz w:val="24"/>
          <w:szCs w:val="24"/>
          <w:lang w:val="sv-SE"/>
        </w:rPr>
        <w:t>.</w:t>
      </w:r>
      <w:r w:rsidR="00636E21" w:rsidRPr="0052361B">
        <w:rPr>
          <w:sz w:val="24"/>
          <w:szCs w:val="24"/>
          <w:lang w:val="sv-SE"/>
        </w:rPr>
        <w:t>2024</w:t>
      </w:r>
      <w:r w:rsidR="00636E21" w:rsidRPr="00A63B10">
        <w:rPr>
          <w:sz w:val="24"/>
          <w:szCs w:val="24"/>
          <w:lang w:val="sv-SE"/>
        </w:rPr>
        <w:t xml:space="preserve">, ELI: </w:t>
      </w:r>
      <w:hyperlink r:id="rId1" w:history="1">
        <w:r w:rsidR="00636E21" w:rsidRPr="00A63B10">
          <w:rPr>
            <w:rStyle w:val="Hyperlink"/>
            <w:sz w:val="24"/>
            <w:szCs w:val="24"/>
            <w:lang w:val="sv-SE"/>
          </w:rPr>
          <w:t>http://data.europa.eu/eli/C/</w:t>
        </w:r>
        <w:r w:rsidR="00636E21" w:rsidRPr="0052361B">
          <w:rPr>
            <w:rStyle w:val="Hyperlink"/>
            <w:sz w:val="24"/>
            <w:szCs w:val="24"/>
            <w:lang w:val="sv-SE"/>
          </w:rPr>
          <w:t>2024</w:t>
        </w:r>
        <w:r w:rsidR="00636E21" w:rsidRPr="00A63B10">
          <w:rPr>
            <w:rStyle w:val="Hyperlink"/>
            <w:sz w:val="24"/>
            <w:szCs w:val="24"/>
            <w:lang w:val="sv-SE"/>
          </w:rPr>
          <w:t>/</w:t>
        </w:r>
        <w:r w:rsidR="00636E21" w:rsidRPr="0052361B">
          <w:rPr>
            <w:rStyle w:val="Hyperlink"/>
            <w:sz w:val="24"/>
            <w:szCs w:val="24"/>
            <w:lang w:val="sv-SE"/>
          </w:rPr>
          <w:t>894</w:t>
        </w:r>
        <w:r w:rsidR="00636E21" w:rsidRPr="00A63B10">
          <w:rPr>
            <w:rStyle w:val="Hyperlink"/>
            <w:sz w:val="24"/>
            <w:szCs w:val="24"/>
            <w:lang w:val="sv-SE"/>
          </w:rPr>
          <w:t>/oj</w:t>
        </w:r>
      </w:hyperlink>
      <w:r w:rsidRPr="000C31D2">
        <w:rPr>
          <w:sz w:val="24"/>
          <w:szCs w:val="24"/>
          <w:lang w:val="sl-SI"/>
        </w:rPr>
        <w:t>.</w:t>
      </w:r>
    </w:p>
  </w:footnote>
  <w:footnote w:id="2">
    <w:p w14:paraId="3743CA7C" w14:textId="77777777" w:rsidR="002F0BA0" w:rsidRPr="000C31D2" w:rsidRDefault="002F0BA0" w:rsidP="002F0BA0">
      <w:pPr>
        <w:pStyle w:val="FootnoteText"/>
        <w:ind w:left="567" w:hanging="567"/>
        <w:rPr>
          <w:sz w:val="24"/>
          <w:szCs w:val="24"/>
          <w:lang w:val="sl-SI"/>
        </w:rPr>
      </w:pPr>
      <w:r w:rsidRPr="000C31D2">
        <w:rPr>
          <w:rStyle w:val="FootnoteReference"/>
          <w:sz w:val="24"/>
          <w:szCs w:val="24"/>
          <w:lang w:val="sl-SI"/>
        </w:rPr>
        <w:footnoteRef/>
      </w:r>
      <w:r w:rsidRPr="000C31D2">
        <w:rPr>
          <w:sz w:val="24"/>
          <w:szCs w:val="24"/>
          <w:lang w:val="sl-SI"/>
        </w:rPr>
        <w:t xml:space="preserve"> </w:t>
      </w:r>
      <w:r w:rsidRPr="000C31D2">
        <w:rPr>
          <w:sz w:val="24"/>
          <w:szCs w:val="24"/>
          <w:lang w:val="sl-SI"/>
        </w:rPr>
        <w:tab/>
        <w:t xml:space="preserve">To stališče nadomesti spremembe, sprejete </w:t>
      </w:r>
      <w:r w:rsidRPr="0052361B">
        <w:rPr>
          <w:sz w:val="24"/>
          <w:szCs w:val="24"/>
          <w:lang w:val="sl-SI"/>
        </w:rPr>
        <w:t>17</w:t>
      </w:r>
      <w:r w:rsidRPr="000C31D2">
        <w:rPr>
          <w:sz w:val="24"/>
          <w:szCs w:val="24"/>
          <w:lang w:val="sl-SI"/>
        </w:rPr>
        <w:t xml:space="preserve">. januarja </w:t>
      </w:r>
      <w:r w:rsidRPr="0052361B">
        <w:rPr>
          <w:sz w:val="24"/>
          <w:szCs w:val="24"/>
          <w:lang w:val="sl-SI"/>
        </w:rPr>
        <w:t>2024</w:t>
      </w:r>
      <w:r w:rsidRPr="000C31D2">
        <w:rPr>
          <w:sz w:val="24"/>
          <w:szCs w:val="24"/>
          <w:lang w:val="sl-SI"/>
        </w:rPr>
        <w:t xml:space="preserve"> (Sprejeta besedila, P</w:t>
      </w:r>
      <w:r w:rsidRPr="0052361B">
        <w:rPr>
          <w:sz w:val="24"/>
          <w:szCs w:val="24"/>
          <w:lang w:val="sl-SI"/>
        </w:rPr>
        <w:t>9</w:t>
      </w:r>
      <w:r w:rsidRPr="000C31D2">
        <w:rPr>
          <w:sz w:val="24"/>
          <w:szCs w:val="24"/>
          <w:lang w:val="sl-SI"/>
        </w:rPr>
        <w:t>_TA(</w:t>
      </w:r>
      <w:r w:rsidRPr="0052361B">
        <w:rPr>
          <w:sz w:val="24"/>
          <w:szCs w:val="24"/>
          <w:lang w:val="sl-SI"/>
        </w:rPr>
        <w:t>2024</w:t>
      </w:r>
      <w:r w:rsidRPr="000C31D2">
        <w:rPr>
          <w:sz w:val="24"/>
          <w:szCs w:val="24"/>
          <w:lang w:val="sl-SI"/>
        </w:rPr>
        <w:t>)</w:t>
      </w:r>
      <w:r w:rsidRPr="0052361B">
        <w:rPr>
          <w:sz w:val="24"/>
          <w:szCs w:val="24"/>
          <w:lang w:val="sl-SI"/>
        </w:rPr>
        <w:t>0019</w:t>
      </w:r>
      <w:r w:rsidRPr="000C31D2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99954" w14:textId="77777777" w:rsidR="00064002" w:rsidRPr="005E10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EF1A5" w14:textId="77777777" w:rsidR="00064002" w:rsidRPr="005E10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23103" w14:textId="77777777" w:rsidR="00064002" w:rsidRPr="005E10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SL"/>
    <w:docVar w:name="dvnumam" w:val="15"/>
    <w:docVar w:name="dvpe" w:val="753.554"/>
    <w:docVar w:name="dvrapporteur" w:val="Poročevalka: "/>
    <w:docVar w:name="dvstar" w:val="***I"/>
    <w:docVar w:name="dvtitre" w:val="Zakonodajna resolucija Evropskega parlamenta z dne 10. aprila 2024 o predlogu uredbe Evropskega parlamenta in Sveta spremembi Uredbe (EU) 2017/852 Evropskega parlamenta in Sveta z dne 17. maja 2017 o živem srebru v zvezi z zobnim amalgamom in drugimi proizvodi, ki vsebujejo dodano živo srebro, za katere veljajo omejitve proizvodnje, uvoza in izvoza(COM(2023)0395 – C9-0309/2023 – 2023/0272(COD))"/>
  </w:docVars>
  <w:rsids>
    <w:rsidRoot w:val="00DC2187"/>
    <w:rsid w:val="00002272"/>
    <w:rsid w:val="00064002"/>
    <w:rsid w:val="000677B9"/>
    <w:rsid w:val="000831BA"/>
    <w:rsid w:val="000A42CC"/>
    <w:rsid w:val="000C31D2"/>
    <w:rsid w:val="000E7DD9"/>
    <w:rsid w:val="0010095E"/>
    <w:rsid w:val="00125B37"/>
    <w:rsid w:val="00187494"/>
    <w:rsid w:val="001F32AE"/>
    <w:rsid w:val="002767FF"/>
    <w:rsid w:val="002B18FE"/>
    <w:rsid w:val="002B5493"/>
    <w:rsid w:val="002F0BA0"/>
    <w:rsid w:val="00343214"/>
    <w:rsid w:val="00361C00"/>
    <w:rsid w:val="00395FA1"/>
    <w:rsid w:val="003B112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61B"/>
    <w:rsid w:val="00545827"/>
    <w:rsid w:val="00560270"/>
    <w:rsid w:val="005C2568"/>
    <w:rsid w:val="005E108A"/>
    <w:rsid w:val="006037C0"/>
    <w:rsid w:val="00636E21"/>
    <w:rsid w:val="006631B6"/>
    <w:rsid w:val="00680577"/>
    <w:rsid w:val="006F74FA"/>
    <w:rsid w:val="00727FC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81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B10"/>
    <w:rsid w:val="00A778C7"/>
    <w:rsid w:val="00AB441E"/>
    <w:rsid w:val="00AB6293"/>
    <w:rsid w:val="00AD2EF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18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EBED5"/>
  <w15:chartTrackingRefBased/>
  <w15:docId w15:val="{ACCF4D10-F29D-4C20-A3A3-921D29D2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27FC6"/>
    <w:pPr>
      <w:spacing w:after="120"/>
    </w:pPr>
  </w:style>
  <w:style w:type="paragraph" w:customStyle="1" w:styleId="NormalBold">
    <w:name w:val="NormalBold"/>
    <w:basedOn w:val="Normal"/>
    <w:link w:val="NormalBoldChar"/>
    <w:rsid w:val="00727FC6"/>
    <w:rPr>
      <w:b/>
    </w:rPr>
  </w:style>
  <w:style w:type="paragraph" w:customStyle="1" w:styleId="NormalHanging12a">
    <w:name w:val="NormalHanging12a"/>
    <w:basedOn w:val="Normal"/>
    <w:rsid w:val="00727FC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27F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27F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27FC6"/>
    <w:pPr>
      <w:spacing w:before="240"/>
    </w:pPr>
    <w:rPr>
      <w:b/>
    </w:rPr>
  </w:style>
  <w:style w:type="paragraph" w:customStyle="1" w:styleId="EPComma">
    <w:name w:val="EPComma"/>
    <w:basedOn w:val="Normal"/>
    <w:rsid w:val="00727FC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27FC6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727FC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27FC6"/>
    <w:rPr>
      <w:b/>
      <w:sz w:val="24"/>
      <w:lang w:val="sl-SI"/>
    </w:rPr>
  </w:style>
  <w:style w:type="paragraph" w:customStyle="1" w:styleId="ColumnHeading">
    <w:name w:val="ColumnHeading"/>
    <w:basedOn w:val="Normal"/>
    <w:rsid w:val="00727FC6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727FC6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727FC6"/>
    <w:rPr>
      <w:b/>
      <w:sz w:val="24"/>
      <w:lang w:val="sl-SI"/>
    </w:rPr>
  </w:style>
  <w:style w:type="paragraph" w:customStyle="1" w:styleId="CrossRef">
    <w:name w:val="CrossRef"/>
    <w:basedOn w:val="Normal"/>
    <w:rsid w:val="00727FC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F0B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BA0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2F0B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0B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0BA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F0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0BA0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2F0B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D3497-7DBA-452D-B763-F87E1EA1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337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2024-07-24T11:01:00Z</dcterms:created>
  <dcterms:modified xsi:type="dcterms:W3CDTF">2024-07-24T11:01:00Z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