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3F97" w14:paraId="0E58FA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77533C" w14:textId="77777777" w:rsidR="00751A4A" w:rsidRPr="00163F97" w:rsidRDefault="00C44E9F" w:rsidP="0010095E">
            <w:pPr>
              <w:pStyle w:val="EPName"/>
            </w:pPr>
            <w:r w:rsidRPr="00163F97">
              <w:t>Evropský parlament</w:t>
            </w:r>
          </w:p>
          <w:p w14:paraId="75C10500" w14:textId="77777777" w:rsidR="00751A4A" w:rsidRPr="00163F9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3F9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8E9D9E6" w14:textId="77777777" w:rsidR="00751A4A" w:rsidRPr="00163F97" w:rsidRDefault="00187494" w:rsidP="0010095E">
            <w:pPr>
              <w:pStyle w:val="EPLogo"/>
            </w:pPr>
            <w:r w:rsidRPr="00163F97">
              <w:rPr>
                <w:noProof/>
                <w:lang w:val="en-GB"/>
              </w:rPr>
              <w:drawing>
                <wp:inline distT="0" distB="0" distL="0" distR="0" wp14:anchorId="03538DFA" wp14:editId="377A54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40DE5" w14:textId="77777777" w:rsidR="00D058B8" w:rsidRPr="00163F97" w:rsidRDefault="00D058B8" w:rsidP="004C5D52">
      <w:pPr>
        <w:pStyle w:val="LineTop"/>
      </w:pPr>
    </w:p>
    <w:p w14:paraId="78E5B306" w14:textId="77777777" w:rsidR="00680577" w:rsidRPr="00163F97" w:rsidRDefault="00C44E9F" w:rsidP="00680577">
      <w:pPr>
        <w:pStyle w:val="EPBodyTA1"/>
      </w:pPr>
      <w:r w:rsidRPr="00163F97">
        <w:t>PŘIJATÉ TEXTY</w:t>
      </w:r>
    </w:p>
    <w:p w14:paraId="1F11ED29" w14:textId="77777777" w:rsidR="00D058B8" w:rsidRPr="00163F97" w:rsidRDefault="00D058B8" w:rsidP="00D058B8">
      <w:pPr>
        <w:pStyle w:val="LineBottom"/>
      </w:pPr>
    </w:p>
    <w:p w14:paraId="0DC3FAAA" w14:textId="6DC73232" w:rsidR="00C44E9F" w:rsidRPr="00163F97" w:rsidRDefault="00C44E9F" w:rsidP="00C44E9F">
      <w:pPr>
        <w:pStyle w:val="ATHeading1"/>
      </w:pPr>
      <w:bookmarkStart w:id="0" w:name="TANumber"/>
      <w:r w:rsidRPr="00163F97">
        <w:t>P9_TA(2024)0</w:t>
      </w:r>
      <w:r w:rsidR="004841C1" w:rsidRPr="00163F97">
        <w:t>193</w:t>
      </w:r>
      <w:bookmarkEnd w:id="0"/>
    </w:p>
    <w:p w14:paraId="32740B26" w14:textId="77777777" w:rsidR="00C44E9F" w:rsidRPr="00163F97" w:rsidRDefault="00C44E9F" w:rsidP="00C44E9F">
      <w:pPr>
        <w:pStyle w:val="ATHeading2"/>
      </w:pPr>
      <w:bookmarkStart w:id="1" w:name="title"/>
      <w:r w:rsidRPr="00163F97">
        <w:t>Potraviny určené k lidské spotřebě: změna některých „snídaňových“ směrnic</w:t>
      </w:r>
      <w:bookmarkEnd w:id="1"/>
    </w:p>
    <w:p w14:paraId="28DC7DE8" w14:textId="77777777" w:rsidR="00C44E9F" w:rsidRPr="00163F97" w:rsidRDefault="00C44E9F" w:rsidP="00C44E9F">
      <w:pPr>
        <w:rPr>
          <w:i/>
          <w:vanish/>
        </w:rPr>
      </w:pPr>
      <w:r w:rsidRPr="00163F97">
        <w:rPr>
          <w:i/>
        </w:rPr>
        <w:fldChar w:fldCharType="begin"/>
      </w:r>
      <w:r w:rsidRPr="00163F97">
        <w:rPr>
          <w:i/>
        </w:rPr>
        <w:instrText xml:space="preserve"> TC"(</w:instrText>
      </w:r>
      <w:bookmarkStart w:id="2" w:name="DocNumber"/>
      <w:r w:rsidRPr="00163F97">
        <w:rPr>
          <w:i/>
        </w:rPr>
        <w:instrText>A9-0385/2023</w:instrText>
      </w:r>
      <w:bookmarkEnd w:id="2"/>
      <w:r w:rsidRPr="00163F97">
        <w:rPr>
          <w:i/>
        </w:rPr>
        <w:instrText xml:space="preserve"> - Zpravodaj: Alexander Bernhuber)"\l3 \n&gt; \* MERGEFORMAT </w:instrText>
      </w:r>
      <w:r w:rsidRPr="00163F97">
        <w:rPr>
          <w:i/>
        </w:rPr>
        <w:fldChar w:fldCharType="end"/>
      </w:r>
    </w:p>
    <w:p w14:paraId="2DD7039A" w14:textId="77777777" w:rsidR="00C44E9F" w:rsidRPr="00163F97" w:rsidRDefault="00C44E9F" w:rsidP="00C44E9F">
      <w:pPr>
        <w:rPr>
          <w:vanish/>
        </w:rPr>
      </w:pPr>
      <w:bookmarkStart w:id="3" w:name="Commission"/>
      <w:r w:rsidRPr="00163F97">
        <w:rPr>
          <w:vanish/>
        </w:rPr>
        <w:t>Výbor pro životní prostředí, veřejné zdraví a bezpečnost potravin</w:t>
      </w:r>
      <w:bookmarkEnd w:id="3"/>
    </w:p>
    <w:p w14:paraId="2CB1E803" w14:textId="77777777" w:rsidR="00C44E9F" w:rsidRPr="00163F97" w:rsidRDefault="00C44E9F" w:rsidP="00C44E9F">
      <w:pPr>
        <w:rPr>
          <w:vanish/>
        </w:rPr>
      </w:pPr>
      <w:bookmarkStart w:id="4" w:name="PE"/>
      <w:r w:rsidRPr="00163F97">
        <w:rPr>
          <w:vanish/>
        </w:rPr>
        <w:t>PE752.665</w:t>
      </w:r>
      <w:bookmarkEnd w:id="4"/>
    </w:p>
    <w:p w14:paraId="401E965A" w14:textId="77777777" w:rsidR="00C44E9F" w:rsidRPr="00163F97" w:rsidRDefault="00C44E9F" w:rsidP="00C44E9F">
      <w:pPr>
        <w:pStyle w:val="ATHeading3"/>
      </w:pPr>
      <w:bookmarkStart w:id="5" w:name="Sujet"/>
      <w:r w:rsidRPr="00163F97">
        <w:t>Legislativní usnesení Evropského parlamentu ze dne 10. dubna 2024 o návrhu směrnice Evropského parlamentu a Rady, kterou se mění směrnice Rady 2001/110/ES o medu, 2001/112/ES o ovocných šťávách a některých podobných produktech určených k lidské spotřebě, 2001/113/ES o ovocných džemech, rosolech a marmeládách a kaštanovém krému určených k lidské spotřebě a 2001/114/ES o některých druzích zahuštěného a sušeného mléka určeného k lidské spotřebě</w:t>
      </w:r>
      <w:bookmarkEnd w:id="5"/>
      <w:r w:rsidRPr="00163F97">
        <w:t xml:space="preserve"> </w:t>
      </w:r>
      <w:bookmarkStart w:id="6" w:name="References"/>
      <w:r w:rsidRPr="00163F97">
        <w:t>(</w:t>
      </w:r>
      <w:proofErr w:type="gramStart"/>
      <w:r w:rsidRPr="00163F97">
        <w:t>COM(2023</w:t>
      </w:r>
      <w:proofErr w:type="gramEnd"/>
      <w:r w:rsidRPr="00163F97">
        <w:t>)0201 – C9-0140/2023 – 2023/0105(COD))</w:t>
      </w:r>
      <w:bookmarkEnd w:id="6"/>
    </w:p>
    <w:p w14:paraId="34970DAA" w14:textId="77777777" w:rsidR="006E7C9D" w:rsidRPr="00163F97" w:rsidRDefault="006E7C9D" w:rsidP="006E7C9D">
      <w:pPr>
        <w:pStyle w:val="NormalBold"/>
      </w:pPr>
      <w:bookmarkStart w:id="7" w:name="TextBodyBegin"/>
      <w:bookmarkEnd w:id="7"/>
      <w:r w:rsidRPr="00163F97">
        <w:t>(Řádný legislativní postup: první čtení)</w:t>
      </w:r>
    </w:p>
    <w:p w14:paraId="21F4081A" w14:textId="77777777" w:rsidR="006E7C9D" w:rsidRPr="00163F97" w:rsidRDefault="006E7C9D" w:rsidP="006E7C9D">
      <w:pPr>
        <w:pStyle w:val="EPComma"/>
      </w:pPr>
      <w:r w:rsidRPr="00163F97">
        <w:rPr>
          <w:i/>
        </w:rPr>
        <w:t>Evropský parlament</w:t>
      </w:r>
      <w:r w:rsidRPr="00163F97">
        <w:t>,</w:t>
      </w:r>
    </w:p>
    <w:p w14:paraId="29E7A304" w14:textId="77777777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 ohledem na návrh Komise předložený Evropskému parlamentu a Radě (</w:t>
      </w:r>
      <w:proofErr w:type="gramStart"/>
      <w:r w:rsidRPr="00163F97">
        <w:t>COM(2023</w:t>
      </w:r>
      <w:proofErr w:type="gramEnd"/>
      <w:r w:rsidRPr="00163F97">
        <w:t>)0201),</w:t>
      </w:r>
    </w:p>
    <w:p w14:paraId="36659490" w14:textId="5AACE37D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 ohledem na čl. 294 odst. 2 a čl. 43 odst. 2 Smlouvy o fungování Evropské unie, v souladu s</w:t>
      </w:r>
      <w:r w:rsidR="00971475" w:rsidRPr="00163F97">
        <w:t>e</w:t>
      </w:r>
      <w:r w:rsidRPr="00163F97">
        <w:t> </w:t>
      </w:r>
      <w:r w:rsidR="00971475" w:rsidRPr="00163F97">
        <w:t>kterými</w:t>
      </w:r>
      <w:r w:rsidRPr="00163F97">
        <w:t xml:space="preserve"> Komise předložila svůj návrh Parlamentu (C9</w:t>
      </w:r>
      <w:r w:rsidRPr="00163F97">
        <w:noBreakHyphen/>
        <w:t>0140/2023),</w:t>
      </w:r>
    </w:p>
    <w:p w14:paraId="7201366B" w14:textId="77777777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 ohledem na čl. 294 odst. 3 Smlouvy o fungování Evropské unie,</w:t>
      </w:r>
    </w:p>
    <w:p w14:paraId="3391AC78" w14:textId="77777777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 ohledem na stanovisko Evropského hospodářského a sociálního výboru ze dne 21. září 2023</w:t>
      </w:r>
      <w:r w:rsidRPr="00163F97">
        <w:rPr>
          <w:rStyle w:val="FootnoteReference"/>
        </w:rPr>
        <w:footnoteReference w:id="1"/>
      </w:r>
      <w:r w:rsidRPr="00163F97">
        <w:t>,</w:t>
      </w:r>
    </w:p>
    <w:p w14:paraId="76924C56" w14:textId="24FC7E12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</w:r>
      <w:r w:rsidR="00414C56" w:rsidRPr="00163F97">
        <w:t xml:space="preserve">po konzultaci </w:t>
      </w:r>
      <w:r w:rsidRPr="00163F97">
        <w:t>s Výbor</w:t>
      </w:r>
      <w:r w:rsidR="00414C56" w:rsidRPr="00163F97">
        <w:t>em</w:t>
      </w:r>
      <w:r w:rsidRPr="00163F97">
        <w:t xml:space="preserve"> regionů,</w:t>
      </w:r>
    </w:p>
    <w:p w14:paraId="0FA4E270" w14:textId="26773D32" w:rsidR="00BC230A" w:rsidRPr="00163F97" w:rsidRDefault="00BC230A" w:rsidP="006E7C9D">
      <w:pPr>
        <w:pStyle w:val="NormalHanging12a"/>
      </w:pPr>
      <w:r w:rsidRPr="00163F97">
        <w:t>–</w:t>
      </w:r>
      <w:r w:rsidRPr="00163F97">
        <w:tab/>
        <w:t xml:space="preserve">s ohledem na předběžnou dohodu přijatou příslušným výborem podle čl. 74 odst. 4 jednacího řádu a s ohledem na to, že se zástupce Rady dopisem ze dne </w:t>
      </w:r>
      <w:r w:rsidR="000F4272" w:rsidRPr="00163F97">
        <w:t>12</w:t>
      </w:r>
      <w:r w:rsidRPr="00163F97">
        <w:t>. února 2024 zavázal schválit postoj Parlamentu v souladu s čl. 294 odst. 4 Smlouvy o fungování Evropské unie,</w:t>
      </w:r>
    </w:p>
    <w:p w14:paraId="658769CA" w14:textId="77777777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 ohledem na článek 59 jednacího řádu,</w:t>
      </w:r>
    </w:p>
    <w:p w14:paraId="16F24F9D" w14:textId="77777777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 ohledem na stanovisko Výboru pro zemědělství a rozvoj venkova,</w:t>
      </w:r>
    </w:p>
    <w:p w14:paraId="68E4FCB8" w14:textId="77777777" w:rsidR="006E7C9D" w:rsidRPr="00163F97" w:rsidRDefault="006E7C9D" w:rsidP="006E7C9D">
      <w:pPr>
        <w:pStyle w:val="NormalHanging12a"/>
      </w:pPr>
      <w:r w:rsidRPr="00163F97">
        <w:t>–</w:t>
      </w:r>
      <w:r w:rsidRPr="00163F97">
        <w:tab/>
        <w:t>s ohledem na zprávu Výboru pro životní prostředí, veřejné zdraví a bezpečnost potravin (A9</w:t>
      </w:r>
      <w:r w:rsidRPr="00163F97">
        <w:noBreakHyphen/>
        <w:t>0385/2023),</w:t>
      </w:r>
    </w:p>
    <w:p w14:paraId="33C01202" w14:textId="09CA8E87" w:rsidR="006E7C9D" w:rsidRPr="00163F97" w:rsidRDefault="006E7C9D" w:rsidP="006E7C9D">
      <w:pPr>
        <w:pStyle w:val="NormalHanging12a"/>
      </w:pPr>
      <w:r w:rsidRPr="00163F97">
        <w:lastRenderedPageBreak/>
        <w:t>1.</w:t>
      </w:r>
      <w:r w:rsidRPr="00163F97">
        <w:tab/>
        <w:t>přijímá níže uvedený postoj v prvním čtení</w:t>
      </w:r>
      <w:r w:rsidR="000F4272" w:rsidRPr="00163F97">
        <w:rPr>
          <w:rStyle w:val="FootnoteReference"/>
        </w:rPr>
        <w:footnoteReference w:id="2"/>
      </w:r>
      <w:r w:rsidRPr="00163F97">
        <w:t>;</w:t>
      </w:r>
    </w:p>
    <w:p w14:paraId="6A7FB788" w14:textId="77777777" w:rsidR="006E7C9D" w:rsidRPr="00163F97" w:rsidRDefault="006E7C9D" w:rsidP="006E7C9D">
      <w:pPr>
        <w:pStyle w:val="NormalHanging12a"/>
      </w:pPr>
      <w:r w:rsidRPr="00163F97">
        <w:t>2.</w:t>
      </w:r>
      <w:r w:rsidRPr="00163F97">
        <w:tab/>
        <w:t>vyzývá Komisi, aby věc znovu postoupila Parlamentu, jestliže svůj návrh nahradí jiným textem, podstatně jej změní nebo má v úmyslu jej podstatně změnit;</w:t>
      </w:r>
    </w:p>
    <w:p w14:paraId="32AAB1BF" w14:textId="77777777" w:rsidR="000F4272" w:rsidRPr="00163F97" w:rsidRDefault="006E7C9D" w:rsidP="006E7C9D">
      <w:pPr>
        <w:pStyle w:val="NormalHanging12a"/>
        <w:sectPr w:rsidR="000F4272" w:rsidRPr="00163F97" w:rsidSect="007A197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63F97">
        <w:t>3.</w:t>
      </w:r>
      <w:r w:rsidRPr="00163F97">
        <w:tab/>
        <w:t>pověřuje svou předsedkyni, aby předala postoj Parlamentu Radě a Komisi, jakož i vnitrostátním parlamentům.</w:t>
      </w:r>
    </w:p>
    <w:p w14:paraId="7D0719C6" w14:textId="77777777" w:rsidR="000F4272" w:rsidRPr="00163F97" w:rsidRDefault="000F4272" w:rsidP="000F427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F97">
        <w:rPr>
          <w:rFonts w:eastAsia="Calibri"/>
          <w:b/>
          <w:bCs/>
          <w:color w:val="000000"/>
          <w:szCs w:val="24"/>
        </w:rPr>
        <w:lastRenderedPageBreak/>
        <w:t>P9_TC1-COD(2023)0105</w:t>
      </w:r>
    </w:p>
    <w:p w14:paraId="605397DB" w14:textId="24FDD411" w:rsidR="00383E11" w:rsidRDefault="00A426C6" w:rsidP="00AE7601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163F97">
        <w:rPr>
          <w:rFonts w:eastAsia="Calibri"/>
          <w:b/>
          <w:bCs/>
          <w:szCs w:val="24"/>
        </w:rPr>
        <w:t xml:space="preserve">Postoj Evropského parlamentu přijatý v prvním čtení dne 10. dubna 2024 k přijetí </w:t>
      </w:r>
      <w:r w:rsidR="00AE7601" w:rsidRPr="00163F97">
        <w:rPr>
          <w:rFonts w:eastAsia="Calibri"/>
          <w:b/>
          <w:szCs w:val="22"/>
          <w:lang w:eastAsia="en-US"/>
        </w:rPr>
        <w:t xml:space="preserve">směrnice Evropského parlamentu a Rady </w:t>
      </w:r>
      <w:r w:rsidR="00383E11" w:rsidRPr="00163F97">
        <w:rPr>
          <w:rFonts w:eastAsia="Calibri"/>
          <w:b/>
          <w:szCs w:val="22"/>
          <w:lang w:eastAsia="en-US"/>
        </w:rPr>
        <w:t>(EU) 2024/...</w:t>
      </w:r>
      <w:r w:rsidR="00AE7601" w:rsidRPr="00163F97">
        <w:rPr>
          <w:rFonts w:eastAsia="Calibri"/>
          <w:b/>
          <w:szCs w:val="22"/>
          <w:lang w:eastAsia="en-US"/>
        </w:rPr>
        <w:t xml:space="preserve">, </w:t>
      </w:r>
      <w:r w:rsidR="00383E11" w:rsidRPr="00163F97">
        <w:rPr>
          <w:rFonts w:eastAsia="Calibri"/>
          <w:b/>
          <w:szCs w:val="22"/>
          <w:lang w:eastAsia="en-US"/>
        </w:rPr>
        <w:t>kterou se mění směrnice Rady 2001/110/ES o medu, 2001/112/ES o ovocných šťávách a některých podobných produktech určených k lidské spotřebě, 2001/113/ES o ovocných džemech, rosolech a marmeládách a kaštanovém krému určených k lidské spotřebě a 2001/114/ES o některých druzích zahuštěného a sušeného mléka určeného k lidské spotřebě</w:t>
      </w:r>
    </w:p>
    <w:p w14:paraId="538AE4CA" w14:textId="2AFC1B14" w:rsidR="00A82517" w:rsidRPr="008A4FC5" w:rsidRDefault="00A82517" w:rsidP="00A82517">
      <w:pPr>
        <w:spacing w:before="360"/>
        <w:rPr>
          <w:b/>
          <w:bCs/>
        </w:rPr>
      </w:pPr>
      <w:r w:rsidRPr="00DA380D">
        <w:rPr>
          <w:rFonts w:eastAsia="Calibri"/>
          <w:i/>
        </w:rPr>
        <w:t>(Vzhledem k tomu, že bylo dosaženo dohody mezi Parlamentem a Radou, postoj Parlamentu odpovídá konečnému znění legislati</w:t>
      </w:r>
      <w:r>
        <w:rPr>
          <w:rFonts w:eastAsia="Calibri"/>
          <w:i/>
        </w:rPr>
        <w:t xml:space="preserve">vního aktu, </w:t>
      </w:r>
      <w:r>
        <w:rPr>
          <w:rFonts w:eastAsia="Calibri"/>
          <w:i/>
        </w:rPr>
        <w:t>směrnici (EU) 2024/1438</w:t>
      </w:r>
      <w:bookmarkStart w:id="8" w:name="_GoBack"/>
      <w:bookmarkEnd w:id="8"/>
      <w:r w:rsidRPr="00DA380D">
        <w:rPr>
          <w:rFonts w:eastAsia="Calibri"/>
          <w:i/>
        </w:rPr>
        <w:t>.)</w:t>
      </w:r>
    </w:p>
    <w:p w14:paraId="38BD5C4E" w14:textId="77777777" w:rsidR="00A82517" w:rsidRPr="00163F97" w:rsidRDefault="00A82517" w:rsidP="00AE7601">
      <w:pPr>
        <w:pStyle w:val="NormalHanging12a"/>
        <w:ind w:left="0" w:firstLine="0"/>
        <w:rPr>
          <w:rFonts w:eastAsia="Calibri"/>
          <w:b/>
          <w:bCs/>
          <w:szCs w:val="22"/>
          <w:lang w:eastAsia="en-US"/>
        </w:rPr>
      </w:pPr>
    </w:p>
    <w:sectPr w:rsidR="00A82517" w:rsidRPr="00163F97" w:rsidSect="00A82517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3D862" w14:textId="77777777" w:rsidR="00C44E9F" w:rsidRPr="007A1970" w:rsidRDefault="00C44E9F">
      <w:r w:rsidRPr="007A1970">
        <w:separator/>
      </w:r>
    </w:p>
  </w:endnote>
  <w:endnote w:type="continuationSeparator" w:id="0">
    <w:p w14:paraId="4ED599FD" w14:textId="77777777" w:rsidR="00C44E9F" w:rsidRPr="007A1970" w:rsidRDefault="00C44E9F">
      <w:r w:rsidRPr="007A19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14C82" w14:textId="77777777" w:rsidR="00C44E9F" w:rsidRPr="007A1970" w:rsidRDefault="00C44E9F">
      <w:r w:rsidRPr="007A1970">
        <w:separator/>
      </w:r>
    </w:p>
  </w:footnote>
  <w:footnote w:type="continuationSeparator" w:id="0">
    <w:p w14:paraId="1059ADCF" w14:textId="77777777" w:rsidR="00C44E9F" w:rsidRPr="007A1970" w:rsidRDefault="00C44E9F">
      <w:r w:rsidRPr="007A1970">
        <w:continuationSeparator/>
      </w:r>
    </w:p>
  </w:footnote>
  <w:footnote w:id="1">
    <w:p w14:paraId="5817C403" w14:textId="591E2446" w:rsidR="006E7C9D" w:rsidRPr="007A1970" w:rsidRDefault="006E7C9D" w:rsidP="007A1970">
      <w:pPr>
        <w:pStyle w:val="FootnoteText"/>
        <w:ind w:left="567" w:hanging="567"/>
        <w:rPr>
          <w:sz w:val="24"/>
          <w:lang w:val="cs-CZ"/>
        </w:rPr>
      </w:pPr>
      <w:r w:rsidRPr="007A1970">
        <w:rPr>
          <w:rStyle w:val="FootnoteReference"/>
          <w:sz w:val="24"/>
          <w:lang w:val="cs-CZ"/>
        </w:rPr>
        <w:footnoteRef/>
      </w:r>
      <w:r w:rsidR="007A1970" w:rsidRPr="007A1970">
        <w:rPr>
          <w:sz w:val="24"/>
          <w:lang w:val="cs-CZ"/>
        </w:rPr>
        <w:t xml:space="preserve"> </w:t>
      </w:r>
      <w:r w:rsidR="007A1970" w:rsidRPr="007A1970">
        <w:rPr>
          <w:sz w:val="24"/>
          <w:lang w:val="cs-CZ"/>
        </w:rPr>
        <w:tab/>
      </w:r>
      <w:proofErr w:type="spellStart"/>
      <w:r w:rsidRPr="007A1970">
        <w:rPr>
          <w:sz w:val="24"/>
          <w:lang w:val="cs-CZ"/>
        </w:rPr>
        <w:t>Úř</w:t>
      </w:r>
      <w:proofErr w:type="spellEnd"/>
      <w:r w:rsidRPr="007A1970">
        <w:rPr>
          <w:sz w:val="24"/>
          <w:lang w:val="cs-CZ"/>
        </w:rPr>
        <w:t xml:space="preserve">. </w:t>
      </w:r>
      <w:proofErr w:type="spellStart"/>
      <w:proofErr w:type="gramStart"/>
      <w:r w:rsidRPr="007A1970">
        <w:rPr>
          <w:sz w:val="24"/>
          <w:lang w:val="cs-CZ"/>
        </w:rPr>
        <w:t>věst</w:t>
      </w:r>
      <w:proofErr w:type="spellEnd"/>
      <w:proofErr w:type="gramEnd"/>
      <w:r w:rsidRPr="007A1970">
        <w:rPr>
          <w:sz w:val="24"/>
          <w:lang w:val="cs-CZ"/>
        </w:rPr>
        <w:t>. C</w:t>
      </w:r>
      <w:r w:rsidR="00414C56" w:rsidRPr="006E01FE">
        <w:rPr>
          <w:sz w:val="24"/>
          <w:szCs w:val="24"/>
          <w:lang w:val="fi-FI"/>
        </w:rPr>
        <w:t>, C/</w:t>
      </w:r>
      <w:r w:rsidR="00414C56" w:rsidRPr="00221CFE">
        <w:rPr>
          <w:sz w:val="24"/>
          <w:szCs w:val="24"/>
          <w:lang w:val="fi-FI"/>
        </w:rPr>
        <w:t>2023</w:t>
      </w:r>
      <w:r w:rsidR="00414C56" w:rsidRPr="006E01FE">
        <w:rPr>
          <w:sz w:val="24"/>
          <w:szCs w:val="24"/>
          <w:lang w:val="fi-FI"/>
        </w:rPr>
        <w:t>/</w:t>
      </w:r>
      <w:r w:rsidR="00414C56" w:rsidRPr="00221CFE">
        <w:rPr>
          <w:sz w:val="24"/>
          <w:szCs w:val="24"/>
          <w:lang w:val="fi-FI"/>
        </w:rPr>
        <w:t>881</w:t>
      </w:r>
      <w:r w:rsidR="00414C56" w:rsidRPr="006E01FE">
        <w:rPr>
          <w:sz w:val="24"/>
          <w:szCs w:val="24"/>
          <w:lang w:val="fi-FI"/>
        </w:rPr>
        <w:t xml:space="preserve">, </w:t>
      </w:r>
      <w:proofErr w:type="gramStart"/>
      <w:r w:rsidR="00414C56" w:rsidRPr="00221CFE">
        <w:rPr>
          <w:sz w:val="24"/>
          <w:szCs w:val="24"/>
          <w:lang w:val="fi-FI"/>
        </w:rPr>
        <w:t>8</w:t>
      </w:r>
      <w:r w:rsidR="00414C56" w:rsidRPr="006E01FE">
        <w:rPr>
          <w:sz w:val="24"/>
          <w:szCs w:val="24"/>
          <w:lang w:val="fi-FI"/>
        </w:rPr>
        <w:t>.</w:t>
      </w:r>
      <w:r w:rsidR="00414C56" w:rsidRPr="00221CFE">
        <w:rPr>
          <w:sz w:val="24"/>
          <w:szCs w:val="24"/>
          <w:lang w:val="fi-FI"/>
        </w:rPr>
        <w:t>12</w:t>
      </w:r>
      <w:r w:rsidR="00414C56" w:rsidRPr="006E01FE">
        <w:rPr>
          <w:sz w:val="24"/>
          <w:szCs w:val="24"/>
          <w:lang w:val="fi-FI"/>
        </w:rPr>
        <w:t>.</w:t>
      </w:r>
      <w:r w:rsidR="00414C56" w:rsidRPr="00221CFE">
        <w:rPr>
          <w:sz w:val="24"/>
          <w:szCs w:val="24"/>
          <w:lang w:val="fi-FI"/>
        </w:rPr>
        <w:t>2023</w:t>
      </w:r>
      <w:proofErr w:type="gramEnd"/>
      <w:r w:rsidR="00414C56" w:rsidRPr="006E01FE">
        <w:rPr>
          <w:sz w:val="24"/>
          <w:szCs w:val="24"/>
          <w:lang w:val="fi-FI"/>
        </w:rPr>
        <w:t xml:space="preserve">, ELI: </w:t>
      </w:r>
      <w:r w:rsidR="00414C56" w:rsidRPr="00221CFE">
        <w:rPr>
          <w:sz w:val="24"/>
          <w:szCs w:val="24"/>
          <w:lang w:val="fi-FI"/>
        </w:rPr>
        <w:t>http://data.europa.eu/eli/C/2023/881/oj</w:t>
      </w:r>
      <w:r w:rsidRPr="007A1970">
        <w:rPr>
          <w:sz w:val="24"/>
          <w:lang w:val="cs-CZ"/>
        </w:rPr>
        <w:t>.</w:t>
      </w:r>
    </w:p>
  </w:footnote>
  <w:footnote w:id="2">
    <w:p w14:paraId="3ACA9215" w14:textId="2CA6F016" w:rsidR="000F4272" w:rsidRPr="007D2FA9" w:rsidRDefault="000F4272" w:rsidP="000F4272">
      <w:pPr>
        <w:pStyle w:val="FootnoteText"/>
        <w:rPr>
          <w:lang w:val="cs-CZ"/>
        </w:rPr>
      </w:pPr>
      <w:r w:rsidRPr="00C01C38">
        <w:rPr>
          <w:rStyle w:val="FootnoteReference"/>
        </w:rPr>
        <w:footnoteRef/>
      </w:r>
      <w:r w:rsidRPr="007D2FA9">
        <w:rPr>
          <w:lang w:val="cs-CZ"/>
        </w:rPr>
        <w:t xml:space="preserve"> </w:t>
      </w:r>
      <w:r w:rsidRPr="007D2FA9">
        <w:rPr>
          <w:lang w:val="cs-CZ"/>
        </w:rPr>
        <w:tab/>
      </w:r>
      <w:r w:rsidRPr="007D2FA9">
        <w:rPr>
          <w:sz w:val="24"/>
          <w:szCs w:val="24"/>
          <w:lang w:val="cs-CZ"/>
        </w:rPr>
        <w:t xml:space="preserve">Tento postoj nahrazuje pozměňovací návrhy přijaté dne </w:t>
      </w:r>
      <w:r w:rsidRPr="00221CFE">
        <w:rPr>
          <w:sz w:val="24"/>
          <w:szCs w:val="24"/>
          <w:lang w:val="cs-CZ"/>
        </w:rPr>
        <w:t>12</w:t>
      </w:r>
      <w:r w:rsidRPr="007D2FA9">
        <w:rPr>
          <w:sz w:val="24"/>
          <w:szCs w:val="24"/>
          <w:lang w:val="cs-CZ"/>
        </w:rPr>
        <w:t xml:space="preserve">. </w:t>
      </w:r>
      <w:r>
        <w:rPr>
          <w:sz w:val="24"/>
          <w:szCs w:val="24"/>
          <w:lang w:val="cs-CZ"/>
        </w:rPr>
        <w:t>prosince</w:t>
      </w:r>
      <w:r w:rsidRPr="007D2FA9">
        <w:rPr>
          <w:sz w:val="24"/>
          <w:szCs w:val="24"/>
          <w:lang w:val="cs-CZ"/>
        </w:rPr>
        <w:t xml:space="preserve"> </w:t>
      </w:r>
      <w:r w:rsidRPr="00221CFE">
        <w:rPr>
          <w:sz w:val="24"/>
          <w:szCs w:val="24"/>
          <w:lang w:val="cs-CZ"/>
        </w:rPr>
        <w:t>2023</w:t>
      </w:r>
      <w:r w:rsidRPr="007D2FA9">
        <w:rPr>
          <w:sz w:val="24"/>
          <w:szCs w:val="24"/>
          <w:lang w:val="cs-CZ"/>
        </w:rPr>
        <w:t xml:space="preserve"> (Přijaté texty, P</w:t>
      </w:r>
      <w:r w:rsidRPr="00221CFE">
        <w:rPr>
          <w:sz w:val="24"/>
          <w:szCs w:val="24"/>
          <w:lang w:val="cs-CZ"/>
        </w:rPr>
        <w:t>9</w:t>
      </w:r>
      <w:r w:rsidRPr="007D2FA9">
        <w:rPr>
          <w:sz w:val="24"/>
          <w:szCs w:val="24"/>
          <w:lang w:val="cs-CZ"/>
        </w:rPr>
        <w:t>_TA(</w:t>
      </w:r>
      <w:r w:rsidRPr="00221CFE">
        <w:rPr>
          <w:sz w:val="24"/>
          <w:szCs w:val="24"/>
          <w:lang w:val="cs-CZ"/>
        </w:rPr>
        <w:t>2023</w:t>
      </w:r>
      <w:r w:rsidRPr="007D2FA9">
        <w:rPr>
          <w:sz w:val="24"/>
          <w:szCs w:val="24"/>
          <w:lang w:val="cs-CZ"/>
        </w:rPr>
        <w:t>)</w:t>
      </w:r>
      <w:r w:rsidRPr="00221CFE">
        <w:rPr>
          <w:sz w:val="24"/>
          <w:szCs w:val="24"/>
          <w:lang w:val="cs-CZ"/>
        </w:rPr>
        <w:t>0445</w:t>
      </w:r>
      <w:r w:rsidRPr="007D2FA9">
        <w:rPr>
          <w:sz w:val="24"/>
          <w:szCs w:val="24"/>
          <w:lang w:val="cs-CZ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CS"/>
    <w:docVar w:name="dvnumam" w:val="113"/>
    <w:docVar w:name="dvpe" w:val="752.665"/>
    <w:docVar w:name="dvrapporteur" w:val="Zpravodaj: "/>
    <w:docVar w:name="dvstar" w:val="***I"/>
    <w:docVar w:name="dvtitre" w:val="Legislativní usnesení Evropského parlamentu ze dne 10. dubna 2024 o návrhu směrnice Evropského parlamentu a Rady, kterou se mění směrnice Rady 2001/110/ES o medu, 2001/112/ES o ovocných šťávách a některých podobných produktech určených k lidské spotřebě, 2001/113/ES o ovocných džemech, rosolech a marmeládách a kaštanovém krému určených k lidské spotřebě a 2001/114/ES o některých druzích zahuštěného a sušeného mléka určeného k lidské spotřebě(COM(2023)0201 – C9-0140/2023 – 2023/0105(COD))"/>
  </w:docVars>
  <w:rsids>
    <w:rsidRoot w:val="00C44E9F"/>
    <w:rsid w:val="00002272"/>
    <w:rsid w:val="00033139"/>
    <w:rsid w:val="00064002"/>
    <w:rsid w:val="000677B9"/>
    <w:rsid w:val="000831BA"/>
    <w:rsid w:val="000A42CC"/>
    <w:rsid w:val="000E7DD9"/>
    <w:rsid w:val="000F4272"/>
    <w:rsid w:val="0010095E"/>
    <w:rsid w:val="00125B37"/>
    <w:rsid w:val="00163F97"/>
    <w:rsid w:val="00187494"/>
    <w:rsid w:val="001F32AE"/>
    <w:rsid w:val="00210774"/>
    <w:rsid w:val="00221CFE"/>
    <w:rsid w:val="002767FF"/>
    <w:rsid w:val="002B18FE"/>
    <w:rsid w:val="002B5493"/>
    <w:rsid w:val="002E0090"/>
    <w:rsid w:val="00327672"/>
    <w:rsid w:val="00343214"/>
    <w:rsid w:val="00357649"/>
    <w:rsid w:val="00361C00"/>
    <w:rsid w:val="00383E11"/>
    <w:rsid w:val="00395FA1"/>
    <w:rsid w:val="003E15D4"/>
    <w:rsid w:val="00411CCE"/>
    <w:rsid w:val="00414C56"/>
    <w:rsid w:val="0041666E"/>
    <w:rsid w:val="00421060"/>
    <w:rsid w:val="00471C19"/>
    <w:rsid w:val="004841C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E02"/>
    <w:rsid w:val="006037C0"/>
    <w:rsid w:val="006631B6"/>
    <w:rsid w:val="00680577"/>
    <w:rsid w:val="006E7C9D"/>
    <w:rsid w:val="006F15DA"/>
    <w:rsid w:val="006F74FA"/>
    <w:rsid w:val="00731ADD"/>
    <w:rsid w:val="00734777"/>
    <w:rsid w:val="00747932"/>
    <w:rsid w:val="00751A4A"/>
    <w:rsid w:val="00756632"/>
    <w:rsid w:val="00762C74"/>
    <w:rsid w:val="00786EC0"/>
    <w:rsid w:val="0079302A"/>
    <w:rsid w:val="007A1970"/>
    <w:rsid w:val="007D1690"/>
    <w:rsid w:val="007D2FA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38F"/>
    <w:rsid w:val="00971475"/>
    <w:rsid w:val="00981893"/>
    <w:rsid w:val="009C565E"/>
    <w:rsid w:val="00A1687D"/>
    <w:rsid w:val="00A426C6"/>
    <w:rsid w:val="00A43E52"/>
    <w:rsid w:val="00A4678D"/>
    <w:rsid w:val="00A778C7"/>
    <w:rsid w:val="00A82517"/>
    <w:rsid w:val="00A87978"/>
    <w:rsid w:val="00AB441E"/>
    <w:rsid w:val="00AB6293"/>
    <w:rsid w:val="00AE0928"/>
    <w:rsid w:val="00AE7601"/>
    <w:rsid w:val="00AF3B82"/>
    <w:rsid w:val="00B12E95"/>
    <w:rsid w:val="00B22876"/>
    <w:rsid w:val="00B558F0"/>
    <w:rsid w:val="00BC230A"/>
    <w:rsid w:val="00BD48FE"/>
    <w:rsid w:val="00BD7BD8"/>
    <w:rsid w:val="00BE6ADC"/>
    <w:rsid w:val="00C05BFE"/>
    <w:rsid w:val="00C23CD4"/>
    <w:rsid w:val="00C44E9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69DCD"/>
  <w15:chartTrackingRefBased/>
  <w15:docId w15:val="{49C16AAE-3323-4036-93F5-B61A88A4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E7C9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E7C9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E7C9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E7C9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E7C9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C9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6E7C9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6E7C9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6E7C9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6E7C9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E7C9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E7C9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E7C9D"/>
    <w:pPr>
      <w:spacing w:after="120"/>
    </w:pPr>
  </w:style>
  <w:style w:type="paragraph" w:customStyle="1" w:styleId="PageHeading">
    <w:name w:val="PageHeading"/>
    <w:basedOn w:val="Normal"/>
    <w:rsid w:val="006E7C9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E7C9D"/>
    <w:rPr>
      <w:b/>
    </w:rPr>
  </w:style>
  <w:style w:type="paragraph" w:customStyle="1" w:styleId="NormalBold12a">
    <w:name w:val="NormalBold12a"/>
    <w:basedOn w:val="Normal"/>
    <w:rsid w:val="006E7C9D"/>
    <w:pPr>
      <w:spacing w:after="240"/>
    </w:pPr>
    <w:rPr>
      <w:b/>
    </w:rPr>
  </w:style>
  <w:style w:type="paragraph" w:customStyle="1" w:styleId="AmJustText">
    <w:name w:val="AmJustText"/>
    <w:basedOn w:val="Normal"/>
    <w:rsid w:val="006E7C9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E7C9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E7C9D"/>
    <w:pPr>
      <w:spacing w:after="480"/>
      <w:ind w:left="1417"/>
    </w:pPr>
  </w:style>
  <w:style w:type="paragraph" w:customStyle="1" w:styleId="CoverNormal">
    <w:name w:val="CoverNormal"/>
    <w:basedOn w:val="Normal"/>
    <w:rsid w:val="006E7C9D"/>
    <w:pPr>
      <w:ind w:left="1418"/>
    </w:pPr>
  </w:style>
  <w:style w:type="paragraph" w:customStyle="1" w:styleId="AmCrossRef">
    <w:name w:val="AmCrossRef"/>
    <w:basedOn w:val="Normal"/>
    <w:rsid w:val="006E7C9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E7C9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E7C9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E7C9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E7C9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E7C9D"/>
    <w:pPr>
      <w:spacing w:before="240" w:after="1200"/>
    </w:pPr>
  </w:style>
  <w:style w:type="paragraph" w:styleId="Header">
    <w:name w:val="header"/>
    <w:basedOn w:val="Normal"/>
    <w:link w:val="HeaderChar"/>
    <w:rsid w:val="006E7C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7C9D"/>
    <w:rPr>
      <w:sz w:val="24"/>
      <w:lang w:val="cs-CZ"/>
    </w:rPr>
  </w:style>
  <w:style w:type="paragraph" w:customStyle="1" w:styleId="AmOrLang">
    <w:name w:val="AmOrLang"/>
    <w:basedOn w:val="Normal"/>
    <w:rsid w:val="006E7C9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E7C9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E7C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E7C9D"/>
    <w:pPr>
      <w:spacing w:before="240"/>
    </w:pPr>
    <w:rPr>
      <w:b/>
    </w:rPr>
  </w:style>
  <w:style w:type="paragraph" w:customStyle="1" w:styleId="EPBody">
    <w:name w:val="EPBody"/>
    <w:basedOn w:val="Normal"/>
    <w:rsid w:val="006E7C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E7C9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7C9D"/>
    <w:pPr>
      <w:spacing w:before="480" w:after="240"/>
    </w:pPr>
  </w:style>
  <w:style w:type="paragraph" w:customStyle="1" w:styleId="Lgendesigne">
    <w:name w:val="Légende signe"/>
    <w:basedOn w:val="Normal"/>
    <w:rsid w:val="006E7C9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E7C9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E7C9D"/>
    <w:rPr>
      <w:sz w:val="18"/>
    </w:rPr>
  </w:style>
  <w:style w:type="paragraph" w:customStyle="1" w:styleId="Normal6">
    <w:name w:val="Normal6"/>
    <w:basedOn w:val="Normal"/>
    <w:link w:val="Normal6Char"/>
    <w:rsid w:val="006E7C9D"/>
    <w:pPr>
      <w:spacing w:after="120"/>
    </w:pPr>
  </w:style>
  <w:style w:type="paragraph" w:customStyle="1" w:styleId="Normal12Italic">
    <w:name w:val="Normal12Italic"/>
    <w:basedOn w:val="Normal"/>
    <w:rsid w:val="006E7C9D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6E7C9D"/>
    <w:rPr>
      <w:b/>
      <w:sz w:val="24"/>
      <w:lang w:val="cs-CZ"/>
    </w:rPr>
  </w:style>
  <w:style w:type="paragraph" w:customStyle="1" w:styleId="JustificationTitle">
    <w:name w:val="JustificationTitle"/>
    <w:basedOn w:val="Normal"/>
    <w:next w:val="Normal"/>
    <w:rsid w:val="006E7C9D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6E7C9D"/>
    <w:rPr>
      <w:sz w:val="24"/>
      <w:lang w:val="cs-CZ"/>
    </w:rPr>
  </w:style>
  <w:style w:type="paragraph" w:customStyle="1" w:styleId="ColumnHeading">
    <w:name w:val="ColumnHeading"/>
    <w:basedOn w:val="Normal"/>
    <w:rsid w:val="006E7C9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E7C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6E7C9D"/>
    <w:pPr>
      <w:jc w:val="right"/>
    </w:pPr>
    <w:rPr>
      <w:lang w:val="cs-CZ"/>
    </w:rPr>
  </w:style>
  <w:style w:type="paragraph" w:styleId="BodyText">
    <w:name w:val="Body Text"/>
    <w:basedOn w:val="Normal"/>
    <w:link w:val="BodyTextChar"/>
    <w:uiPriority w:val="1"/>
    <w:unhideWhenUsed/>
    <w:qFormat/>
    <w:rsid w:val="006E7C9D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E7C9D"/>
    <w:rPr>
      <w:sz w:val="24"/>
      <w:szCs w:val="24"/>
      <w:lang w:val="cs-CZ" w:eastAsia="en-US"/>
    </w:rPr>
  </w:style>
  <w:style w:type="paragraph" w:styleId="Footer">
    <w:name w:val="footer"/>
    <w:basedOn w:val="Normal"/>
    <w:link w:val="FooterChar"/>
    <w:rsid w:val="006E7C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E7C9D"/>
    <w:rPr>
      <w:sz w:val="24"/>
      <w:lang w:val="cs-CZ"/>
    </w:rPr>
  </w:style>
  <w:style w:type="paragraph" w:customStyle="1" w:styleId="Normal24a">
    <w:name w:val="Normal24a"/>
    <w:basedOn w:val="Normal"/>
    <w:rsid w:val="006E7C9D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6E7C9D"/>
    <w:pPr>
      <w:jc w:val="center"/>
    </w:pPr>
    <w:rPr>
      <w:b/>
      <w:lang w:val="en-GB"/>
    </w:rPr>
  </w:style>
  <w:style w:type="paragraph" w:styleId="CommentText">
    <w:name w:val="annotation text"/>
    <w:basedOn w:val="Normal"/>
    <w:link w:val="CommentTextChar"/>
    <w:unhideWhenUsed/>
    <w:rsid w:val="006E7C9D"/>
    <w:pPr>
      <w:widowControl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E7C9D"/>
  </w:style>
  <w:style w:type="character" w:styleId="CommentReference">
    <w:name w:val="annotation reference"/>
    <w:basedOn w:val="DefaultParagraphFont"/>
    <w:unhideWhenUsed/>
    <w:rsid w:val="006E7C9D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6E7C9D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6E7C9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E7C9D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7C9D"/>
    <w:rPr>
      <w:b/>
      <w:bCs/>
    </w:rPr>
  </w:style>
  <w:style w:type="character" w:styleId="Hyperlink">
    <w:name w:val="Hyperlink"/>
    <w:basedOn w:val="DefaultParagraphFont"/>
    <w:uiPriority w:val="99"/>
    <w:rsid w:val="006E7C9D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6E7C9D"/>
  </w:style>
  <w:style w:type="paragraph" w:styleId="Revision">
    <w:name w:val="Revision"/>
    <w:hidden/>
    <w:uiPriority w:val="99"/>
    <w:semiHidden/>
    <w:rsid w:val="006E7C9D"/>
    <w:rPr>
      <w:sz w:val="24"/>
    </w:rPr>
  </w:style>
  <w:style w:type="paragraph" w:customStyle="1" w:styleId="EntPE">
    <w:name w:val="EntPE"/>
    <w:basedOn w:val="Normal12"/>
    <w:rsid w:val="006E7C9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E7C9D"/>
    <w:pPr>
      <w:spacing w:after="240"/>
    </w:pPr>
    <w:rPr>
      <w:noProof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6E7C9D"/>
    <w:rPr>
      <w:noProof/>
      <w:sz w:val="24"/>
    </w:rPr>
  </w:style>
  <w:style w:type="paragraph" w:customStyle="1" w:styleId="CrossRef">
    <w:name w:val="CrossRef"/>
    <w:basedOn w:val="Normal"/>
    <w:rsid w:val="006E7C9D"/>
    <w:pPr>
      <w:spacing w:before="240"/>
      <w:jc w:val="center"/>
    </w:pPr>
    <w:rPr>
      <w:i/>
      <w:lang w:val="fr-FR"/>
    </w:rPr>
  </w:style>
  <w:style w:type="character" w:customStyle="1" w:styleId="AmNumberTabsChar">
    <w:name w:val="AmNumberTabs Char"/>
    <w:basedOn w:val="DefaultParagraphFont"/>
    <w:link w:val="AmNumberTabs"/>
    <w:rsid w:val="006E7C9D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6E7C9D"/>
    <w:rPr>
      <w:b/>
      <w:sz w:val="24"/>
      <w:lang w:val="cs-CZ"/>
    </w:rPr>
  </w:style>
  <w:style w:type="paragraph" w:customStyle="1" w:styleId="Point0number">
    <w:name w:val="Point 0 (number)"/>
    <w:basedOn w:val="Normal"/>
    <w:rsid w:val="006E7C9D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6E7C9D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rsid w:val="006E7C9D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6E7C9D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6E7C9D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rsid w:val="006E7C9D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6E7C9D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6E7C9D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6E7C9D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6E7C9D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Normal12a">
    <w:name w:val="Normal12a"/>
    <w:basedOn w:val="Normal"/>
    <w:rsid w:val="006E7C9D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6E7C9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6E7C9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6E7C9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6E7C9D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6E7C9D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6E7C9D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2ED7B-CEDE-43E9-98BA-25FCF0FF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2024-07-22T12:36:00Z</dcterms:created>
  <dcterms:modified xsi:type="dcterms:W3CDTF">2024-07-22T12:36:00Z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