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2232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22322" w:rsidRDefault="00A02D46" w:rsidP="0010095E">
            <w:pPr>
              <w:pStyle w:val="EPName"/>
            </w:pPr>
            <w:r w:rsidRPr="00622322">
              <w:t>Euroopa Parlament</w:t>
            </w:r>
          </w:p>
          <w:p w:rsidR="00751A4A" w:rsidRPr="0062232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22322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622322" w:rsidRDefault="00187494" w:rsidP="0010095E">
            <w:pPr>
              <w:pStyle w:val="EPLogo"/>
            </w:pPr>
            <w:r w:rsidRPr="0062232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22322" w:rsidRDefault="00D058B8" w:rsidP="004C5D52">
      <w:pPr>
        <w:pStyle w:val="LineTop"/>
      </w:pPr>
    </w:p>
    <w:p w:rsidR="00680577" w:rsidRPr="00622322" w:rsidRDefault="00A02D46" w:rsidP="00680577">
      <w:pPr>
        <w:pStyle w:val="EPBodyTA1"/>
      </w:pPr>
      <w:r w:rsidRPr="00622322">
        <w:t>VASTUVÕETUD TEKSTID</w:t>
      </w:r>
    </w:p>
    <w:p w:rsidR="00D058B8" w:rsidRPr="00622322" w:rsidRDefault="00D058B8" w:rsidP="00D058B8">
      <w:pPr>
        <w:pStyle w:val="LineBottom"/>
      </w:pPr>
    </w:p>
    <w:p w:rsidR="00A02D46" w:rsidRPr="00622322" w:rsidRDefault="00A02D46" w:rsidP="00A02D46">
      <w:pPr>
        <w:pStyle w:val="ATHeading1"/>
      </w:pPr>
      <w:bookmarkStart w:id="0" w:name="TANumber"/>
      <w:r w:rsidRPr="00622322">
        <w:t>P9_TA(2024)0</w:t>
      </w:r>
      <w:r w:rsidR="009F00C2" w:rsidRPr="00622322">
        <w:t>193</w:t>
      </w:r>
      <w:bookmarkEnd w:id="0"/>
    </w:p>
    <w:p w:rsidR="00A02D46" w:rsidRPr="00622322" w:rsidRDefault="00A02D46" w:rsidP="00A02D46">
      <w:pPr>
        <w:pStyle w:val="ATHeading2"/>
      </w:pPr>
      <w:bookmarkStart w:id="1" w:name="title"/>
      <w:r w:rsidRPr="00622322">
        <w:t>Inimtoiduks ettenähtud toiduained: teatavate hommikusöögidirektiivide muutmine</w:t>
      </w:r>
      <w:bookmarkEnd w:id="1"/>
    </w:p>
    <w:p w:rsidR="00A02D46" w:rsidRPr="00622322" w:rsidRDefault="00A02D46" w:rsidP="00A02D46">
      <w:pPr>
        <w:rPr>
          <w:i/>
          <w:vanish/>
        </w:rPr>
      </w:pPr>
      <w:r w:rsidRPr="00622322">
        <w:rPr>
          <w:i/>
        </w:rPr>
        <w:fldChar w:fldCharType="begin"/>
      </w:r>
      <w:r w:rsidRPr="00622322">
        <w:rPr>
          <w:i/>
        </w:rPr>
        <w:instrText xml:space="preserve"> TC"(</w:instrText>
      </w:r>
      <w:bookmarkStart w:id="2" w:name="DocNumber"/>
      <w:r w:rsidRPr="00622322">
        <w:rPr>
          <w:i/>
        </w:rPr>
        <w:instrText>A9-0385/2023</w:instrText>
      </w:r>
      <w:bookmarkEnd w:id="2"/>
      <w:r w:rsidRPr="00622322">
        <w:rPr>
          <w:i/>
        </w:rPr>
        <w:instrText xml:space="preserve"> - Raportöör: Alexander </w:instrText>
      </w:r>
      <w:proofErr w:type="spellStart"/>
      <w:r w:rsidRPr="00622322">
        <w:rPr>
          <w:i/>
        </w:rPr>
        <w:instrText>Bernhuber</w:instrText>
      </w:r>
      <w:proofErr w:type="spellEnd"/>
      <w:r w:rsidRPr="00622322">
        <w:rPr>
          <w:i/>
        </w:rPr>
        <w:instrText xml:space="preserve">)"\l3 \n&gt; \* MERGEFORMAT </w:instrText>
      </w:r>
      <w:r w:rsidRPr="00622322">
        <w:rPr>
          <w:i/>
        </w:rPr>
        <w:fldChar w:fldCharType="end"/>
      </w:r>
    </w:p>
    <w:p w:rsidR="00A02D46" w:rsidRPr="00622322" w:rsidRDefault="00A02D46" w:rsidP="00A02D46">
      <w:pPr>
        <w:rPr>
          <w:vanish/>
        </w:rPr>
      </w:pPr>
      <w:bookmarkStart w:id="3" w:name="Commission"/>
      <w:r w:rsidRPr="00622322">
        <w:rPr>
          <w:vanish/>
        </w:rPr>
        <w:t>Keskkonna-, rahvatervise ja toiduohutuse komisjon</w:t>
      </w:r>
      <w:bookmarkEnd w:id="3"/>
    </w:p>
    <w:p w:rsidR="00A02D46" w:rsidRPr="00622322" w:rsidRDefault="00A02D46" w:rsidP="00A02D46">
      <w:pPr>
        <w:rPr>
          <w:vanish/>
        </w:rPr>
      </w:pPr>
      <w:bookmarkStart w:id="4" w:name="PE"/>
      <w:r w:rsidRPr="00622322">
        <w:rPr>
          <w:vanish/>
        </w:rPr>
        <w:t>PE752.665</w:t>
      </w:r>
      <w:bookmarkEnd w:id="4"/>
    </w:p>
    <w:p w:rsidR="00A02D46" w:rsidRPr="00622322" w:rsidRDefault="00986D9B" w:rsidP="00A02D46">
      <w:pPr>
        <w:pStyle w:val="ATHeading3"/>
      </w:pPr>
      <w:bookmarkStart w:id="5" w:name="Sujet"/>
      <w:r w:rsidRPr="00622322">
        <w:t>Euroopa Parlamendi 10</w:t>
      </w:r>
      <w:r w:rsidR="00A02D46" w:rsidRPr="00622322">
        <w:t>.</w:t>
      </w:r>
      <w:r w:rsidRPr="00622322">
        <w:t> aprilli 2024. </w:t>
      </w:r>
      <w:r w:rsidR="00A02D46" w:rsidRPr="00622322">
        <w:t>aasta seadusandlik resolutsioon ettepaneku kohta võtta vastu Euroopa Parlamendi ja nõukogu direktiiv, millega muudetakse nõukogu direktiivi 2001/110/EÜ mee kohta, direktiivi 2001/112/EÜ toiduks ettenähtud puuvilja- ja marjamahlade ja teatavate samalaadsete toodete kohta, direktiivi 2001/113/EÜ inimtoiduks ettenähtud puuvilja- ja marjadžemmi, -želee ja tsitrusmarmelaadi ning magustatud kastanipüree kohta ning direktiivi 2001/114/EÜ teatavate inimtoiduks ettenähtud osaliselt või täielikult veetustatud piimakonservide kohta</w:t>
      </w:r>
      <w:bookmarkEnd w:id="5"/>
      <w:r w:rsidR="00A02D46" w:rsidRPr="00622322">
        <w:t xml:space="preserve"> </w:t>
      </w:r>
      <w:bookmarkStart w:id="6" w:name="References"/>
      <w:r w:rsidRPr="00622322">
        <w:t>(COM(2023)0201 – C9</w:t>
      </w:r>
      <w:r w:rsidRPr="00622322">
        <w:noBreakHyphen/>
        <w:t>0</w:t>
      </w:r>
      <w:r w:rsidR="00A02D46" w:rsidRPr="00622322">
        <w:t>140/2023 – 2023/0105(COD))</w:t>
      </w:r>
      <w:bookmarkEnd w:id="6"/>
    </w:p>
    <w:p w:rsidR="000D12B6" w:rsidRPr="00622322" w:rsidRDefault="000D12B6" w:rsidP="000D12B6">
      <w:pPr>
        <w:pStyle w:val="NormalBold"/>
      </w:pPr>
      <w:bookmarkStart w:id="7" w:name="TextBodyBegin"/>
      <w:bookmarkEnd w:id="7"/>
      <w:r w:rsidRPr="00622322">
        <w:t>(Seadusandlik tavamenetlus: esimene lugemine)</w:t>
      </w:r>
    </w:p>
    <w:p w:rsidR="000D12B6" w:rsidRPr="00622322" w:rsidRDefault="000D12B6" w:rsidP="000D12B6">
      <w:pPr>
        <w:pStyle w:val="EPComma"/>
      </w:pPr>
      <w:r w:rsidRPr="00622322">
        <w:rPr>
          <w:i/>
        </w:rPr>
        <w:t>Euroopa Parlament</w:t>
      </w:r>
      <w:r w:rsidRPr="00622322">
        <w:t>,</w:t>
      </w:r>
    </w:p>
    <w:p w:rsidR="000D12B6" w:rsidRPr="00622322" w:rsidRDefault="000D12B6" w:rsidP="000D12B6">
      <w:pPr>
        <w:pStyle w:val="NormalHanging12a"/>
      </w:pPr>
      <w:r w:rsidRPr="00622322">
        <w:t>–</w:t>
      </w:r>
      <w:r w:rsidRPr="00622322">
        <w:tab/>
        <w:t>võttes arvesse komisjoni ettepanekut Euroopa Parlamendile ja nõukogule (COM(2023)0201),</w:t>
      </w:r>
    </w:p>
    <w:p w:rsidR="000D12B6" w:rsidRPr="00622322" w:rsidRDefault="000D12B6" w:rsidP="000D12B6">
      <w:pPr>
        <w:pStyle w:val="NormalHanging12a"/>
      </w:pPr>
      <w:r w:rsidRPr="00622322">
        <w:t>–</w:t>
      </w:r>
      <w:r w:rsidRPr="00622322">
        <w:tab/>
        <w:t>võttes arvesse Euroopa Liidu toimimise lepingu artikli 294 lõiget 2 ja artikli 43 lõiget 2, mille alusel komisjon esitas ettepaneku Euroopa Parlamendile (C9</w:t>
      </w:r>
      <w:r w:rsidRPr="00622322">
        <w:noBreakHyphen/>
      </w:r>
      <w:r w:rsidR="000871D6">
        <w:t>0</w:t>
      </w:r>
      <w:r w:rsidRPr="00622322">
        <w:t>140/2023),</w:t>
      </w:r>
    </w:p>
    <w:p w:rsidR="000D12B6" w:rsidRPr="00622322" w:rsidRDefault="000D12B6" w:rsidP="000D12B6">
      <w:pPr>
        <w:pStyle w:val="NormalHanging12a"/>
      </w:pPr>
      <w:r w:rsidRPr="00622322">
        <w:t>–</w:t>
      </w:r>
      <w:r w:rsidRPr="00622322">
        <w:tab/>
        <w:t xml:space="preserve">võttes arvesse Euroopa </w:t>
      </w:r>
      <w:r w:rsidR="00986D9B" w:rsidRPr="00622322">
        <w:t>Liidu toimimise lepingu artikli 294 lõiget </w:t>
      </w:r>
      <w:r w:rsidRPr="00622322">
        <w:t>3,</w:t>
      </w:r>
    </w:p>
    <w:p w:rsidR="000D12B6" w:rsidRPr="00622322" w:rsidRDefault="000D12B6" w:rsidP="000D12B6">
      <w:pPr>
        <w:pStyle w:val="NormalHanging12a"/>
      </w:pPr>
      <w:r w:rsidRPr="00622322">
        <w:t>–</w:t>
      </w:r>
      <w:r w:rsidRPr="00622322">
        <w:tab/>
        <w:t>võttes arvesse Euroopa M</w:t>
      </w:r>
      <w:r w:rsidR="00986D9B" w:rsidRPr="00622322">
        <w:t>ajandus- ja Sotsiaalkomitee 21. septembri 2023. </w:t>
      </w:r>
      <w:r w:rsidRPr="00622322">
        <w:t>aasta arvamust</w:t>
      </w:r>
      <w:r w:rsidR="00986D9B" w:rsidRPr="00622322">
        <w:rPr>
          <w:rStyle w:val="FootnoteReference"/>
        </w:rPr>
        <w:footnoteReference w:id="1"/>
      </w:r>
      <w:r w:rsidRPr="00622322">
        <w:t>,</w:t>
      </w:r>
    </w:p>
    <w:p w:rsidR="000D12B6" w:rsidRPr="00622322" w:rsidRDefault="000D12B6" w:rsidP="000D12B6">
      <w:pPr>
        <w:pStyle w:val="NormalHanging12a"/>
      </w:pPr>
      <w:r w:rsidRPr="00622322">
        <w:t>–</w:t>
      </w:r>
      <w:r w:rsidRPr="00622322">
        <w:tab/>
      </w:r>
      <w:r w:rsidR="00986D9B" w:rsidRPr="00622322">
        <w:t>pärast konsulteerimist</w:t>
      </w:r>
      <w:r w:rsidRPr="00622322">
        <w:t xml:space="preserve"> Regioonide Komitee</w:t>
      </w:r>
      <w:r w:rsidR="00986D9B" w:rsidRPr="00622322">
        <w:t>ga</w:t>
      </w:r>
      <w:r w:rsidRPr="00622322">
        <w:t>,</w:t>
      </w:r>
    </w:p>
    <w:p w:rsidR="00986D9B" w:rsidRPr="00622322" w:rsidRDefault="00986D9B" w:rsidP="000D12B6">
      <w:pPr>
        <w:pStyle w:val="NormalHanging12a"/>
      </w:pPr>
      <w:r w:rsidRPr="00622322">
        <w:t>–</w:t>
      </w:r>
      <w:r w:rsidRPr="00622322">
        <w:tab/>
        <w:t>võttes arvesse vastutava komisjoni poolt kodukorra artikli 74 lõike 4 alusel heaks kiidetud esialgset kokkulepet ja nõukogu esindaja poolt 12. veebruari 2024. aasta kirjas võetud kohustust kiita Euroopa Parlamendi seisukoht heaks vastavalt Euroopa Liidu toimimise lepingu artikli 294 lõikele 4,</w:t>
      </w:r>
    </w:p>
    <w:p w:rsidR="000D12B6" w:rsidRPr="00622322" w:rsidRDefault="000D12B6" w:rsidP="000D12B6">
      <w:pPr>
        <w:pStyle w:val="NormalHanging12a"/>
      </w:pPr>
      <w:r w:rsidRPr="00622322">
        <w:t>–</w:t>
      </w:r>
      <w:r w:rsidRPr="00622322">
        <w:tab/>
        <w:t>võ</w:t>
      </w:r>
      <w:r w:rsidR="00986D9B" w:rsidRPr="00622322">
        <w:t>ttes arvesse kodukorra artiklit </w:t>
      </w:r>
      <w:r w:rsidRPr="00622322">
        <w:t>59,</w:t>
      </w:r>
    </w:p>
    <w:p w:rsidR="000D12B6" w:rsidRPr="00622322" w:rsidRDefault="000D12B6" w:rsidP="000D12B6">
      <w:pPr>
        <w:pStyle w:val="NormalHanging12a"/>
      </w:pPr>
      <w:r w:rsidRPr="00622322">
        <w:lastRenderedPageBreak/>
        <w:t>–</w:t>
      </w:r>
      <w:r w:rsidRPr="00622322">
        <w:tab/>
        <w:t>võttes arvesse põllumajanduse ja maaelu arengu komisjoni arvamust,</w:t>
      </w:r>
    </w:p>
    <w:p w:rsidR="000D12B6" w:rsidRPr="00622322" w:rsidRDefault="000D12B6" w:rsidP="000D12B6">
      <w:pPr>
        <w:pStyle w:val="NormalHanging12a"/>
      </w:pPr>
      <w:r w:rsidRPr="00622322">
        <w:t>–</w:t>
      </w:r>
      <w:r w:rsidRPr="00622322">
        <w:tab/>
        <w:t>võttes arvesse keskkonna-, rahvatervise ja toid</w:t>
      </w:r>
      <w:r w:rsidR="00986D9B" w:rsidRPr="00622322">
        <w:t>uohutuse komisjoni raportit (A9</w:t>
      </w:r>
      <w:r w:rsidR="00986D9B" w:rsidRPr="00622322">
        <w:noBreakHyphen/>
      </w:r>
      <w:r w:rsidRPr="00622322">
        <w:t>0385/2023),</w:t>
      </w:r>
    </w:p>
    <w:p w:rsidR="000D12B6" w:rsidRPr="00622322" w:rsidRDefault="000D12B6" w:rsidP="000D12B6">
      <w:pPr>
        <w:pStyle w:val="NormalHanging12a"/>
      </w:pPr>
      <w:r w:rsidRPr="00622322">
        <w:t>1.</w:t>
      </w:r>
      <w:r w:rsidRPr="00622322">
        <w:tab/>
        <w:t>võtab vastu allpool toodud esimese lugemise seisukoha</w:t>
      </w:r>
      <w:r w:rsidR="00986D9B" w:rsidRPr="00622322">
        <w:rPr>
          <w:rStyle w:val="FootnoteReference"/>
        </w:rPr>
        <w:footnoteReference w:id="2"/>
      </w:r>
      <w:r w:rsidRPr="00622322">
        <w:t>;</w:t>
      </w:r>
    </w:p>
    <w:p w:rsidR="000D12B6" w:rsidRPr="00622322" w:rsidRDefault="000D12B6" w:rsidP="000D12B6">
      <w:pPr>
        <w:pStyle w:val="NormalHanging12a"/>
      </w:pPr>
      <w:r w:rsidRPr="00622322">
        <w:t>2.</w:t>
      </w:r>
      <w:r w:rsidRPr="00622322">
        <w:tab/>
        <w:t>palub komisjonil ettepaneku uuesti Euroopa Parlamendile saata, kui komisjon asendab selle uue ettepanekuga, muudab seda oluliselt või kavatseb seda oluliselt muuta;</w:t>
      </w:r>
    </w:p>
    <w:p w:rsidR="000D12B6" w:rsidRPr="00622322" w:rsidRDefault="000D12B6" w:rsidP="00FB444E">
      <w:pPr>
        <w:pStyle w:val="NormalHanging12a"/>
      </w:pPr>
      <w:r w:rsidRPr="00622322">
        <w:t>3.</w:t>
      </w:r>
      <w:r w:rsidRPr="00622322">
        <w:tab/>
        <w:t>teeb presidendile ülesandeks edastada Euroopa Parlamendi seisukoht nõukogule ja komisjonile ning liikmesriikide parlamentidele.</w:t>
      </w:r>
    </w:p>
    <w:p w:rsidR="00986D9B" w:rsidRPr="00622322" w:rsidRDefault="00986D9B" w:rsidP="000D12B6">
      <w:pPr>
        <w:pStyle w:val="AMNumberTabs0"/>
        <w:keepNext/>
        <w:spacing w:after="240"/>
        <w:sectPr w:rsidR="00986D9B" w:rsidRPr="00622322" w:rsidSect="003172BE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986D9B" w:rsidRPr="00622322" w:rsidRDefault="00986D9B" w:rsidP="00986D9B">
      <w:pPr>
        <w:pStyle w:val="Statut"/>
        <w:spacing w:before="0" w:after="240"/>
        <w:jc w:val="left"/>
        <w:rPr>
          <w:b/>
        </w:rPr>
      </w:pPr>
      <w:r w:rsidRPr="00622322">
        <w:rPr>
          <w:b/>
        </w:rPr>
        <w:lastRenderedPageBreak/>
        <w:t>P9_</w:t>
      </w:r>
      <w:r w:rsidRPr="00622322">
        <w:rPr>
          <w:b/>
          <w:noProof/>
        </w:rPr>
        <w:t>TC1-COD</w:t>
      </w:r>
      <w:r w:rsidRPr="00622322">
        <w:rPr>
          <w:b/>
        </w:rPr>
        <w:t>(2023)0105</w:t>
      </w:r>
    </w:p>
    <w:p w:rsidR="00986D9B" w:rsidRPr="00622322" w:rsidRDefault="00986D9B" w:rsidP="00986D9B">
      <w:pPr>
        <w:spacing w:after="240"/>
        <w:rPr>
          <w:rFonts w:eastAsia="Calibri"/>
          <w:b/>
          <w:szCs w:val="24"/>
          <w:lang w:eastAsia="en-US"/>
        </w:rPr>
      </w:pPr>
      <w:r w:rsidRPr="00622322">
        <w:rPr>
          <w:b/>
          <w:noProof/>
        </w:rPr>
        <w:t xml:space="preserve">Euroopa Parlamendi seisukoht, vastu võetud esimesel lugemisel 10. aprillil 2024. aastal eesmärgiga võtta vastu Euroopa Parlamendi ja nõukogu </w:t>
      </w:r>
      <w:r w:rsidRPr="00622322">
        <w:rPr>
          <w:b/>
        </w:rPr>
        <w:t xml:space="preserve">direktiiv (EL) 2024/…, </w:t>
      </w:r>
      <w:r w:rsidRPr="00622322">
        <w:rPr>
          <w:rFonts w:eastAsia="Calibri"/>
          <w:b/>
          <w:szCs w:val="22"/>
          <w:lang w:eastAsia="en-US"/>
        </w:rPr>
        <w:t>millega muudetakse nõukogu direktiivi 2001/110/EÜ mee kohta, direktiivi 2001/112/EÜ toiduks ettenähtud puuvilja- ja marjamahlade ja teatavate samalaadsete toodete kohta, direktiivi 2001/113/EÜ inimtoiduks ettenähtud puuvilja- ja marjadžemmi, -želee ja tsitrusmarmelaadi ning magustatud kastanipüree kohta ning direktiivi 2001/114/EÜ teatavate inimtoiduks ettenähtud osaliselt või täielikult veetustatud piimakonservide kohta</w:t>
      </w:r>
    </w:p>
    <w:p w:rsidR="000871D6" w:rsidRPr="00484B01" w:rsidRDefault="000871D6" w:rsidP="000871D6">
      <w:pPr>
        <w:rPr>
          <w:i/>
        </w:rPr>
      </w:pPr>
      <w:r w:rsidRPr="00484B01">
        <w:rPr>
          <w:i/>
        </w:rPr>
        <w:t xml:space="preserve">(Kuna Euroopa Parlament ja nõukogu jõudsid kokkuleppele, vastab Euroopa Parlamendi seisukoht õigusakti (direktiiv </w:t>
      </w:r>
      <w:r>
        <w:rPr>
          <w:i/>
        </w:rPr>
        <w:t>(EL) 2024/1438</w:t>
      </w:r>
      <w:r w:rsidRPr="00484B01">
        <w:rPr>
          <w:i/>
        </w:rPr>
        <w:t>) lõplikule kujule).</w:t>
      </w:r>
    </w:p>
    <w:p w:rsidR="00986D9B" w:rsidRPr="00121472" w:rsidRDefault="00986D9B" w:rsidP="000871D6">
      <w:pPr>
        <w:widowControl/>
        <w:spacing w:before="600" w:after="120" w:line="360" w:lineRule="auto"/>
        <w:rPr>
          <w:rFonts w:eastAsia="Calibri"/>
          <w:szCs w:val="24"/>
          <w:lang w:eastAsia="en-US"/>
        </w:rPr>
      </w:pPr>
    </w:p>
    <w:sectPr w:rsidR="00986D9B" w:rsidRPr="00121472" w:rsidSect="000871D6">
      <w:footerReference w:type="default" r:id="rId9"/>
      <w:footnotePr>
        <w:numRestart w:val="eachSect"/>
      </w:footnotePr>
      <w:endnotePr>
        <w:numFmt w:val="decimal"/>
      </w:end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2D46" w:rsidRPr="003172BE" w:rsidRDefault="00A02D46">
      <w:r w:rsidRPr="003172BE">
        <w:separator/>
      </w:r>
    </w:p>
  </w:endnote>
  <w:endnote w:type="continuationSeparator" w:id="0">
    <w:p w:rsidR="00A02D46" w:rsidRPr="003172BE" w:rsidRDefault="00A02D46">
      <w:r w:rsidRPr="003172B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6D9B" w:rsidRPr="00986D9B" w:rsidRDefault="00986D9B" w:rsidP="00986D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2D46" w:rsidRPr="003172BE" w:rsidRDefault="00A02D46">
      <w:r w:rsidRPr="003172BE">
        <w:separator/>
      </w:r>
    </w:p>
  </w:footnote>
  <w:footnote w:type="continuationSeparator" w:id="0">
    <w:p w:rsidR="00A02D46" w:rsidRPr="003172BE" w:rsidRDefault="00A02D46">
      <w:r w:rsidRPr="003172BE">
        <w:continuationSeparator/>
      </w:r>
    </w:p>
  </w:footnote>
  <w:footnote w:id="1">
    <w:p w:rsidR="00986D9B" w:rsidRPr="00986D9B" w:rsidRDefault="00986D9B" w:rsidP="00986D9B">
      <w:pPr>
        <w:pStyle w:val="FootnoteText"/>
        <w:ind w:left="567" w:hanging="567"/>
        <w:rPr>
          <w:sz w:val="24"/>
          <w:lang w:val="et-EE"/>
        </w:rPr>
      </w:pPr>
      <w:r w:rsidRPr="00986D9B">
        <w:rPr>
          <w:rStyle w:val="FootnoteReference"/>
          <w:sz w:val="24"/>
          <w:lang w:val="et-EE"/>
        </w:rPr>
        <w:footnoteRef/>
      </w:r>
      <w:r w:rsidRPr="00986D9B">
        <w:rPr>
          <w:sz w:val="24"/>
          <w:lang w:val="et-EE"/>
        </w:rPr>
        <w:t xml:space="preserve"> </w:t>
      </w:r>
      <w:r w:rsidRPr="00986D9B">
        <w:rPr>
          <w:sz w:val="24"/>
          <w:lang w:val="et-EE"/>
        </w:rPr>
        <w:tab/>
        <w:t>ELT C</w:t>
      </w:r>
      <w:r w:rsidRPr="00986D9B">
        <w:rPr>
          <w:sz w:val="24"/>
          <w:szCs w:val="24"/>
          <w:lang w:val="et-EE"/>
        </w:rPr>
        <w:t>, C/</w:t>
      </w:r>
      <w:r w:rsidRPr="00FB444E">
        <w:rPr>
          <w:sz w:val="24"/>
          <w:szCs w:val="24"/>
          <w:lang w:val="et-EE"/>
        </w:rPr>
        <w:t>2023</w:t>
      </w:r>
      <w:r w:rsidRPr="00986D9B">
        <w:rPr>
          <w:sz w:val="24"/>
          <w:szCs w:val="24"/>
          <w:lang w:val="et-EE"/>
        </w:rPr>
        <w:t>/</w:t>
      </w:r>
      <w:r w:rsidRPr="00FB444E">
        <w:rPr>
          <w:sz w:val="24"/>
          <w:szCs w:val="24"/>
          <w:lang w:val="et-EE"/>
        </w:rPr>
        <w:t>881</w:t>
      </w:r>
      <w:r w:rsidRPr="00986D9B">
        <w:rPr>
          <w:sz w:val="24"/>
          <w:szCs w:val="24"/>
          <w:lang w:val="et-EE"/>
        </w:rPr>
        <w:t xml:space="preserve">, </w:t>
      </w:r>
      <w:r w:rsidRPr="00FB444E">
        <w:rPr>
          <w:sz w:val="24"/>
          <w:szCs w:val="24"/>
          <w:lang w:val="et-EE"/>
        </w:rPr>
        <w:t>8</w:t>
      </w:r>
      <w:r w:rsidRPr="00986D9B">
        <w:rPr>
          <w:sz w:val="24"/>
          <w:szCs w:val="24"/>
          <w:lang w:val="et-EE"/>
        </w:rPr>
        <w:t>.</w:t>
      </w:r>
      <w:r w:rsidRPr="00FB444E">
        <w:rPr>
          <w:sz w:val="24"/>
          <w:szCs w:val="24"/>
          <w:lang w:val="et-EE"/>
        </w:rPr>
        <w:t>12</w:t>
      </w:r>
      <w:r w:rsidRPr="00986D9B">
        <w:rPr>
          <w:sz w:val="24"/>
          <w:szCs w:val="24"/>
          <w:lang w:val="et-EE"/>
        </w:rPr>
        <w:t>.</w:t>
      </w:r>
      <w:r w:rsidRPr="00FB444E">
        <w:rPr>
          <w:sz w:val="24"/>
          <w:szCs w:val="24"/>
          <w:lang w:val="et-EE"/>
        </w:rPr>
        <w:t>2023</w:t>
      </w:r>
      <w:r w:rsidRPr="00986D9B">
        <w:rPr>
          <w:sz w:val="24"/>
          <w:szCs w:val="24"/>
          <w:lang w:val="et-EE"/>
        </w:rPr>
        <w:t xml:space="preserve">, ELI: </w:t>
      </w:r>
      <w:hyperlink r:id="rId1" w:history="1">
        <w:r w:rsidR="000871D6" w:rsidRPr="00041EDE">
          <w:rPr>
            <w:rStyle w:val="Hyperlink"/>
            <w:sz w:val="24"/>
            <w:szCs w:val="24"/>
            <w:lang w:val="et-EE"/>
          </w:rPr>
          <w:t>http://data.europa.eu/eli/C/2023/881/oj</w:t>
        </w:r>
      </w:hyperlink>
      <w:bookmarkStart w:id="8" w:name="_GoBack"/>
      <w:bookmarkEnd w:id="8"/>
      <w:r w:rsidRPr="00986D9B">
        <w:rPr>
          <w:sz w:val="24"/>
          <w:lang w:val="et-EE"/>
        </w:rPr>
        <w:t>.</w:t>
      </w:r>
    </w:p>
  </w:footnote>
  <w:footnote w:id="2">
    <w:p w:rsidR="00986D9B" w:rsidRPr="00986D9B" w:rsidRDefault="00986D9B" w:rsidP="00986D9B">
      <w:pPr>
        <w:ind w:left="567" w:hanging="567"/>
      </w:pPr>
      <w:r w:rsidRPr="00986D9B">
        <w:rPr>
          <w:rStyle w:val="FootnoteReference"/>
        </w:rPr>
        <w:footnoteRef/>
      </w:r>
      <w:r w:rsidRPr="00986D9B">
        <w:t xml:space="preserve"> </w:t>
      </w:r>
      <w:r w:rsidRPr="00986D9B">
        <w:tab/>
        <w:t xml:space="preserve">Käesolev seisukoht asendab </w:t>
      </w:r>
      <w:r w:rsidRPr="00FB444E">
        <w:t>12</w:t>
      </w:r>
      <w:r w:rsidRPr="00986D9B">
        <w:t xml:space="preserve">. detsembril </w:t>
      </w:r>
      <w:r w:rsidRPr="00FB444E">
        <w:t>2023</w:t>
      </w:r>
      <w:r w:rsidRPr="00986D9B">
        <w:t>. aastal vastu võetud muudatusettepanekud (Vastuvõetud tekstid, P</w:t>
      </w:r>
      <w:r w:rsidRPr="00FB444E">
        <w:t>9</w:t>
      </w:r>
      <w:r w:rsidRPr="00986D9B">
        <w:t>_TA(</w:t>
      </w:r>
      <w:r w:rsidRPr="00FB444E">
        <w:t>2023</w:t>
      </w:r>
      <w:r w:rsidRPr="00986D9B">
        <w:t>)</w:t>
      </w:r>
      <w:r w:rsidRPr="00FB444E">
        <w:t>0445</w:t>
      </w:r>
      <w:r w:rsidRPr="00986D9B"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85/2023"/>
    <w:docVar w:name="dvlangue" w:val="ET"/>
    <w:docVar w:name="dvnumam" w:val="113"/>
    <w:docVar w:name="dvpe" w:val="752.665"/>
    <w:docVar w:name="dvrapporteur" w:val="Raportöör: "/>
    <w:docVar w:name="dvstar" w:val="***I"/>
    <w:docVar w:name="dvtitre" w:val="Euroopa Parlamendi .... 2024. aasta seadusandlik resolutsioon ettepaneku kohta võtta vastu Euroopa Parlamendi ja nõukogu direktiiv, millega muudetakse nõukogu direktiivi 2001/110/EÜ mee kohta, direktiivi 2001/112/EÜ toiduks ettenähtud puuvilja- ja marjamahlade ja teatavate samalaadsete toodete kohta, direktiivi 2001/113/EÜ inimtoiduks ettenähtud puuvilja- ja marjadžemmi, -želee ja tsitrusmarmelaadi ning magustatud kastanipüree kohta ning direktiivi 2001/114/EÜ teatavate inimtoiduks ettenähtud osaliselt või täielikult veetustatud piimakonservide kohta(COM(2023)0201 – C9-140/2023 – 2023/0105(COD))"/>
  </w:docVars>
  <w:rsids>
    <w:rsidRoot w:val="00A02D46"/>
    <w:rsid w:val="00002272"/>
    <w:rsid w:val="00064002"/>
    <w:rsid w:val="000677B9"/>
    <w:rsid w:val="000831BA"/>
    <w:rsid w:val="000871D6"/>
    <w:rsid w:val="000A42CC"/>
    <w:rsid w:val="000D12B6"/>
    <w:rsid w:val="000E7DD9"/>
    <w:rsid w:val="0010095E"/>
    <w:rsid w:val="00121472"/>
    <w:rsid w:val="00125B37"/>
    <w:rsid w:val="00187494"/>
    <w:rsid w:val="001F32AE"/>
    <w:rsid w:val="00236AC7"/>
    <w:rsid w:val="002767FF"/>
    <w:rsid w:val="002B18FE"/>
    <w:rsid w:val="002B5493"/>
    <w:rsid w:val="003172BE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22322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6D9B"/>
    <w:rsid w:val="009F00C2"/>
    <w:rsid w:val="00A02D46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B444E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29EC05"/>
  <w15:chartTrackingRefBased/>
  <w15:docId w15:val="{A036AFAC-D776-4419-8ABD-1B76D046F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footnote reference" w:uiPriority="99"/>
    <w:lsdException w:name="Title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0D12B6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0D12B6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0D12B6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0D12B6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0D12B6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0D12B6"/>
    <w:rPr>
      <w:i/>
      <w:sz w:val="22"/>
      <w:lang w:val="et-EE"/>
    </w:rPr>
  </w:style>
  <w:style w:type="character" w:customStyle="1" w:styleId="Heading7Char">
    <w:name w:val="Heading 7 Char"/>
    <w:basedOn w:val="DefaultParagraphFont"/>
    <w:link w:val="Heading7"/>
    <w:semiHidden/>
    <w:rsid w:val="000D12B6"/>
    <w:rPr>
      <w:rFonts w:ascii="Arial" w:hAnsi="Arial"/>
      <w:sz w:val="24"/>
      <w:lang w:val="et-EE"/>
    </w:rPr>
  </w:style>
  <w:style w:type="character" w:customStyle="1" w:styleId="Heading8Char">
    <w:name w:val="Heading 8 Char"/>
    <w:basedOn w:val="DefaultParagraphFont"/>
    <w:link w:val="Heading8"/>
    <w:semiHidden/>
    <w:rsid w:val="000D12B6"/>
    <w:rPr>
      <w:rFonts w:ascii="Arial" w:hAnsi="Arial"/>
      <w:i/>
      <w:sz w:val="24"/>
      <w:lang w:val="et-EE"/>
    </w:rPr>
  </w:style>
  <w:style w:type="character" w:customStyle="1" w:styleId="Heading9Char">
    <w:name w:val="Heading 9 Char"/>
    <w:basedOn w:val="DefaultParagraphFont"/>
    <w:link w:val="Heading9"/>
    <w:semiHidden/>
    <w:rsid w:val="000D12B6"/>
    <w:rPr>
      <w:rFonts w:ascii="Arial" w:hAnsi="Arial"/>
      <w:b/>
      <w:i/>
      <w:sz w:val="18"/>
      <w:lang w:val="et-EE"/>
    </w:rPr>
  </w:style>
  <w:style w:type="paragraph" w:styleId="TOCHeading">
    <w:name w:val="TOC Heading"/>
    <w:basedOn w:val="Normal"/>
    <w:next w:val="Normal"/>
    <w:uiPriority w:val="39"/>
    <w:unhideWhenUsed/>
    <w:qFormat/>
    <w:rsid w:val="000D12B6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0D12B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0D12B6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0D12B6"/>
    <w:pPr>
      <w:spacing w:after="120"/>
    </w:pPr>
  </w:style>
  <w:style w:type="paragraph" w:customStyle="1" w:styleId="PageHeading">
    <w:name w:val="PageHeading"/>
    <w:basedOn w:val="Normal"/>
    <w:rsid w:val="000D12B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0D12B6"/>
    <w:rPr>
      <w:b/>
    </w:rPr>
  </w:style>
  <w:style w:type="paragraph" w:customStyle="1" w:styleId="NormalBold12a">
    <w:name w:val="NormalBold12a"/>
    <w:basedOn w:val="Normal"/>
    <w:rsid w:val="000D12B6"/>
    <w:pPr>
      <w:spacing w:after="240"/>
    </w:pPr>
    <w:rPr>
      <w:b/>
    </w:rPr>
  </w:style>
  <w:style w:type="paragraph" w:customStyle="1" w:styleId="AmJustText">
    <w:name w:val="AmJustText"/>
    <w:basedOn w:val="Normal"/>
    <w:rsid w:val="000D12B6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0D12B6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0D12B6"/>
    <w:pPr>
      <w:spacing w:after="480"/>
      <w:ind w:left="1417"/>
    </w:pPr>
  </w:style>
  <w:style w:type="paragraph" w:customStyle="1" w:styleId="CoverNormal">
    <w:name w:val="CoverNormal"/>
    <w:basedOn w:val="Normal"/>
    <w:rsid w:val="000D12B6"/>
    <w:pPr>
      <w:ind w:left="1418"/>
    </w:pPr>
  </w:style>
  <w:style w:type="paragraph" w:customStyle="1" w:styleId="AmCrossRef">
    <w:name w:val="AmCrossRef"/>
    <w:basedOn w:val="Normal"/>
    <w:rsid w:val="000D12B6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0D12B6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0D12B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0D12B6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0D12B6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0D12B6"/>
    <w:pPr>
      <w:spacing w:before="240" w:after="1200"/>
    </w:pPr>
  </w:style>
  <w:style w:type="paragraph" w:styleId="Header">
    <w:name w:val="header"/>
    <w:basedOn w:val="Normal"/>
    <w:link w:val="HeaderChar"/>
    <w:rsid w:val="000D12B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D12B6"/>
    <w:rPr>
      <w:sz w:val="24"/>
      <w:lang w:val="et-EE"/>
    </w:rPr>
  </w:style>
  <w:style w:type="paragraph" w:customStyle="1" w:styleId="AmOrLang">
    <w:name w:val="AmOrLang"/>
    <w:basedOn w:val="Normal"/>
    <w:rsid w:val="000D12B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0D12B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0D12B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0D12B6"/>
    <w:pPr>
      <w:spacing w:before="240"/>
    </w:pPr>
    <w:rPr>
      <w:b/>
    </w:rPr>
  </w:style>
  <w:style w:type="paragraph" w:customStyle="1" w:styleId="EPBody">
    <w:name w:val="EPBody"/>
    <w:basedOn w:val="Normal"/>
    <w:rsid w:val="000D12B6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0D12B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D12B6"/>
    <w:pPr>
      <w:spacing w:before="480" w:after="240"/>
    </w:pPr>
  </w:style>
  <w:style w:type="paragraph" w:customStyle="1" w:styleId="Lgendesigne">
    <w:name w:val="Légende signe"/>
    <w:basedOn w:val="Normal"/>
    <w:rsid w:val="000D12B6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0D12B6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0D12B6"/>
    <w:rPr>
      <w:sz w:val="18"/>
    </w:rPr>
  </w:style>
  <w:style w:type="paragraph" w:customStyle="1" w:styleId="Normal24a">
    <w:name w:val="Normal24a"/>
    <w:basedOn w:val="Normal"/>
    <w:rsid w:val="000D12B6"/>
    <w:pPr>
      <w:spacing w:after="480"/>
    </w:pPr>
  </w:style>
  <w:style w:type="paragraph" w:customStyle="1" w:styleId="NormalBoldCenter">
    <w:name w:val="NormalBoldCenter"/>
    <w:basedOn w:val="Normal"/>
    <w:rsid w:val="000D12B6"/>
    <w:pPr>
      <w:jc w:val="center"/>
    </w:pPr>
    <w:rPr>
      <w:b/>
    </w:rPr>
  </w:style>
  <w:style w:type="paragraph" w:customStyle="1" w:styleId="Normal6">
    <w:name w:val="Normal6"/>
    <w:basedOn w:val="Normal"/>
    <w:link w:val="Normal6Char"/>
    <w:rsid w:val="000D12B6"/>
    <w:pPr>
      <w:spacing w:after="120"/>
    </w:pPr>
  </w:style>
  <w:style w:type="paragraph" w:customStyle="1" w:styleId="Normal12Italic">
    <w:name w:val="Normal12Italic"/>
    <w:basedOn w:val="Normal"/>
    <w:rsid w:val="000D12B6"/>
    <w:pPr>
      <w:spacing w:after="240"/>
    </w:pPr>
    <w:rPr>
      <w:i/>
      <w:noProof/>
    </w:rPr>
  </w:style>
  <w:style w:type="character" w:customStyle="1" w:styleId="NormalBoldChar">
    <w:name w:val="NormalBold Char"/>
    <w:link w:val="NormalBold"/>
    <w:rsid w:val="000D12B6"/>
    <w:rPr>
      <w:b/>
      <w:sz w:val="24"/>
      <w:lang w:val="et-EE"/>
    </w:rPr>
  </w:style>
  <w:style w:type="paragraph" w:customStyle="1" w:styleId="JustificationTitle">
    <w:name w:val="JustificationTitle"/>
    <w:basedOn w:val="Normal"/>
    <w:next w:val="Normal"/>
    <w:rsid w:val="000D12B6"/>
    <w:pPr>
      <w:keepNext/>
      <w:spacing w:before="240" w:after="240"/>
      <w:jc w:val="center"/>
    </w:pPr>
    <w:rPr>
      <w:i/>
      <w:noProof/>
    </w:rPr>
  </w:style>
  <w:style w:type="character" w:customStyle="1" w:styleId="Normal6Char">
    <w:name w:val="Normal6 Char"/>
    <w:link w:val="Normal6"/>
    <w:rsid w:val="000D12B6"/>
    <w:rPr>
      <w:sz w:val="24"/>
      <w:lang w:val="et-EE"/>
    </w:rPr>
  </w:style>
  <w:style w:type="paragraph" w:customStyle="1" w:styleId="ColumnHeading">
    <w:name w:val="ColumnHeading"/>
    <w:basedOn w:val="Normal"/>
    <w:rsid w:val="000D12B6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0D12B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0D12B6"/>
    <w:pPr>
      <w:jc w:val="right"/>
    </w:pPr>
    <w:rPr>
      <w:lang w:val="et-EE"/>
    </w:rPr>
  </w:style>
  <w:style w:type="paragraph" w:styleId="BodyText">
    <w:name w:val="Body Text"/>
    <w:basedOn w:val="Normal"/>
    <w:link w:val="BodyTextChar"/>
    <w:uiPriority w:val="1"/>
    <w:unhideWhenUsed/>
    <w:qFormat/>
    <w:rsid w:val="000D12B6"/>
    <w:pPr>
      <w:autoSpaceDE w:val="0"/>
      <w:autoSpaceDN w:val="0"/>
      <w:spacing w:before="120"/>
      <w:ind w:left="116"/>
      <w:jc w:val="both"/>
    </w:pPr>
    <w:rPr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0D12B6"/>
    <w:rPr>
      <w:sz w:val="24"/>
      <w:szCs w:val="24"/>
      <w:lang w:val="et-EE" w:eastAsia="en-US"/>
    </w:rPr>
  </w:style>
  <w:style w:type="paragraph" w:styleId="CommentText">
    <w:name w:val="annotation text"/>
    <w:basedOn w:val="Normal"/>
    <w:link w:val="CommentTextChar"/>
    <w:unhideWhenUsed/>
    <w:rsid w:val="000D12B6"/>
    <w:pPr>
      <w:widowControl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D12B6"/>
    <w:rPr>
      <w:lang w:val="et-EE"/>
    </w:rPr>
  </w:style>
  <w:style w:type="character" w:styleId="CommentReference">
    <w:name w:val="annotation reference"/>
    <w:basedOn w:val="DefaultParagraphFont"/>
    <w:unhideWhenUsed/>
    <w:rsid w:val="000D12B6"/>
    <w:rPr>
      <w:sz w:val="16"/>
      <w:szCs w:val="16"/>
    </w:rPr>
  </w:style>
  <w:style w:type="paragraph" w:styleId="BalloonText">
    <w:name w:val="Balloon Text"/>
    <w:basedOn w:val="Normal"/>
    <w:link w:val="BalloonTextChar"/>
    <w:unhideWhenUsed/>
    <w:rsid w:val="000D12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D12B6"/>
    <w:rPr>
      <w:rFonts w:ascii="Segoe UI" w:hAnsi="Segoe UI" w:cs="Segoe UI"/>
      <w:sz w:val="18"/>
      <w:szCs w:val="18"/>
      <w:lang w:val="et-EE"/>
    </w:rPr>
  </w:style>
  <w:style w:type="paragraph" w:styleId="Footer">
    <w:name w:val="footer"/>
    <w:basedOn w:val="Normal"/>
    <w:link w:val="FooterChar"/>
    <w:rsid w:val="000D12B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D12B6"/>
    <w:rPr>
      <w:sz w:val="24"/>
      <w:lang w:val="et-E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0D12B6"/>
    <w:pPr>
      <w:widowControl w:val="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D12B6"/>
    <w:rPr>
      <w:b/>
      <w:bCs/>
      <w:lang w:val="et-EE"/>
    </w:rPr>
  </w:style>
  <w:style w:type="character" w:styleId="Hyperlink">
    <w:name w:val="Hyperlink"/>
    <w:basedOn w:val="DefaultParagraphFont"/>
    <w:uiPriority w:val="99"/>
    <w:rsid w:val="000D12B6"/>
    <w:rPr>
      <w:color w:val="0563C1" w:themeColor="hyperlink"/>
      <w:u w:val="single"/>
    </w:rPr>
  </w:style>
  <w:style w:type="character" w:customStyle="1" w:styleId="boldface">
    <w:name w:val="boldface"/>
    <w:basedOn w:val="DefaultParagraphFont"/>
    <w:rsid w:val="000D12B6"/>
  </w:style>
  <w:style w:type="paragraph" w:styleId="Revision">
    <w:name w:val="Revision"/>
    <w:hidden/>
    <w:uiPriority w:val="99"/>
    <w:semiHidden/>
    <w:rsid w:val="000D12B6"/>
    <w:rPr>
      <w:sz w:val="24"/>
      <w:lang w:val="et-EE"/>
    </w:rPr>
  </w:style>
  <w:style w:type="paragraph" w:customStyle="1" w:styleId="EntPE">
    <w:name w:val="EntPE"/>
    <w:basedOn w:val="Normal12"/>
    <w:rsid w:val="000D12B6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0D12B6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0D12B6"/>
    <w:rPr>
      <w:noProof/>
      <w:sz w:val="24"/>
      <w:lang w:val="et-EE"/>
    </w:rPr>
  </w:style>
  <w:style w:type="paragraph" w:customStyle="1" w:styleId="CrossRef">
    <w:name w:val="CrossRef"/>
    <w:basedOn w:val="Normal"/>
    <w:rsid w:val="000D12B6"/>
    <w:pPr>
      <w:spacing w:before="240"/>
      <w:jc w:val="center"/>
    </w:pPr>
    <w:rPr>
      <w:i/>
    </w:rPr>
  </w:style>
  <w:style w:type="character" w:customStyle="1" w:styleId="AmNumberTabsChar">
    <w:name w:val="AmNumberTabs Char"/>
    <w:basedOn w:val="DefaultParagraphFont"/>
    <w:link w:val="AmNumberTabs"/>
    <w:rsid w:val="000D12B6"/>
    <w:rPr>
      <w:b/>
      <w:sz w:val="24"/>
      <w:lang w:val="et-EE"/>
    </w:rPr>
  </w:style>
  <w:style w:type="character" w:customStyle="1" w:styleId="NormalBold12bChar">
    <w:name w:val="NormalBold12b Char"/>
    <w:basedOn w:val="AmNumberTabsChar"/>
    <w:link w:val="NormalBold12b"/>
    <w:rsid w:val="000D12B6"/>
    <w:rPr>
      <w:b/>
      <w:sz w:val="24"/>
      <w:lang w:val="et-EE"/>
    </w:rPr>
  </w:style>
  <w:style w:type="paragraph" w:customStyle="1" w:styleId="Point0number">
    <w:name w:val="Point 0 (number)"/>
    <w:basedOn w:val="Normal"/>
    <w:rsid w:val="000D12B6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0D12B6"/>
    <w:pPr>
      <w:widowControl/>
      <w:numPr>
        <w:ilvl w:val="2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0D12B6"/>
    <w:pPr>
      <w:widowControl/>
      <w:numPr>
        <w:ilvl w:val="4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0D12B6"/>
    <w:pPr>
      <w:widowControl/>
      <w:numPr>
        <w:ilvl w:val="6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0D12B6"/>
    <w:pPr>
      <w:widowControl/>
      <w:numPr>
        <w:ilvl w:val="1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0D12B6"/>
    <w:pPr>
      <w:widowControl/>
      <w:numPr>
        <w:ilvl w:val="3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0D12B6"/>
    <w:pPr>
      <w:widowControl/>
      <w:numPr>
        <w:ilvl w:val="5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0D12B6"/>
    <w:pPr>
      <w:widowControl/>
      <w:numPr>
        <w:ilvl w:val="7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0D12B6"/>
    <w:pPr>
      <w:widowControl/>
      <w:numPr>
        <w:ilvl w:val="8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0D12B6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Normal12a">
    <w:name w:val="Normal12a"/>
    <w:basedOn w:val="Normal"/>
    <w:rsid w:val="000D12B6"/>
    <w:pPr>
      <w:spacing w:after="240"/>
    </w:pPr>
  </w:style>
  <w:style w:type="paragraph" w:customStyle="1" w:styleId="RollCallVotes">
    <w:name w:val="RollCallVotes"/>
    <w:basedOn w:val="Normal"/>
    <w:rsid w:val="000D12B6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0D12B6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0D12B6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0D12B6"/>
    <w:pPr>
      <w:spacing w:before="120" w:after="120"/>
    </w:pPr>
    <w:rPr>
      <w:snapToGrid w:val="0"/>
      <w:sz w:val="16"/>
      <w:lang w:eastAsia="en-US"/>
    </w:rPr>
  </w:style>
  <w:style w:type="paragraph" w:customStyle="1" w:styleId="PageHeadingNotTOC">
    <w:name w:val="PageHeadingNotTOC"/>
    <w:basedOn w:val="Normal"/>
    <w:rsid w:val="000D12B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0D12B6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styleId="FollowedHyperlink">
    <w:name w:val="FollowedHyperlink"/>
    <w:basedOn w:val="DefaultParagraphFont"/>
    <w:unhideWhenUsed/>
    <w:rsid w:val="000D12B6"/>
    <w:rPr>
      <w:color w:val="954F72" w:themeColor="followedHyperlink"/>
      <w:u w:val="single"/>
    </w:rPr>
  </w:style>
  <w:style w:type="paragraph" w:customStyle="1" w:styleId="Statut">
    <w:name w:val="Statut"/>
    <w:basedOn w:val="Normal"/>
    <w:next w:val="Normal"/>
    <w:rsid w:val="00986D9B"/>
    <w:pPr>
      <w:widowControl/>
      <w:spacing w:before="360"/>
      <w:jc w:val="center"/>
    </w:pPr>
    <w:rPr>
      <w:szCs w:val="24"/>
      <w:lang w:eastAsia="de-DE"/>
    </w:rPr>
  </w:style>
  <w:style w:type="character" w:customStyle="1" w:styleId="Hyperlink1">
    <w:name w:val="Hyperlink1"/>
    <w:basedOn w:val="DefaultParagraphFont"/>
    <w:uiPriority w:val="99"/>
    <w:unhideWhenUsed/>
    <w:rsid w:val="00986D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88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EF8BB1-FE1F-4FAE-8A01-3EF2D6DCF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348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HIRV Joel</dc:creator>
  <cp:keywords/>
  <cp:lastModifiedBy>HIRV Joel</cp:lastModifiedBy>
  <cp:revision>2</cp:revision>
  <cp:lastPrinted>2004-11-19T15:42:00Z</cp:lastPrinted>
  <dcterms:created xsi:type="dcterms:W3CDTF">2024-07-25T14:42:00Z</dcterms:created>
  <dcterms:modified xsi:type="dcterms:W3CDTF">2024-07-25T14:42:00Z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P9_TA(2024)0193_</vt:lpwstr>
  </property>
  <property fmtid="{D5CDD505-2E9C-101B-9397-08002B2CF9AE}" pid="4" name="&lt;Type&gt;">
    <vt:lpwstr>RR</vt:lpwstr>
  </property>
</Properties>
</file>