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DE5" w:rsidTr="0010095E">
        <w:trPr>
          <w:trHeight w:hRule="exact" w:val="1418"/>
        </w:trPr>
        <w:tc>
          <w:tcPr>
            <w:tcW w:w="6804" w:type="dxa"/>
            <w:shd w:val="clear" w:color="auto" w:fill="auto"/>
            <w:vAlign w:val="center"/>
          </w:tcPr>
          <w:p w:rsidR="00751A4A" w:rsidRPr="00A04DE5" w:rsidRDefault="00AB6DDD" w:rsidP="0010095E">
            <w:pPr>
              <w:pStyle w:val="EPName"/>
            </w:pPr>
            <w:r w:rsidRPr="00A04DE5">
              <w:t>Parlement européen</w:t>
            </w:r>
          </w:p>
          <w:p w:rsidR="00751A4A" w:rsidRPr="00A04DE5" w:rsidRDefault="00817416" w:rsidP="00756632">
            <w:pPr>
              <w:pStyle w:val="EPTerm"/>
              <w:rPr>
                <w:rStyle w:val="HideTWBExt"/>
                <w:noProof w:val="0"/>
                <w:vanish w:val="0"/>
                <w:color w:val="auto"/>
              </w:rPr>
            </w:pPr>
            <w:r w:rsidRPr="00A04DE5">
              <w:t>2019-2024</w:t>
            </w:r>
          </w:p>
        </w:tc>
        <w:tc>
          <w:tcPr>
            <w:tcW w:w="2268" w:type="dxa"/>
            <w:shd w:val="clear" w:color="auto" w:fill="auto"/>
          </w:tcPr>
          <w:p w:rsidR="00751A4A" w:rsidRPr="00A04DE5" w:rsidRDefault="00187494" w:rsidP="0010095E">
            <w:pPr>
              <w:pStyle w:val="EPLogo"/>
            </w:pPr>
            <w:r w:rsidRPr="00A04D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4DE5" w:rsidRDefault="00D058B8" w:rsidP="004C5D52">
      <w:pPr>
        <w:pStyle w:val="LineTop"/>
      </w:pPr>
    </w:p>
    <w:p w:rsidR="00680577" w:rsidRPr="00A04DE5" w:rsidRDefault="00AB6DDD" w:rsidP="00680577">
      <w:pPr>
        <w:pStyle w:val="EPBodyTA1"/>
      </w:pPr>
      <w:r w:rsidRPr="00A04DE5">
        <w:t>TEXTES ADOPTÉS</w:t>
      </w:r>
    </w:p>
    <w:p w:rsidR="00D058B8" w:rsidRPr="00A04DE5" w:rsidRDefault="00D058B8" w:rsidP="00D058B8">
      <w:pPr>
        <w:pStyle w:val="LineBottom"/>
      </w:pPr>
    </w:p>
    <w:p w:rsidR="00AB6DDD" w:rsidRPr="00A04DE5" w:rsidRDefault="00AB6DDD" w:rsidP="00AB6DDD">
      <w:pPr>
        <w:pStyle w:val="ATHeading1"/>
      </w:pPr>
      <w:bookmarkStart w:id="0" w:name="TANumber"/>
      <w:r w:rsidRPr="00A04DE5">
        <w:t>P9_</w:t>
      </w:r>
      <w:proofErr w:type="gramStart"/>
      <w:r w:rsidRPr="00A04DE5">
        <w:t>TA(</w:t>
      </w:r>
      <w:proofErr w:type="gramEnd"/>
      <w:r w:rsidRPr="00A04DE5">
        <w:t>2024)0</w:t>
      </w:r>
      <w:r w:rsidR="00087BCA" w:rsidRPr="00A04DE5">
        <w:t>193</w:t>
      </w:r>
      <w:bookmarkEnd w:id="0"/>
    </w:p>
    <w:p w:rsidR="00AB6DDD" w:rsidRPr="00A04DE5" w:rsidRDefault="009D6691" w:rsidP="00AB6DDD">
      <w:pPr>
        <w:pStyle w:val="ATHeading2"/>
      </w:pPr>
      <w:r w:rsidRPr="00A04DE5">
        <w:t>Aliments destinés à la consommation humaine: modification de certaines des directives dites "petit-déjeuner"</w:t>
      </w:r>
    </w:p>
    <w:p w:rsidR="00AB6DDD" w:rsidRPr="00A04DE5" w:rsidRDefault="00AB6DDD" w:rsidP="00AB6DDD">
      <w:pPr>
        <w:rPr>
          <w:i/>
          <w:vanish/>
        </w:rPr>
      </w:pPr>
      <w:r w:rsidRPr="00A04DE5">
        <w:rPr>
          <w:i/>
        </w:rPr>
        <w:fldChar w:fldCharType="begin"/>
      </w:r>
      <w:r w:rsidRPr="00A04DE5">
        <w:rPr>
          <w:i/>
        </w:rPr>
        <w:instrText xml:space="preserve"> TC"(</w:instrText>
      </w:r>
      <w:bookmarkStart w:id="1" w:name="DocNumber"/>
      <w:r w:rsidRPr="00A04DE5">
        <w:rPr>
          <w:i/>
        </w:rPr>
        <w:instrText>A9-0385/2023</w:instrText>
      </w:r>
      <w:bookmarkEnd w:id="1"/>
      <w:r w:rsidRPr="00A04DE5">
        <w:rPr>
          <w:i/>
        </w:rPr>
        <w:instrText xml:space="preserve"> - Rapporteur: Alexander Bernhuber)"\l3 \n&gt; \* MERGEFORMAT </w:instrText>
      </w:r>
      <w:r w:rsidRPr="00A04DE5">
        <w:rPr>
          <w:i/>
        </w:rPr>
        <w:fldChar w:fldCharType="end"/>
      </w:r>
    </w:p>
    <w:p w:rsidR="00AB6DDD" w:rsidRPr="00A04DE5" w:rsidRDefault="00AB6DDD" w:rsidP="00AB6DDD">
      <w:pPr>
        <w:rPr>
          <w:vanish/>
        </w:rPr>
      </w:pPr>
      <w:bookmarkStart w:id="2" w:name="Commission"/>
      <w:r w:rsidRPr="00A04DE5">
        <w:rPr>
          <w:vanish/>
        </w:rPr>
        <w:t>Commission de l’environne</w:t>
      </w:r>
      <w:bookmarkStart w:id="3" w:name="_GoBack"/>
      <w:bookmarkEnd w:id="3"/>
      <w:r w:rsidRPr="00A04DE5">
        <w:rPr>
          <w:vanish/>
        </w:rPr>
        <w:t>ment, de la santé publique et de la sécurité alimentaire</w:t>
      </w:r>
      <w:bookmarkEnd w:id="2"/>
    </w:p>
    <w:p w:rsidR="00AB6DDD" w:rsidRPr="00A04DE5" w:rsidRDefault="00AB6DDD" w:rsidP="00AB6DDD">
      <w:pPr>
        <w:rPr>
          <w:vanish/>
        </w:rPr>
      </w:pPr>
      <w:bookmarkStart w:id="4" w:name="PE"/>
      <w:r w:rsidRPr="00A04DE5">
        <w:rPr>
          <w:vanish/>
        </w:rPr>
        <w:t>PE752.665</w:t>
      </w:r>
      <w:bookmarkEnd w:id="4"/>
    </w:p>
    <w:p w:rsidR="00AB6DDD" w:rsidRPr="00A04DE5" w:rsidRDefault="00AB6DDD" w:rsidP="00AB6DDD">
      <w:pPr>
        <w:pStyle w:val="ATHeading3"/>
      </w:pPr>
      <w:bookmarkStart w:id="5" w:name="Sujet"/>
      <w:r w:rsidRPr="00A04DE5">
        <w:t xml:space="preserve">Résolution législative du Parlement européen du </w:t>
      </w:r>
      <w:r w:rsidR="00D570F4" w:rsidRPr="00A04DE5">
        <w:t>10 avril</w:t>
      </w:r>
      <w:r w:rsidRPr="00A04DE5">
        <w:t xml:space="preserve"> 2024 sur la proposition de directive du Parlement européen et du Conseil modifiant la directive 2001/110/CE du Conseil relative au miel, la directive 2001/112/CE du Conseil relative aux jus de fruits et à certains produits similaires destinés à l’alimentation humaine, la directive 2001/113/CE du Conseil relative aux confitures, gelées et marmelades de fruits, ainsi qu’à la crème de marrons, destinées à l’alimentation humaine, et la directive 2001/114/CE du Conseil relative à certains laits de conserve partiellement ou totalement déshydratés destinés à l’alimentation humaine</w:t>
      </w:r>
      <w:bookmarkEnd w:id="5"/>
      <w:r w:rsidRPr="00A04DE5">
        <w:t xml:space="preserve"> </w:t>
      </w:r>
      <w:bookmarkStart w:id="6" w:name="References"/>
      <w:r w:rsidRPr="00A04DE5">
        <w:t>(COM(2023)0201 – C9-</w:t>
      </w:r>
      <w:r w:rsidR="00BD4CBD" w:rsidRPr="00A04DE5">
        <w:t>0</w:t>
      </w:r>
      <w:r w:rsidRPr="00A04DE5">
        <w:t>140/2023 – 2023/0105(COD))</w:t>
      </w:r>
      <w:bookmarkEnd w:id="6"/>
    </w:p>
    <w:p w:rsidR="00C66FCC" w:rsidRPr="00A04DE5" w:rsidRDefault="00C66FCC" w:rsidP="00C66FCC">
      <w:pPr>
        <w:pStyle w:val="NormalBold"/>
        <w:widowControl/>
      </w:pPr>
      <w:bookmarkStart w:id="7" w:name="TextBodyBegin"/>
      <w:bookmarkEnd w:id="7"/>
      <w:r w:rsidRPr="00A04DE5">
        <w:t>(Procédure législative ordinaire: première lecture)</w:t>
      </w:r>
    </w:p>
    <w:p w:rsidR="00C66FCC" w:rsidRPr="00A04DE5" w:rsidRDefault="00C66FCC" w:rsidP="00C66FCC">
      <w:pPr>
        <w:pStyle w:val="EPComma"/>
        <w:widowControl/>
      </w:pPr>
      <w:r w:rsidRPr="00A04DE5">
        <w:rPr>
          <w:i/>
        </w:rPr>
        <w:t>Le Parlement européen</w:t>
      </w:r>
      <w:r w:rsidRPr="00A04DE5">
        <w:t>,</w:t>
      </w:r>
    </w:p>
    <w:p w:rsidR="00C66FCC" w:rsidRPr="00A04DE5" w:rsidRDefault="00C66FCC" w:rsidP="00C66FCC">
      <w:pPr>
        <w:pStyle w:val="NormalHanging12a"/>
        <w:widowControl/>
      </w:pPr>
      <w:r w:rsidRPr="00A04DE5">
        <w:t>–</w:t>
      </w:r>
      <w:r w:rsidRPr="00A04DE5">
        <w:tab/>
        <w:t>vu la proposition de la Commission au Parlement européen et au Conseil (</w:t>
      </w:r>
      <w:proofErr w:type="gramStart"/>
      <w:r w:rsidRPr="00A04DE5">
        <w:t>COM(</w:t>
      </w:r>
      <w:proofErr w:type="gramEnd"/>
      <w:r w:rsidRPr="00A04DE5">
        <w:t>2023)0201),</w:t>
      </w:r>
    </w:p>
    <w:p w:rsidR="00C66FCC" w:rsidRPr="00A04DE5" w:rsidRDefault="00C66FCC" w:rsidP="00C66FCC">
      <w:pPr>
        <w:pStyle w:val="NormalHanging12a"/>
        <w:widowControl/>
      </w:pPr>
      <w:r w:rsidRPr="00A04DE5">
        <w:t>–</w:t>
      </w:r>
      <w:r w:rsidRPr="00A04DE5">
        <w:tab/>
        <w:t>vu l’article 294, paragraphe 2, et l’article 43, paragraphe 2, du traité sur le fonctionnement de l’Union européenne, conformément auxquels la proposition lui a été présentée par la Commission (C9</w:t>
      </w:r>
      <w:r w:rsidRPr="00A04DE5">
        <w:noBreakHyphen/>
      </w:r>
      <w:r w:rsidR="009D6691" w:rsidRPr="00A04DE5">
        <w:t>0</w:t>
      </w:r>
      <w:r w:rsidRPr="00A04DE5">
        <w:t>140/2023),</w:t>
      </w:r>
    </w:p>
    <w:p w:rsidR="00C66FCC" w:rsidRPr="00A04DE5" w:rsidRDefault="00C66FCC" w:rsidP="00C66FCC">
      <w:pPr>
        <w:pStyle w:val="NormalHanging12a"/>
        <w:widowControl/>
      </w:pPr>
      <w:r w:rsidRPr="00A04DE5">
        <w:t>–</w:t>
      </w:r>
      <w:r w:rsidRPr="00A04DE5">
        <w:tab/>
        <w:t>vu l’article 294, paragraphe 3, du traité sur le fonctionnement de l’Union européenne,</w:t>
      </w:r>
    </w:p>
    <w:p w:rsidR="00C66FCC" w:rsidRPr="00A04DE5" w:rsidRDefault="00C66FCC" w:rsidP="00C66FCC">
      <w:pPr>
        <w:pStyle w:val="NormalHanging12a"/>
        <w:widowControl/>
      </w:pPr>
      <w:r w:rsidRPr="00A04DE5">
        <w:t>–</w:t>
      </w:r>
      <w:r w:rsidRPr="00A04DE5">
        <w:tab/>
        <w:t>vu l’avis du Comité économique et social européen du 21 septembre 2023</w:t>
      </w:r>
      <w:r w:rsidRPr="00A04DE5">
        <w:rPr>
          <w:rStyle w:val="FootnoteReference"/>
        </w:rPr>
        <w:footnoteReference w:id="1"/>
      </w:r>
      <w:r w:rsidRPr="00A04DE5">
        <w:t>,</w:t>
      </w:r>
    </w:p>
    <w:p w:rsidR="00C66FCC" w:rsidRPr="00A04DE5" w:rsidRDefault="00C66FCC" w:rsidP="00C66FCC">
      <w:pPr>
        <w:pStyle w:val="NormalHanging12a"/>
        <w:widowControl/>
      </w:pPr>
      <w:r w:rsidRPr="00A04DE5">
        <w:t>–</w:t>
      </w:r>
      <w:r w:rsidRPr="00A04DE5">
        <w:tab/>
      </w:r>
      <w:r w:rsidR="009D6691" w:rsidRPr="00A04DE5">
        <w:t>après consultation</w:t>
      </w:r>
      <w:r w:rsidRPr="00A04DE5">
        <w:t xml:space="preserve"> du Comité des régions,</w:t>
      </w:r>
    </w:p>
    <w:p w:rsidR="009D6691" w:rsidRPr="00A04DE5" w:rsidRDefault="009D6691" w:rsidP="009D6691">
      <w:pPr>
        <w:pStyle w:val="NormalHanging12a"/>
        <w:widowControl/>
      </w:pPr>
      <w:r w:rsidRPr="00A04DE5">
        <w:t>–</w:t>
      </w:r>
      <w:r w:rsidRPr="00A04DE5">
        <w:tab/>
        <w:t>vu l’accord provisoire approuvé en vertu de l’article 74, paragraphe 4, de son règlement intérieur par la commission compétente et l’engagement pris par le représentant du Conseil, par lettre du 12 février 2024, d’approuver la position du Parlement européen, conformément à l’article 294, paragraphe 4, du traité sur le fonctionnement de l’Union européenne,</w:t>
      </w:r>
    </w:p>
    <w:p w:rsidR="00C66FCC" w:rsidRPr="00A04DE5" w:rsidRDefault="00C66FCC" w:rsidP="00C66FCC">
      <w:pPr>
        <w:pStyle w:val="NormalHanging12a"/>
        <w:widowControl/>
      </w:pPr>
      <w:r w:rsidRPr="00A04DE5">
        <w:t>–</w:t>
      </w:r>
      <w:r w:rsidRPr="00A04DE5">
        <w:tab/>
        <w:t>vu l’article 59 de son règlement intérieur,</w:t>
      </w:r>
    </w:p>
    <w:p w:rsidR="00C66FCC" w:rsidRPr="00A04DE5" w:rsidRDefault="00C66FCC" w:rsidP="00C66FCC">
      <w:pPr>
        <w:pStyle w:val="NormalHanging12a"/>
        <w:widowControl/>
      </w:pPr>
      <w:r w:rsidRPr="00A04DE5">
        <w:t>–</w:t>
      </w:r>
      <w:r w:rsidRPr="00A04DE5">
        <w:tab/>
        <w:t>vu l’avis de la commission de l’agriculture et du développement rural,</w:t>
      </w:r>
    </w:p>
    <w:p w:rsidR="00C66FCC" w:rsidRPr="00A04DE5" w:rsidRDefault="00C66FCC" w:rsidP="00C66FCC">
      <w:pPr>
        <w:pStyle w:val="NormalHanging12a"/>
        <w:widowControl/>
      </w:pPr>
      <w:r w:rsidRPr="00A04DE5">
        <w:lastRenderedPageBreak/>
        <w:t>–</w:t>
      </w:r>
      <w:r w:rsidRPr="00A04DE5">
        <w:tab/>
        <w:t>vu le rapport de la commission de l’environnement, de la santé publique et de la sécurité alimentaire (A9-0385/2023),</w:t>
      </w:r>
    </w:p>
    <w:p w:rsidR="00C66FCC" w:rsidRPr="00A04DE5" w:rsidRDefault="00C66FCC" w:rsidP="00C66FCC">
      <w:pPr>
        <w:pStyle w:val="NormalHanging12a"/>
        <w:widowControl/>
      </w:pPr>
      <w:r w:rsidRPr="00A04DE5">
        <w:t>1.</w:t>
      </w:r>
      <w:r w:rsidRPr="00A04DE5">
        <w:tab/>
        <w:t>arrête la position en première lecture figurant ci-après</w:t>
      </w:r>
      <w:r w:rsidR="009D6691" w:rsidRPr="00A04DE5">
        <w:rPr>
          <w:rStyle w:val="FootnoteReference"/>
        </w:rPr>
        <w:footnoteReference w:id="2"/>
      </w:r>
      <w:r w:rsidRPr="00A04DE5">
        <w:t>;</w:t>
      </w:r>
    </w:p>
    <w:p w:rsidR="00C66FCC" w:rsidRPr="00A04DE5" w:rsidRDefault="00C66FCC" w:rsidP="00C66FCC">
      <w:pPr>
        <w:pStyle w:val="NormalHanging12a"/>
        <w:widowControl/>
      </w:pPr>
      <w:r w:rsidRPr="00A04DE5">
        <w:t>2.</w:t>
      </w:r>
      <w:r w:rsidRPr="00A04DE5">
        <w:tab/>
        <w:t>demande à la Commission de le saisir à nouveau, si elle remplace, modifie de manière substantielle ou entend modifier de manière substantielle sa proposition;</w:t>
      </w:r>
    </w:p>
    <w:p w:rsidR="00304D3B" w:rsidRPr="00A04DE5" w:rsidRDefault="00C66FCC" w:rsidP="00C66FCC">
      <w:pPr>
        <w:pStyle w:val="NormalHanging12a"/>
        <w:widowControl/>
        <w:sectPr w:rsidR="00304D3B" w:rsidRPr="00A04DE5" w:rsidSect="00931029">
          <w:headerReference w:type="default" r:id="rId9"/>
          <w:headerReference w:type="first" r:id="rId10"/>
          <w:footnotePr>
            <w:numRestart w:val="eachSect"/>
          </w:footnotePr>
          <w:pgSz w:w="11907" w:h="16840" w:code="9"/>
          <w:pgMar w:top="624" w:right="1134" w:bottom="1134" w:left="1134" w:header="567" w:footer="567" w:gutter="0"/>
          <w:pgNumType w:start="1"/>
          <w:cols w:space="720"/>
          <w:titlePg/>
          <w:docGrid w:linePitch="360"/>
        </w:sectPr>
      </w:pPr>
      <w:r w:rsidRPr="00A04DE5">
        <w:t>3.</w:t>
      </w:r>
      <w:r w:rsidRPr="00A04DE5">
        <w:tab/>
        <w:t>charge sa Présidente de transmettre la position du Parlement au Conseil et à la Commission ainsi qu’aux parlements nationaux.</w:t>
      </w:r>
    </w:p>
    <w:p w:rsidR="009D6691" w:rsidRPr="00A04DE5" w:rsidRDefault="009D6691" w:rsidP="009D6691">
      <w:pPr>
        <w:spacing w:after="240"/>
        <w:rPr>
          <w:b/>
        </w:rPr>
      </w:pPr>
      <w:r w:rsidRPr="00A04DE5">
        <w:rPr>
          <w:b/>
        </w:rPr>
        <w:lastRenderedPageBreak/>
        <w:t>P9_TC1-</w:t>
      </w:r>
      <w:proofErr w:type="gramStart"/>
      <w:r w:rsidRPr="00A04DE5">
        <w:rPr>
          <w:b/>
        </w:rPr>
        <w:t>COD(</w:t>
      </w:r>
      <w:proofErr w:type="gramEnd"/>
      <w:r w:rsidRPr="00A04DE5">
        <w:rPr>
          <w:b/>
        </w:rPr>
        <w:t>2023)0105</w:t>
      </w:r>
    </w:p>
    <w:p w:rsidR="00931029" w:rsidRDefault="009D6691" w:rsidP="006A722E">
      <w:pPr>
        <w:widowControl/>
        <w:autoSpaceDE w:val="0"/>
        <w:autoSpaceDN w:val="0"/>
        <w:adjustRightInd w:val="0"/>
        <w:spacing w:before="120" w:after="120"/>
        <w:rPr>
          <w:rFonts w:eastAsia="Calibri"/>
          <w:b/>
          <w:bCs/>
          <w:szCs w:val="24"/>
        </w:rPr>
      </w:pPr>
      <w:r w:rsidRPr="00A04DE5">
        <w:rPr>
          <w:rFonts w:eastAsia="Calibri"/>
          <w:b/>
          <w:bCs/>
          <w:szCs w:val="24"/>
        </w:rPr>
        <w:t xml:space="preserve">Position du Parlement européen arrêtée en première lecture le 10 avril 2024 en vue de </w:t>
      </w:r>
      <w:r w:rsidR="00E35A53" w:rsidRPr="00A04DE5">
        <w:rPr>
          <w:rFonts w:eastAsia="Calibri"/>
          <w:b/>
          <w:bCs/>
          <w:szCs w:val="24"/>
        </w:rPr>
        <w:t>l’adoption d</w:t>
      </w:r>
      <w:r w:rsidRPr="00A04DE5">
        <w:rPr>
          <w:rFonts w:eastAsia="Calibri"/>
          <w:b/>
          <w:bCs/>
          <w:szCs w:val="24"/>
        </w:rPr>
        <w:t xml:space="preserve">e la directive </w:t>
      </w:r>
      <w:r w:rsidR="00E35A53" w:rsidRPr="00A04DE5">
        <w:rPr>
          <w:rFonts w:eastAsia="Calibri"/>
          <w:b/>
          <w:bCs/>
          <w:szCs w:val="24"/>
        </w:rPr>
        <w:t xml:space="preserve">(UE) </w:t>
      </w:r>
      <w:r w:rsidRPr="00A04DE5">
        <w:rPr>
          <w:rFonts w:eastAsia="Calibri"/>
          <w:b/>
          <w:bCs/>
          <w:szCs w:val="24"/>
        </w:rPr>
        <w:t xml:space="preserve">2024/... du Parlement européen et du Conseil </w:t>
      </w:r>
      <w:r w:rsidR="00931029" w:rsidRPr="00A04DE5">
        <w:rPr>
          <w:rFonts w:eastAsia="Calibri"/>
          <w:b/>
          <w:bCs/>
          <w:szCs w:val="24"/>
        </w:rPr>
        <w:t>modifiant les directives du Conseil 2001/110/CE relative au miel, 2001/112/CE relative aux jus de fruits et à certains produits similaires destinés à l'alimentation humaine, 2001/113/CE relative aux confitures, gelées et marmelades de fruits, ainsi qu'à la crème de marrons, destinées à l'alimentation humaine, et 2001/114/CE relative à certains laits de conserve partiellement ou totalement déshydratés destinés à l'alimentation humaine</w:t>
      </w:r>
    </w:p>
    <w:p w:rsidR="006A722E" w:rsidRPr="00EB53D5" w:rsidRDefault="006A722E" w:rsidP="006A722E">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final, la directive </w:t>
      </w:r>
      <w:r>
        <w:rPr>
          <w:b w:val="0"/>
          <w:i/>
        </w:rPr>
        <w:t>(UE) 2024</w:t>
      </w:r>
      <w:r>
        <w:rPr>
          <w:b w:val="0"/>
          <w:i/>
        </w:rPr>
        <w:t>/1438</w:t>
      </w:r>
      <w:r w:rsidRPr="00EB53D5">
        <w:rPr>
          <w:b w:val="0"/>
          <w:i/>
        </w:rPr>
        <w:t>.)</w:t>
      </w:r>
    </w:p>
    <w:p w:rsidR="006A722E" w:rsidRPr="006A722E" w:rsidRDefault="006A722E" w:rsidP="006A722E">
      <w:pPr>
        <w:widowControl/>
        <w:autoSpaceDE w:val="0"/>
        <w:autoSpaceDN w:val="0"/>
        <w:adjustRightInd w:val="0"/>
        <w:spacing w:before="120" w:after="120"/>
        <w:rPr>
          <w:rFonts w:eastAsia="Calibri"/>
          <w:b/>
          <w:bCs/>
          <w:szCs w:val="24"/>
        </w:rPr>
      </w:pPr>
    </w:p>
    <w:sectPr w:rsidR="006A722E" w:rsidRPr="006A722E" w:rsidSect="007A0A4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DDD" w:rsidRPr="007A0A45" w:rsidRDefault="00AB6DDD">
      <w:r w:rsidRPr="007A0A45">
        <w:separator/>
      </w:r>
    </w:p>
  </w:endnote>
  <w:endnote w:type="continuationSeparator" w:id="0">
    <w:p w:rsidR="00AB6DDD" w:rsidRPr="007A0A45" w:rsidRDefault="00AB6DDD">
      <w:r w:rsidRPr="007A0A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A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A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A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DDD" w:rsidRPr="007A0A45" w:rsidRDefault="00AB6DDD">
      <w:r w:rsidRPr="007A0A45">
        <w:separator/>
      </w:r>
    </w:p>
  </w:footnote>
  <w:footnote w:type="continuationSeparator" w:id="0">
    <w:p w:rsidR="00AB6DDD" w:rsidRPr="007A0A45" w:rsidRDefault="00AB6DDD">
      <w:r w:rsidRPr="007A0A45">
        <w:continuationSeparator/>
      </w:r>
    </w:p>
  </w:footnote>
  <w:footnote w:id="1">
    <w:p w:rsidR="00C66FCC" w:rsidRPr="00BD4CBD" w:rsidRDefault="00C66FCC" w:rsidP="007A0A45">
      <w:pPr>
        <w:pStyle w:val="FootnoteText"/>
        <w:ind w:left="567" w:hanging="567"/>
        <w:rPr>
          <w:sz w:val="24"/>
          <w:lang w:val="fi-FI"/>
        </w:rPr>
      </w:pPr>
      <w:r w:rsidRPr="007A0A45">
        <w:rPr>
          <w:rStyle w:val="FootnoteReference"/>
          <w:sz w:val="24"/>
        </w:rPr>
        <w:footnoteRef/>
      </w:r>
      <w:r w:rsidR="007A0A45" w:rsidRPr="00BD4CBD">
        <w:rPr>
          <w:sz w:val="24"/>
          <w:lang w:val="fi-FI"/>
        </w:rPr>
        <w:t xml:space="preserve"> </w:t>
      </w:r>
      <w:r w:rsidR="007A0A45" w:rsidRPr="00BD4CBD">
        <w:rPr>
          <w:sz w:val="24"/>
          <w:lang w:val="fi-FI"/>
        </w:rPr>
        <w:tab/>
      </w:r>
      <w:r w:rsidRPr="00BD4CBD">
        <w:rPr>
          <w:sz w:val="24"/>
          <w:lang w:val="fi-FI"/>
        </w:rPr>
        <w:t>JO C</w:t>
      </w:r>
      <w:r w:rsidR="009D6691">
        <w:rPr>
          <w:sz w:val="24"/>
          <w:lang w:val="fi-FI"/>
        </w:rPr>
        <w:t>, C/</w:t>
      </w:r>
      <w:r w:rsidR="009D6691" w:rsidRPr="00304D3B">
        <w:rPr>
          <w:sz w:val="24"/>
          <w:lang w:val="fi-FI"/>
        </w:rPr>
        <w:t>2023</w:t>
      </w:r>
      <w:r w:rsidR="009D6691">
        <w:rPr>
          <w:sz w:val="24"/>
          <w:lang w:val="fi-FI"/>
        </w:rPr>
        <w:t>/</w:t>
      </w:r>
      <w:r w:rsidR="009D6691" w:rsidRPr="00304D3B">
        <w:rPr>
          <w:sz w:val="24"/>
          <w:lang w:val="fi-FI"/>
        </w:rPr>
        <w:t>881</w:t>
      </w:r>
      <w:r w:rsidR="00BD4CBD">
        <w:rPr>
          <w:sz w:val="24"/>
          <w:lang w:val="fi-FI"/>
        </w:rPr>
        <w:t>,</w:t>
      </w:r>
      <w:r w:rsidR="009D6691">
        <w:rPr>
          <w:sz w:val="24"/>
          <w:lang w:val="fi-FI"/>
        </w:rPr>
        <w:t xml:space="preserve"> </w:t>
      </w:r>
      <w:r w:rsidR="009D6691" w:rsidRPr="00304D3B">
        <w:rPr>
          <w:sz w:val="24"/>
          <w:lang w:val="fi-FI"/>
        </w:rPr>
        <w:t>8</w:t>
      </w:r>
      <w:r w:rsidR="009D6691" w:rsidRPr="00BD4CBD">
        <w:rPr>
          <w:sz w:val="24"/>
          <w:lang w:val="fi-FI"/>
        </w:rPr>
        <w:t>.</w:t>
      </w:r>
      <w:r w:rsidR="009D6691" w:rsidRPr="00304D3B">
        <w:rPr>
          <w:sz w:val="24"/>
          <w:lang w:val="fi-FI"/>
        </w:rPr>
        <w:t>12</w:t>
      </w:r>
      <w:r w:rsidR="009D6691" w:rsidRPr="00BD4CBD">
        <w:rPr>
          <w:sz w:val="24"/>
          <w:lang w:val="fi-FI"/>
        </w:rPr>
        <w:t>.</w:t>
      </w:r>
      <w:r w:rsidR="009D6691" w:rsidRPr="00304D3B">
        <w:rPr>
          <w:sz w:val="24"/>
          <w:lang w:val="fi-FI"/>
        </w:rPr>
        <w:t>2023</w:t>
      </w:r>
      <w:r w:rsidR="009D6691" w:rsidRPr="00BD4CBD">
        <w:rPr>
          <w:sz w:val="24"/>
          <w:lang w:val="fi-FI"/>
        </w:rPr>
        <w:t>, ELI: http://data.europa.eu/eli/C/</w:t>
      </w:r>
      <w:r w:rsidR="009D6691" w:rsidRPr="00304D3B">
        <w:rPr>
          <w:sz w:val="24"/>
          <w:lang w:val="fi-FI"/>
        </w:rPr>
        <w:t>2023</w:t>
      </w:r>
      <w:r w:rsidR="009D6691" w:rsidRPr="00BD4CBD">
        <w:rPr>
          <w:sz w:val="24"/>
          <w:lang w:val="fi-FI"/>
        </w:rPr>
        <w:t>/</w:t>
      </w:r>
      <w:r w:rsidR="009D6691" w:rsidRPr="00304D3B">
        <w:rPr>
          <w:sz w:val="24"/>
          <w:lang w:val="fi-FI"/>
        </w:rPr>
        <w:t>881</w:t>
      </w:r>
      <w:r w:rsidR="009D6691" w:rsidRPr="00BD4CBD">
        <w:rPr>
          <w:sz w:val="24"/>
          <w:lang w:val="fi-FI"/>
        </w:rPr>
        <w:t>/oj</w:t>
      </w:r>
      <w:r w:rsidRPr="00BD4CBD">
        <w:rPr>
          <w:sz w:val="24"/>
          <w:lang w:val="fi-FI"/>
        </w:rPr>
        <w:t>.</w:t>
      </w:r>
    </w:p>
  </w:footnote>
  <w:footnote w:id="2">
    <w:p w:rsidR="009D6691" w:rsidRPr="00087BCA" w:rsidRDefault="009D6691" w:rsidP="00BD4CBD">
      <w:pPr>
        <w:pStyle w:val="FootnoteText"/>
        <w:ind w:left="709" w:hanging="709"/>
        <w:rPr>
          <w:sz w:val="24"/>
          <w:szCs w:val="24"/>
        </w:rPr>
      </w:pPr>
      <w:r w:rsidRPr="00087BCA">
        <w:rPr>
          <w:rStyle w:val="FootnoteReference"/>
          <w:sz w:val="24"/>
          <w:szCs w:val="24"/>
        </w:rPr>
        <w:footnoteRef/>
      </w:r>
      <w:r w:rsidRPr="00087BCA">
        <w:rPr>
          <w:sz w:val="24"/>
          <w:szCs w:val="24"/>
        </w:rPr>
        <w:t xml:space="preserve"> </w:t>
      </w:r>
      <w:r w:rsidRPr="00087BCA">
        <w:rPr>
          <w:sz w:val="24"/>
          <w:szCs w:val="24"/>
        </w:rPr>
        <w:tab/>
      </w:r>
      <w:r w:rsidR="00BD4CBD" w:rsidRPr="00087BCA">
        <w:rPr>
          <w:sz w:val="24"/>
          <w:szCs w:val="24"/>
        </w:rPr>
        <w:t>La présente</w:t>
      </w:r>
      <w:r w:rsidRPr="00087BCA">
        <w:rPr>
          <w:sz w:val="24"/>
          <w:szCs w:val="24"/>
        </w:rPr>
        <w:t xml:space="preserve"> position remplace les amendement</w:t>
      </w:r>
      <w:r w:rsidR="00BD4CBD" w:rsidRPr="00087BCA">
        <w:rPr>
          <w:sz w:val="24"/>
          <w:szCs w:val="24"/>
        </w:rPr>
        <w:t xml:space="preserve">s adoptés le </w:t>
      </w:r>
      <w:r w:rsidR="00BD4CBD" w:rsidRPr="00304D3B">
        <w:rPr>
          <w:sz w:val="24"/>
          <w:szCs w:val="24"/>
        </w:rPr>
        <w:t>12</w:t>
      </w:r>
      <w:r w:rsidR="00BD4CBD" w:rsidRPr="00087BCA">
        <w:rPr>
          <w:sz w:val="24"/>
          <w:szCs w:val="24"/>
        </w:rPr>
        <w:t xml:space="preserve"> décembre </w:t>
      </w:r>
      <w:r w:rsidR="00BD4CBD" w:rsidRPr="00304D3B">
        <w:rPr>
          <w:sz w:val="24"/>
          <w:szCs w:val="24"/>
        </w:rPr>
        <w:t>2023</w:t>
      </w:r>
      <w:r w:rsidR="00BD4CBD" w:rsidRPr="00087BCA">
        <w:rPr>
          <w:sz w:val="24"/>
          <w:szCs w:val="24"/>
        </w:rPr>
        <w:t xml:space="preserve"> (t</w:t>
      </w:r>
      <w:r w:rsidRPr="00087BCA">
        <w:rPr>
          <w:sz w:val="24"/>
          <w:szCs w:val="24"/>
        </w:rPr>
        <w:t>extes adoptés</w:t>
      </w:r>
      <w:r w:rsidR="00BD4CBD" w:rsidRPr="00087BCA">
        <w:rPr>
          <w:sz w:val="24"/>
          <w:szCs w:val="24"/>
        </w:rPr>
        <w:t xml:space="preserve"> de cette date</w:t>
      </w:r>
      <w:r w:rsidRPr="00087BCA">
        <w:rPr>
          <w:sz w:val="24"/>
          <w:szCs w:val="24"/>
        </w:rPr>
        <w:t>, P</w:t>
      </w:r>
      <w:r w:rsidRPr="00304D3B">
        <w:rPr>
          <w:sz w:val="24"/>
          <w:szCs w:val="24"/>
        </w:rPr>
        <w:t>9</w:t>
      </w:r>
      <w:r w:rsidRPr="00087BCA">
        <w:rPr>
          <w:sz w:val="24"/>
          <w:szCs w:val="24"/>
        </w:rPr>
        <w:t>_</w:t>
      </w:r>
      <w:proofErr w:type="gramStart"/>
      <w:r w:rsidRPr="00087BCA">
        <w:rPr>
          <w:sz w:val="24"/>
          <w:szCs w:val="24"/>
        </w:rPr>
        <w:t>TA(</w:t>
      </w:r>
      <w:proofErr w:type="gramEnd"/>
      <w:r w:rsidRPr="00304D3B">
        <w:rPr>
          <w:sz w:val="24"/>
          <w:szCs w:val="24"/>
        </w:rPr>
        <w:t>2023</w:t>
      </w:r>
      <w:r w:rsidRPr="00087BCA">
        <w:rPr>
          <w:sz w:val="24"/>
          <w:szCs w:val="24"/>
        </w:rPr>
        <w:t>)</w:t>
      </w:r>
      <w:r w:rsidRPr="00304D3B">
        <w:rPr>
          <w:sz w:val="24"/>
          <w:szCs w:val="24"/>
        </w:rPr>
        <w:t>0445</w:t>
      </w:r>
      <w:r w:rsidRPr="00087BCA">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029" w:rsidRPr="00E44BAF" w:rsidRDefault="00931029" w:rsidP="00E44BAF">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029" w:rsidRPr="00E44BAF" w:rsidRDefault="00931029" w:rsidP="00E44BAF">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A45" w:rsidRDefault="0006400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A4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A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FR"/>
    <w:docVar w:name="dvnumam" w:val="113"/>
    <w:docVar w:name="dvpe" w:val="752.665"/>
    <w:docVar w:name="dvrapporteur" w:val="Rapporteur: "/>
    <w:docVar w:name="dvstar" w:val="***I"/>
    <w:docVar w:name="dvtitre" w:val="Résolution législative du Parlement européen du ... 2024 sur la proposition de directive du Parlement européen et du Conseil modifiant la directive 2001/110/CE du Conseil relative au miel, la directive 2001/112/CE du Conseil relative aux jus de fruits et à certains produits similaires destinés à l’alimentation humaine, la directive 2001/113/CE du Conseil relative aux confitures, gelées et marmelades de fruits, ainsi qu’à la crème de marrons, destinées à l’alimentation humaine, et la directive 2001/114/CE du Conseil relative à certains laits de conserve partiellement ou totalement déshydratés destinés à l’alimentation humaine(COM(2023)0201 – C9-140/2023 – 2023/0105(COD))"/>
  </w:docVars>
  <w:rsids>
    <w:rsidRoot w:val="00AB6DDD"/>
    <w:rsid w:val="00002272"/>
    <w:rsid w:val="00064002"/>
    <w:rsid w:val="000677B9"/>
    <w:rsid w:val="000831BA"/>
    <w:rsid w:val="00087BCA"/>
    <w:rsid w:val="000A42CC"/>
    <w:rsid w:val="000E7DD9"/>
    <w:rsid w:val="0010095E"/>
    <w:rsid w:val="00125B37"/>
    <w:rsid w:val="00187494"/>
    <w:rsid w:val="001F32AE"/>
    <w:rsid w:val="002767FF"/>
    <w:rsid w:val="002B18FE"/>
    <w:rsid w:val="002B5493"/>
    <w:rsid w:val="00304D3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722E"/>
    <w:rsid w:val="006F74FA"/>
    <w:rsid w:val="00731ADD"/>
    <w:rsid w:val="00734777"/>
    <w:rsid w:val="00747932"/>
    <w:rsid w:val="00751A4A"/>
    <w:rsid w:val="00756632"/>
    <w:rsid w:val="00762C74"/>
    <w:rsid w:val="00786EC0"/>
    <w:rsid w:val="007A0A45"/>
    <w:rsid w:val="007D1690"/>
    <w:rsid w:val="007E22AD"/>
    <w:rsid w:val="00817416"/>
    <w:rsid w:val="00842779"/>
    <w:rsid w:val="00865F67"/>
    <w:rsid w:val="00881A7B"/>
    <w:rsid w:val="008840E5"/>
    <w:rsid w:val="00887B3E"/>
    <w:rsid w:val="008C2AC6"/>
    <w:rsid w:val="00930C23"/>
    <w:rsid w:val="00931029"/>
    <w:rsid w:val="0093193B"/>
    <w:rsid w:val="009509D8"/>
    <w:rsid w:val="00950B64"/>
    <w:rsid w:val="00981893"/>
    <w:rsid w:val="009D6691"/>
    <w:rsid w:val="00A04DE5"/>
    <w:rsid w:val="00A1687D"/>
    <w:rsid w:val="00A43E52"/>
    <w:rsid w:val="00A4678D"/>
    <w:rsid w:val="00A778C7"/>
    <w:rsid w:val="00AB441E"/>
    <w:rsid w:val="00AB6293"/>
    <w:rsid w:val="00AB6DDD"/>
    <w:rsid w:val="00AE0928"/>
    <w:rsid w:val="00AF3B82"/>
    <w:rsid w:val="00B12E95"/>
    <w:rsid w:val="00B22876"/>
    <w:rsid w:val="00B558F0"/>
    <w:rsid w:val="00BD48FE"/>
    <w:rsid w:val="00BD4CBD"/>
    <w:rsid w:val="00BD7BD8"/>
    <w:rsid w:val="00BE6ADC"/>
    <w:rsid w:val="00C05BFE"/>
    <w:rsid w:val="00C212A6"/>
    <w:rsid w:val="00C23CD4"/>
    <w:rsid w:val="00C61C0C"/>
    <w:rsid w:val="00C66FCC"/>
    <w:rsid w:val="00C941CB"/>
    <w:rsid w:val="00CC2357"/>
    <w:rsid w:val="00CF071A"/>
    <w:rsid w:val="00D058B8"/>
    <w:rsid w:val="00D56C11"/>
    <w:rsid w:val="00D570F4"/>
    <w:rsid w:val="00D834A0"/>
    <w:rsid w:val="00D872DF"/>
    <w:rsid w:val="00D91E21"/>
    <w:rsid w:val="00DA7FCD"/>
    <w:rsid w:val="00E35A5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81982"/>
  <w15:chartTrackingRefBased/>
  <w15:docId w15:val="{77AB790C-6F4D-4D1A-AE03-1A0C1017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66FCC"/>
    <w:rPr>
      <w:b/>
      <w:kern w:val="28"/>
      <w:sz w:val="28"/>
      <w:lang w:val="fr-FR" w:eastAsia="fr-FR"/>
    </w:rPr>
  </w:style>
  <w:style w:type="character" w:customStyle="1" w:styleId="Heading2Char">
    <w:name w:val="Heading 2 Char"/>
    <w:basedOn w:val="DefaultParagraphFont"/>
    <w:link w:val="Heading2"/>
    <w:semiHidden/>
    <w:rsid w:val="00C66FCC"/>
    <w:rPr>
      <w:sz w:val="24"/>
      <w:lang w:val="fr-FR" w:eastAsia="fr-FR"/>
    </w:rPr>
  </w:style>
  <w:style w:type="character" w:customStyle="1" w:styleId="Heading3Char">
    <w:name w:val="Heading 3 Char"/>
    <w:basedOn w:val="DefaultParagraphFont"/>
    <w:link w:val="Heading3"/>
    <w:semiHidden/>
    <w:rsid w:val="00C66FCC"/>
    <w:rPr>
      <w:rFonts w:ascii="Arial" w:hAnsi="Arial"/>
      <w:sz w:val="24"/>
      <w:lang w:val="fr-FR" w:eastAsia="fr-FR"/>
    </w:rPr>
  </w:style>
  <w:style w:type="character" w:customStyle="1" w:styleId="Heading4Char">
    <w:name w:val="Heading 4 Char"/>
    <w:basedOn w:val="DefaultParagraphFont"/>
    <w:link w:val="Heading4"/>
    <w:semiHidden/>
    <w:rsid w:val="00C66FCC"/>
    <w:rPr>
      <w:sz w:val="24"/>
      <w:lang w:val="en-US" w:eastAsia="fr-FR"/>
    </w:rPr>
  </w:style>
  <w:style w:type="character" w:customStyle="1" w:styleId="Heading5Char">
    <w:name w:val="Heading 5 Char"/>
    <w:basedOn w:val="DefaultParagraphFont"/>
    <w:link w:val="Heading5"/>
    <w:semiHidden/>
    <w:rsid w:val="00C66FCC"/>
    <w:rPr>
      <w:sz w:val="24"/>
      <w:lang w:val="en-US" w:eastAsia="fr-FR"/>
    </w:rPr>
  </w:style>
  <w:style w:type="character" w:customStyle="1" w:styleId="Heading6Char">
    <w:name w:val="Heading 6 Char"/>
    <w:basedOn w:val="DefaultParagraphFont"/>
    <w:link w:val="Heading6"/>
    <w:semiHidden/>
    <w:rsid w:val="00C66FCC"/>
    <w:rPr>
      <w:i/>
      <w:sz w:val="22"/>
      <w:lang w:val="fr-FR"/>
    </w:rPr>
  </w:style>
  <w:style w:type="character" w:customStyle="1" w:styleId="Heading7Char">
    <w:name w:val="Heading 7 Char"/>
    <w:basedOn w:val="DefaultParagraphFont"/>
    <w:link w:val="Heading7"/>
    <w:semiHidden/>
    <w:rsid w:val="00C66FCC"/>
    <w:rPr>
      <w:rFonts w:ascii="Arial" w:hAnsi="Arial"/>
      <w:sz w:val="24"/>
      <w:lang w:val="fr-FR"/>
    </w:rPr>
  </w:style>
  <w:style w:type="character" w:customStyle="1" w:styleId="Heading8Char">
    <w:name w:val="Heading 8 Char"/>
    <w:basedOn w:val="DefaultParagraphFont"/>
    <w:link w:val="Heading8"/>
    <w:semiHidden/>
    <w:rsid w:val="00C66FCC"/>
    <w:rPr>
      <w:rFonts w:ascii="Arial" w:hAnsi="Arial"/>
      <w:i/>
      <w:sz w:val="24"/>
      <w:lang w:val="fr-FR"/>
    </w:rPr>
  </w:style>
  <w:style w:type="character" w:customStyle="1" w:styleId="Heading9Char">
    <w:name w:val="Heading 9 Char"/>
    <w:basedOn w:val="DefaultParagraphFont"/>
    <w:link w:val="Heading9"/>
    <w:semiHidden/>
    <w:rsid w:val="00C66FCC"/>
    <w:rPr>
      <w:rFonts w:ascii="Arial" w:hAnsi="Arial"/>
      <w:b/>
      <w:i/>
      <w:sz w:val="18"/>
      <w:lang w:val="fr-FR"/>
    </w:rPr>
  </w:style>
  <w:style w:type="paragraph" w:styleId="TOCHeading">
    <w:name w:val="TOC Heading"/>
    <w:basedOn w:val="Normal"/>
    <w:next w:val="Normal"/>
    <w:uiPriority w:val="39"/>
    <w:unhideWhenUsed/>
    <w:qFormat/>
    <w:rsid w:val="00C66FCC"/>
    <w:pPr>
      <w:widowControl/>
      <w:spacing w:after="240"/>
    </w:pPr>
    <w:rPr>
      <w:lang w:val="en-GB"/>
    </w:rPr>
  </w:style>
  <w:style w:type="paragraph" w:customStyle="1" w:styleId="EPFooter2">
    <w:name w:val="EPFooter2"/>
    <w:basedOn w:val="Normal"/>
    <w:next w:val="Normal"/>
    <w:rsid w:val="00C66FC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66FCC"/>
    <w:pPr>
      <w:keepNext/>
      <w:spacing w:after="240"/>
      <w:jc w:val="right"/>
    </w:pPr>
    <w:rPr>
      <w:rFonts w:ascii="Arial" w:hAnsi="Arial"/>
      <w:b/>
    </w:rPr>
  </w:style>
  <w:style w:type="paragraph" w:customStyle="1" w:styleId="Normal6a">
    <w:name w:val="Normal6a"/>
    <w:basedOn w:val="Normal"/>
    <w:rsid w:val="00C66FCC"/>
    <w:pPr>
      <w:spacing w:after="120"/>
    </w:pPr>
  </w:style>
  <w:style w:type="paragraph" w:customStyle="1" w:styleId="PageHeading">
    <w:name w:val="PageHeading"/>
    <w:basedOn w:val="Normal"/>
    <w:rsid w:val="00C66FCC"/>
    <w:pPr>
      <w:keepNext/>
      <w:spacing w:after="480"/>
      <w:jc w:val="center"/>
    </w:pPr>
    <w:rPr>
      <w:rFonts w:ascii="Arial" w:hAnsi="Arial" w:cs="Arial"/>
      <w:b/>
    </w:rPr>
  </w:style>
  <w:style w:type="paragraph" w:customStyle="1" w:styleId="NormalBold">
    <w:name w:val="NormalBold"/>
    <w:basedOn w:val="Normal"/>
    <w:link w:val="NormalBoldChar"/>
    <w:rsid w:val="00C66FCC"/>
    <w:rPr>
      <w:b/>
    </w:rPr>
  </w:style>
  <w:style w:type="character" w:customStyle="1" w:styleId="NormalBoldChar">
    <w:name w:val="NormalBold Char"/>
    <w:link w:val="NormalBold"/>
    <w:rsid w:val="00C66FCC"/>
    <w:rPr>
      <w:b/>
      <w:sz w:val="24"/>
      <w:lang w:val="fr-FR"/>
    </w:rPr>
  </w:style>
  <w:style w:type="paragraph" w:customStyle="1" w:styleId="NormalBold12a">
    <w:name w:val="NormalBold12a"/>
    <w:basedOn w:val="Normal"/>
    <w:rsid w:val="00C66FCC"/>
    <w:pPr>
      <w:spacing w:after="240"/>
    </w:pPr>
    <w:rPr>
      <w:b/>
    </w:rPr>
  </w:style>
  <w:style w:type="paragraph" w:customStyle="1" w:styleId="AmJustText">
    <w:name w:val="AmJustText"/>
    <w:basedOn w:val="Normal"/>
    <w:rsid w:val="00C66FCC"/>
    <w:pPr>
      <w:spacing w:after="240"/>
    </w:pPr>
    <w:rPr>
      <w:i/>
    </w:rPr>
  </w:style>
  <w:style w:type="paragraph" w:customStyle="1" w:styleId="NormalHanging12a">
    <w:name w:val="NormalHanging12a"/>
    <w:basedOn w:val="Normal"/>
    <w:rsid w:val="00C66FCC"/>
    <w:pPr>
      <w:spacing w:after="240"/>
      <w:ind w:left="567" w:hanging="567"/>
    </w:pPr>
  </w:style>
  <w:style w:type="paragraph" w:customStyle="1" w:styleId="CoverNormal24a">
    <w:name w:val="CoverNormal24a"/>
    <w:basedOn w:val="Normal"/>
    <w:rsid w:val="00C66FCC"/>
    <w:pPr>
      <w:spacing w:after="480"/>
      <w:ind w:left="1417"/>
    </w:pPr>
  </w:style>
  <w:style w:type="paragraph" w:customStyle="1" w:styleId="CoverNormal">
    <w:name w:val="CoverNormal"/>
    <w:basedOn w:val="Normal"/>
    <w:rsid w:val="00C66FCC"/>
    <w:pPr>
      <w:ind w:left="1418"/>
    </w:pPr>
  </w:style>
  <w:style w:type="paragraph" w:customStyle="1" w:styleId="AmCrossRef">
    <w:name w:val="AmCrossRef"/>
    <w:basedOn w:val="Normal"/>
    <w:rsid w:val="00C66FCC"/>
    <w:pPr>
      <w:spacing w:before="240" w:after="240"/>
      <w:jc w:val="center"/>
    </w:pPr>
    <w:rPr>
      <w:i/>
    </w:rPr>
  </w:style>
  <w:style w:type="paragraph" w:customStyle="1" w:styleId="AmJustTitle">
    <w:name w:val="AmJustTitle"/>
    <w:basedOn w:val="Normal"/>
    <w:next w:val="AmJustText"/>
    <w:rsid w:val="00C66FCC"/>
    <w:pPr>
      <w:keepNext/>
      <w:spacing w:before="240" w:after="240"/>
      <w:jc w:val="center"/>
    </w:pPr>
    <w:rPr>
      <w:i/>
    </w:rPr>
  </w:style>
  <w:style w:type="paragraph" w:customStyle="1" w:styleId="CoverReference">
    <w:name w:val="CoverReference"/>
    <w:basedOn w:val="Normal"/>
    <w:rsid w:val="00C66FCC"/>
    <w:pPr>
      <w:spacing w:before="1080"/>
      <w:jc w:val="right"/>
    </w:pPr>
    <w:rPr>
      <w:rFonts w:ascii="Arial" w:hAnsi="Arial" w:cs="Arial"/>
      <w:b/>
    </w:rPr>
  </w:style>
  <w:style w:type="paragraph" w:customStyle="1" w:styleId="CoverDocType">
    <w:name w:val="CoverDocType"/>
    <w:basedOn w:val="Normal"/>
    <w:rsid w:val="00C66FCC"/>
    <w:pPr>
      <w:ind w:left="1418"/>
    </w:pPr>
    <w:rPr>
      <w:rFonts w:ascii="Arial" w:hAnsi="Arial"/>
      <w:b/>
      <w:sz w:val="48"/>
    </w:rPr>
  </w:style>
  <w:style w:type="paragraph" w:customStyle="1" w:styleId="CoverDocType24a">
    <w:name w:val="CoverDocType24a"/>
    <w:basedOn w:val="Normal"/>
    <w:rsid w:val="00C66FCC"/>
    <w:pPr>
      <w:spacing w:after="480"/>
      <w:ind w:left="1418"/>
    </w:pPr>
    <w:rPr>
      <w:rFonts w:ascii="Arial" w:hAnsi="Arial"/>
      <w:b/>
      <w:sz w:val="48"/>
    </w:rPr>
  </w:style>
  <w:style w:type="paragraph" w:customStyle="1" w:styleId="CoverDate">
    <w:name w:val="CoverDate"/>
    <w:basedOn w:val="Normal"/>
    <w:rsid w:val="00C66FCC"/>
    <w:pPr>
      <w:spacing w:before="240" w:after="1200"/>
    </w:pPr>
  </w:style>
  <w:style w:type="paragraph" w:styleId="Header">
    <w:name w:val="header"/>
    <w:basedOn w:val="Normal"/>
    <w:link w:val="HeaderChar"/>
    <w:uiPriority w:val="99"/>
    <w:rsid w:val="00C66FCC"/>
    <w:pPr>
      <w:tabs>
        <w:tab w:val="center" w:pos="4513"/>
        <w:tab w:val="right" w:pos="9026"/>
      </w:tabs>
    </w:pPr>
  </w:style>
  <w:style w:type="character" w:customStyle="1" w:styleId="HeaderChar">
    <w:name w:val="Header Char"/>
    <w:basedOn w:val="DefaultParagraphFont"/>
    <w:link w:val="Header"/>
    <w:uiPriority w:val="99"/>
    <w:rsid w:val="00C66FCC"/>
    <w:rPr>
      <w:sz w:val="24"/>
      <w:lang w:val="fr-FR"/>
    </w:rPr>
  </w:style>
  <w:style w:type="paragraph" w:customStyle="1" w:styleId="AmOrLang">
    <w:name w:val="AmOrLang"/>
    <w:basedOn w:val="Normal"/>
    <w:rsid w:val="00C66FCC"/>
    <w:pPr>
      <w:spacing w:before="240" w:after="240"/>
      <w:jc w:val="right"/>
    </w:pPr>
  </w:style>
  <w:style w:type="paragraph" w:customStyle="1" w:styleId="AmColumnHeading">
    <w:name w:val="AmColumnHeading"/>
    <w:basedOn w:val="Normal"/>
    <w:rsid w:val="00C66FCC"/>
    <w:pPr>
      <w:spacing w:after="240"/>
      <w:jc w:val="center"/>
    </w:pPr>
    <w:rPr>
      <w:i/>
    </w:rPr>
  </w:style>
  <w:style w:type="paragraph" w:customStyle="1" w:styleId="AmNumberTabs">
    <w:name w:val="AmNumberTabs"/>
    <w:basedOn w:val="Normal"/>
    <w:link w:val="AmNumberTabsChar"/>
    <w:rsid w:val="00C66F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66FCC"/>
    <w:pPr>
      <w:spacing w:before="240"/>
    </w:pPr>
    <w:rPr>
      <w:b/>
    </w:rPr>
  </w:style>
  <w:style w:type="paragraph" w:customStyle="1" w:styleId="EPBody">
    <w:name w:val="EPBody"/>
    <w:basedOn w:val="Normal"/>
    <w:rsid w:val="00C66FCC"/>
    <w:pPr>
      <w:jc w:val="center"/>
    </w:pPr>
    <w:rPr>
      <w:rFonts w:ascii="Arial" w:hAnsi="Arial" w:cs="Arial"/>
      <w:i/>
      <w:sz w:val="22"/>
      <w:szCs w:val="22"/>
    </w:rPr>
  </w:style>
  <w:style w:type="paragraph" w:customStyle="1" w:styleId="EPFooter">
    <w:name w:val="EPFooter"/>
    <w:basedOn w:val="Normal"/>
    <w:rsid w:val="00C66FCC"/>
    <w:pPr>
      <w:tabs>
        <w:tab w:val="center" w:pos="4535"/>
        <w:tab w:val="right" w:pos="9071"/>
      </w:tabs>
      <w:spacing w:before="240" w:after="240"/>
    </w:pPr>
    <w:rPr>
      <w:color w:val="010000"/>
      <w:sz w:val="22"/>
    </w:rPr>
  </w:style>
  <w:style w:type="paragraph" w:customStyle="1" w:styleId="EPComma">
    <w:name w:val="EPComma"/>
    <w:basedOn w:val="Normal"/>
    <w:rsid w:val="00C66FCC"/>
    <w:pPr>
      <w:spacing w:before="480" w:after="240"/>
    </w:pPr>
  </w:style>
  <w:style w:type="paragraph" w:customStyle="1" w:styleId="Lgendesigne">
    <w:name w:val="Légende signe"/>
    <w:basedOn w:val="Normal"/>
    <w:rsid w:val="00C66FCC"/>
    <w:pPr>
      <w:tabs>
        <w:tab w:val="right" w:pos="454"/>
        <w:tab w:val="left" w:pos="737"/>
      </w:tabs>
      <w:ind w:left="737" w:hanging="737"/>
    </w:pPr>
    <w:rPr>
      <w:snapToGrid w:val="0"/>
      <w:sz w:val="18"/>
      <w:lang w:eastAsia="en-US"/>
    </w:rPr>
  </w:style>
  <w:style w:type="paragraph" w:customStyle="1" w:styleId="Lgendetitre">
    <w:name w:val="Légende titre"/>
    <w:basedOn w:val="Normal"/>
    <w:rsid w:val="00C66FCC"/>
    <w:pPr>
      <w:spacing w:before="240" w:after="240"/>
    </w:pPr>
    <w:rPr>
      <w:b/>
      <w:i/>
      <w:snapToGrid w:val="0"/>
      <w:lang w:eastAsia="en-US"/>
    </w:rPr>
  </w:style>
  <w:style w:type="paragraph" w:customStyle="1" w:styleId="Lgendestandard">
    <w:name w:val="Légende standard"/>
    <w:basedOn w:val="Normal"/>
    <w:rsid w:val="00C66FCC"/>
    <w:rPr>
      <w:sz w:val="18"/>
    </w:rPr>
  </w:style>
  <w:style w:type="paragraph" w:customStyle="1" w:styleId="Normal24a">
    <w:name w:val="Normal24a"/>
    <w:basedOn w:val="Normal"/>
    <w:rsid w:val="00C66FCC"/>
    <w:pPr>
      <w:spacing w:after="480"/>
    </w:pPr>
  </w:style>
  <w:style w:type="paragraph" w:customStyle="1" w:styleId="NormalBoldCenter">
    <w:name w:val="NormalBoldCenter"/>
    <w:basedOn w:val="Normal"/>
    <w:rsid w:val="00C66FCC"/>
    <w:pPr>
      <w:jc w:val="center"/>
    </w:pPr>
    <w:rPr>
      <w:b/>
    </w:rPr>
  </w:style>
  <w:style w:type="paragraph" w:customStyle="1" w:styleId="Normal6">
    <w:name w:val="Normal6"/>
    <w:basedOn w:val="Normal"/>
    <w:link w:val="Normal6Char"/>
    <w:rsid w:val="00C66FCC"/>
    <w:pPr>
      <w:spacing w:after="120"/>
    </w:pPr>
  </w:style>
  <w:style w:type="character" w:customStyle="1" w:styleId="Normal6Char">
    <w:name w:val="Normal6 Char"/>
    <w:link w:val="Normal6"/>
    <w:rsid w:val="00C66FCC"/>
    <w:rPr>
      <w:sz w:val="24"/>
      <w:lang w:val="fr-FR"/>
    </w:rPr>
  </w:style>
  <w:style w:type="paragraph" w:customStyle="1" w:styleId="Normal12Italic">
    <w:name w:val="Normal12Italic"/>
    <w:basedOn w:val="Normal"/>
    <w:rsid w:val="00C66FCC"/>
    <w:pPr>
      <w:spacing w:after="240"/>
    </w:pPr>
    <w:rPr>
      <w:i/>
      <w:noProof/>
    </w:rPr>
  </w:style>
  <w:style w:type="paragraph" w:customStyle="1" w:styleId="JustificationTitle">
    <w:name w:val="JustificationTitle"/>
    <w:basedOn w:val="Normal"/>
    <w:next w:val="Normal"/>
    <w:rsid w:val="00C66FCC"/>
    <w:pPr>
      <w:keepNext/>
      <w:spacing w:before="240" w:after="240"/>
      <w:jc w:val="center"/>
    </w:pPr>
    <w:rPr>
      <w:i/>
      <w:noProof/>
    </w:rPr>
  </w:style>
  <w:style w:type="paragraph" w:customStyle="1" w:styleId="ColumnHeading">
    <w:name w:val="ColumnHeading"/>
    <w:basedOn w:val="Normal"/>
    <w:rsid w:val="00C66FCC"/>
    <w:pPr>
      <w:spacing w:after="240"/>
      <w:jc w:val="center"/>
    </w:pPr>
    <w:rPr>
      <w:i/>
    </w:rPr>
  </w:style>
  <w:style w:type="paragraph" w:customStyle="1" w:styleId="AMNumberTabs0">
    <w:name w:val="AMNumberTabs"/>
    <w:basedOn w:val="Normal"/>
    <w:rsid w:val="00C66F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66FCC"/>
    <w:pPr>
      <w:jc w:val="right"/>
    </w:pPr>
    <w:rPr>
      <w:lang w:val="fr-FR"/>
    </w:rPr>
  </w:style>
  <w:style w:type="paragraph" w:styleId="BodyText">
    <w:name w:val="Body Text"/>
    <w:basedOn w:val="Normal"/>
    <w:link w:val="BodyTextChar"/>
    <w:uiPriority w:val="1"/>
    <w:unhideWhenUsed/>
    <w:qFormat/>
    <w:rsid w:val="00C66FCC"/>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C66FCC"/>
    <w:rPr>
      <w:sz w:val="24"/>
      <w:szCs w:val="24"/>
      <w:lang w:val="fr-FR" w:eastAsia="en-US"/>
    </w:rPr>
  </w:style>
  <w:style w:type="paragraph" w:styleId="CommentText">
    <w:name w:val="annotation text"/>
    <w:basedOn w:val="Normal"/>
    <w:link w:val="CommentTextChar"/>
    <w:unhideWhenUsed/>
    <w:rsid w:val="00C66FCC"/>
    <w:pPr>
      <w:widowControl/>
    </w:pPr>
    <w:rPr>
      <w:sz w:val="20"/>
    </w:rPr>
  </w:style>
  <w:style w:type="character" w:customStyle="1" w:styleId="CommentTextChar">
    <w:name w:val="Comment Text Char"/>
    <w:basedOn w:val="DefaultParagraphFont"/>
    <w:link w:val="CommentText"/>
    <w:rsid w:val="00C66FCC"/>
    <w:rPr>
      <w:lang w:val="fr-FR"/>
    </w:rPr>
  </w:style>
  <w:style w:type="character" w:styleId="CommentReference">
    <w:name w:val="annotation reference"/>
    <w:basedOn w:val="DefaultParagraphFont"/>
    <w:unhideWhenUsed/>
    <w:rsid w:val="00C66FCC"/>
    <w:rPr>
      <w:sz w:val="16"/>
      <w:szCs w:val="16"/>
    </w:rPr>
  </w:style>
  <w:style w:type="paragraph" w:styleId="BalloonText">
    <w:name w:val="Balloon Text"/>
    <w:basedOn w:val="Normal"/>
    <w:link w:val="BalloonTextChar"/>
    <w:unhideWhenUsed/>
    <w:rsid w:val="00C66FCC"/>
    <w:rPr>
      <w:rFonts w:ascii="Segoe UI" w:hAnsi="Segoe UI" w:cs="Segoe UI"/>
      <w:sz w:val="18"/>
      <w:szCs w:val="18"/>
    </w:rPr>
  </w:style>
  <w:style w:type="character" w:customStyle="1" w:styleId="BalloonTextChar">
    <w:name w:val="Balloon Text Char"/>
    <w:basedOn w:val="DefaultParagraphFont"/>
    <w:link w:val="BalloonText"/>
    <w:rsid w:val="00C66FCC"/>
    <w:rPr>
      <w:rFonts w:ascii="Segoe UI" w:hAnsi="Segoe UI" w:cs="Segoe UI"/>
      <w:sz w:val="18"/>
      <w:szCs w:val="18"/>
      <w:lang w:val="fr-FR"/>
    </w:rPr>
  </w:style>
  <w:style w:type="paragraph" w:styleId="CommentSubject">
    <w:name w:val="annotation subject"/>
    <w:basedOn w:val="CommentText"/>
    <w:next w:val="CommentText"/>
    <w:link w:val="CommentSubjectChar"/>
    <w:unhideWhenUsed/>
    <w:rsid w:val="00C66FCC"/>
    <w:pPr>
      <w:widowControl w:val="0"/>
    </w:pPr>
    <w:rPr>
      <w:b/>
      <w:bCs/>
    </w:rPr>
  </w:style>
  <w:style w:type="character" w:customStyle="1" w:styleId="CommentSubjectChar">
    <w:name w:val="Comment Subject Char"/>
    <w:basedOn w:val="CommentTextChar"/>
    <w:link w:val="CommentSubject"/>
    <w:rsid w:val="00C66FCC"/>
    <w:rPr>
      <w:b/>
      <w:bCs/>
      <w:lang w:val="fr-FR"/>
    </w:rPr>
  </w:style>
  <w:style w:type="character" w:styleId="Hyperlink">
    <w:name w:val="Hyperlink"/>
    <w:basedOn w:val="DefaultParagraphFont"/>
    <w:uiPriority w:val="99"/>
    <w:rsid w:val="00C66FCC"/>
    <w:rPr>
      <w:color w:val="0563C1" w:themeColor="hyperlink"/>
      <w:u w:val="single"/>
    </w:rPr>
  </w:style>
  <w:style w:type="character" w:customStyle="1" w:styleId="boldface">
    <w:name w:val="boldface"/>
    <w:basedOn w:val="DefaultParagraphFont"/>
    <w:rsid w:val="00C66FCC"/>
  </w:style>
  <w:style w:type="paragraph" w:styleId="Revision">
    <w:name w:val="Revision"/>
    <w:hidden/>
    <w:uiPriority w:val="99"/>
    <w:semiHidden/>
    <w:rsid w:val="00C66FCC"/>
    <w:rPr>
      <w:sz w:val="24"/>
      <w:lang w:val="fr-FR"/>
    </w:rPr>
  </w:style>
  <w:style w:type="paragraph" w:customStyle="1" w:styleId="EntPE">
    <w:name w:val="EntPE"/>
    <w:basedOn w:val="Normal12"/>
    <w:rsid w:val="00C66FCC"/>
    <w:pPr>
      <w:jc w:val="center"/>
    </w:pPr>
    <w:rPr>
      <w:noProof w:val="0"/>
      <w:sz w:val="56"/>
    </w:rPr>
  </w:style>
  <w:style w:type="paragraph" w:customStyle="1" w:styleId="Normal12">
    <w:name w:val="Normal12"/>
    <w:basedOn w:val="Normal"/>
    <w:link w:val="Normal12Char"/>
    <w:rsid w:val="00C66FCC"/>
    <w:pPr>
      <w:spacing w:after="240"/>
    </w:pPr>
    <w:rPr>
      <w:noProof/>
    </w:rPr>
  </w:style>
  <w:style w:type="character" w:customStyle="1" w:styleId="Normal12Char">
    <w:name w:val="Normal12 Char"/>
    <w:basedOn w:val="DefaultParagraphFont"/>
    <w:link w:val="Normal12"/>
    <w:locked/>
    <w:rsid w:val="00C66FCC"/>
    <w:rPr>
      <w:noProof/>
      <w:sz w:val="24"/>
      <w:lang w:val="fr-FR"/>
    </w:rPr>
  </w:style>
  <w:style w:type="paragraph" w:customStyle="1" w:styleId="CrossRef">
    <w:name w:val="CrossRef"/>
    <w:basedOn w:val="Normal"/>
    <w:rsid w:val="00C66FCC"/>
    <w:pPr>
      <w:spacing w:before="240"/>
      <w:jc w:val="center"/>
    </w:pPr>
    <w:rPr>
      <w:i/>
    </w:rPr>
  </w:style>
  <w:style w:type="character" w:customStyle="1" w:styleId="AmNumberTabsChar">
    <w:name w:val="AmNumberTabs Char"/>
    <w:basedOn w:val="DefaultParagraphFont"/>
    <w:link w:val="AmNumberTabs"/>
    <w:rsid w:val="00C66FCC"/>
    <w:rPr>
      <w:b/>
      <w:sz w:val="24"/>
      <w:lang w:val="fr-FR"/>
    </w:rPr>
  </w:style>
  <w:style w:type="character" w:customStyle="1" w:styleId="NormalBold12bChar">
    <w:name w:val="NormalBold12b Char"/>
    <w:basedOn w:val="AmNumberTabsChar"/>
    <w:link w:val="NormalBold12b"/>
    <w:rsid w:val="00C66FCC"/>
    <w:rPr>
      <w:b/>
      <w:sz w:val="24"/>
      <w:lang w:val="fr-FR"/>
    </w:rPr>
  </w:style>
  <w:style w:type="paragraph" w:customStyle="1" w:styleId="Point0number">
    <w:name w:val="Point 0 (number)"/>
    <w:basedOn w:val="Normal"/>
    <w:rsid w:val="00C66FCC"/>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C66FCC"/>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C66FCC"/>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C66FCC"/>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C66FCC"/>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C66FCC"/>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C66FCC"/>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C66FCC"/>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C66FCC"/>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C66FCC"/>
    <w:pPr>
      <w:widowControl/>
      <w:spacing w:before="120" w:after="120"/>
      <w:ind w:left="1417"/>
      <w:jc w:val="both"/>
    </w:pPr>
    <w:rPr>
      <w:rFonts w:eastAsiaTheme="minorHAnsi"/>
      <w:szCs w:val="22"/>
      <w:lang w:eastAsia="en-US"/>
    </w:rPr>
  </w:style>
  <w:style w:type="paragraph" w:customStyle="1" w:styleId="Normal12a">
    <w:name w:val="Normal12a"/>
    <w:basedOn w:val="Normal"/>
    <w:rsid w:val="00C66FCC"/>
    <w:pPr>
      <w:spacing w:after="240"/>
    </w:pPr>
  </w:style>
  <w:style w:type="paragraph" w:customStyle="1" w:styleId="RollCallVotes">
    <w:name w:val="RollCallVotes"/>
    <w:basedOn w:val="Normal"/>
    <w:rsid w:val="00C66FCC"/>
    <w:pPr>
      <w:spacing w:before="120" w:after="120"/>
      <w:jc w:val="center"/>
    </w:pPr>
    <w:rPr>
      <w:b/>
      <w:bCs/>
      <w:snapToGrid w:val="0"/>
      <w:sz w:val="16"/>
      <w:lang w:eastAsia="en-US"/>
    </w:rPr>
  </w:style>
  <w:style w:type="paragraph" w:customStyle="1" w:styleId="RollCallTabs">
    <w:name w:val="RollCallTabs"/>
    <w:basedOn w:val="Normal"/>
    <w:qFormat/>
    <w:rsid w:val="00C66FCC"/>
    <w:pPr>
      <w:tabs>
        <w:tab w:val="center" w:pos="284"/>
        <w:tab w:val="left" w:pos="426"/>
      </w:tabs>
    </w:pPr>
    <w:rPr>
      <w:snapToGrid w:val="0"/>
      <w:lang w:eastAsia="en-US"/>
    </w:rPr>
  </w:style>
  <w:style w:type="paragraph" w:customStyle="1" w:styleId="RollCallSymbols14pt">
    <w:name w:val="RollCallSymbols14pt"/>
    <w:basedOn w:val="Normal"/>
    <w:rsid w:val="00C66FCC"/>
    <w:pPr>
      <w:spacing w:before="120" w:after="120"/>
      <w:jc w:val="center"/>
    </w:pPr>
    <w:rPr>
      <w:rFonts w:ascii="Arial" w:hAnsi="Arial"/>
      <w:b/>
      <w:bCs/>
      <w:snapToGrid w:val="0"/>
      <w:sz w:val="28"/>
      <w:lang w:eastAsia="en-US"/>
    </w:rPr>
  </w:style>
  <w:style w:type="paragraph" w:customStyle="1" w:styleId="RollCallTable">
    <w:name w:val="RollCallTable"/>
    <w:basedOn w:val="Normal"/>
    <w:rsid w:val="00C66FCC"/>
    <w:pPr>
      <w:spacing w:before="120" w:after="120"/>
    </w:pPr>
    <w:rPr>
      <w:snapToGrid w:val="0"/>
      <w:sz w:val="16"/>
      <w:lang w:eastAsia="en-US"/>
    </w:rPr>
  </w:style>
  <w:style w:type="paragraph" w:customStyle="1" w:styleId="PageHeadingNotTOC">
    <w:name w:val="PageHeadingNotTOC"/>
    <w:basedOn w:val="Normal"/>
    <w:rsid w:val="00C66FCC"/>
    <w:pPr>
      <w:keepNext/>
      <w:spacing w:after="480"/>
      <w:jc w:val="center"/>
    </w:pPr>
    <w:rPr>
      <w:rFonts w:ascii="Arial" w:hAnsi="Arial" w:cs="Arial"/>
      <w:b/>
    </w:rPr>
  </w:style>
  <w:style w:type="paragraph" w:customStyle="1" w:styleId="AmHeadingPA">
    <w:name w:val="AmHeadingPA"/>
    <w:basedOn w:val="Normal"/>
    <w:next w:val="Normal"/>
    <w:rsid w:val="00C66FCC"/>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C66FCC"/>
    <w:pPr>
      <w:tabs>
        <w:tab w:val="center" w:pos="4513"/>
        <w:tab w:val="right" w:pos="9026"/>
      </w:tabs>
    </w:pPr>
  </w:style>
  <w:style w:type="character" w:customStyle="1" w:styleId="FooterChar">
    <w:name w:val="Footer Char"/>
    <w:basedOn w:val="DefaultParagraphFont"/>
    <w:link w:val="Footer"/>
    <w:uiPriority w:val="99"/>
    <w:rsid w:val="00C66FCC"/>
    <w:rPr>
      <w:sz w:val="24"/>
      <w:lang w:val="fr-FR"/>
    </w:rPr>
  </w:style>
  <w:style w:type="paragraph" w:customStyle="1" w:styleId="HeaderCouncil">
    <w:name w:val="Header Council"/>
    <w:basedOn w:val="Normal"/>
    <w:rsid w:val="00931029"/>
    <w:pPr>
      <w:widowControl/>
    </w:pPr>
    <w:rPr>
      <w:rFonts w:eastAsia="Calibri"/>
      <w:sz w:val="2"/>
      <w:szCs w:val="22"/>
      <w:lang w:eastAsia="en-US"/>
    </w:rPr>
  </w:style>
  <w:style w:type="paragraph" w:customStyle="1" w:styleId="HeaderCouncilLarge">
    <w:name w:val="Header Council Large"/>
    <w:basedOn w:val="Normal"/>
    <w:link w:val="HeaderCouncilLargeChar"/>
    <w:rsid w:val="00931029"/>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931029"/>
    <w:rPr>
      <w:rFonts w:eastAsia="Calibri"/>
      <w:sz w:val="2"/>
      <w:szCs w:val="22"/>
      <w:lang w:val="fr-FR" w:eastAsia="en-US"/>
    </w:rPr>
  </w:style>
  <w:style w:type="paragraph" w:customStyle="1" w:styleId="Datedadoption">
    <w:name w:val="Date d'adoption"/>
    <w:basedOn w:val="Normal"/>
    <w:next w:val="Normal"/>
    <w:rsid w:val="006A722E"/>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64227-B096-46C2-9CEE-FB23CEFF0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NEUKELMANCE Charlotte Anne Alain Ghislaine</cp:lastModifiedBy>
  <cp:revision>2</cp:revision>
  <cp:lastPrinted>2004-11-19T15:42:00Z</cp:lastPrinted>
  <dcterms:created xsi:type="dcterms:W3CDTF">2024-07-31T15:43:00Z</dcterms:created>
  <dcterms:modified xsi:type="dcterms:W3CDTF">2024-07-31T15:43:00Z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P9_TA(2024)0193_</vt:lpwstr>
  </property>
  <property fmtid="{D5CDD505-2E9C-101B-9397-08002B2CF9AE}" pid="4" name="&lt;Type&gt;">
    <vt:lpwstr>RR</vt:lpwstr>
  </property>
</Properties>
</file>