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76A0" w:rsidTr="0010095E">
        <w:trPr>
          <w:trHeight w:hRule="exact" w:val="1418"/>
        </w:trPr>
        <w:tc>
          <w:tcPr>
            <w:tcW w:w="6804" w:type="dxa"/>
            <w:shd w:val="clear" w:color="auto" w:fill="auto"/>
            <w:vAlign w:val="center"/>
          </w:tcPr>
          <w:p w:rsidR="00751A4A" w:rsidRPr="00D776A0" w:rsidRDefault="00E5691C" w:rsidP="0010095E">
            <w:pPr>
              <w:pStyle w:val="EPName"/>
            </w:pPr>
            <w:r w:rsidRPr="00D776A0">
              <w:t>Parlamento europeo</w:t>
            </w:r>
          </w:p>
          <w:p w:rsidR="00751A4A" w:rsidRPr="00D776A0" w:rsidRDefault="00817416" w:rsidP="00756632">
            <w:pPr>
              <w:pStyle w:val="EPTerm"/>
              <w:rPr>
                <w:rStyle w:val="HideTWBExt"/>
                <w:noProof w:val="0"/>
                <w:vanish w:val="0"/>
                <w:color w:val="auto"/>
              </w:rPr>
            </w:pPr>
            <w:r w:rsidRPr="00D776A0">
              <w:t>2019-2024</w:t>
            </w:r>
          </w:p>
        </w:tc>
        <w:tc>
          <w:tcPr>
            <w:tcW w:w="2268" w:type="dxa"/>
            <w:shd w:val="clear" w:color="auto" w:fill="auto"/>
          </w:tcPr>
          <w:p w:rsidR="00751A4A" w:rsidRPr="00D776A0" w:rsidRDefault="00187494" w:rsidP="0010095E">
            <w:pPr>
              <w:pStyle w:val="EPLogo"/>
            </w:pPr>
            <w:r w:rsidRPr="00D776A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76A0" w:rsidRDefault="00D058B8" w:rsidP="004C5D52">
      <w:pPr>
        <w:pStyle w:val="LineTop"/>
      </w:pPr>
    </w:p>
    <w:p w:rsidR="00680577" w:rsidRPr="00D776A0" w:rsidRDefault="00E5691C" w:rsidP="00680577">
      <w:pPr>
        <w:pStyle w:val="EPBodyTA1"/>
      </w:pPr>
      <w:r w:rsidRPr="00D776A0">
        <w:t>TESTI APPROVATI</w:t>
      </w:r>
    </w:p>
    <w:p w:rsidR="00D058B8" w:rsidRPr="00D776A0" w:rsidRDefault="00D058B8" w:rsidP="00D058B8">
      <w:pPr>
        <w:pStyle w:val="LineBottom"/>
      </w:pPr>
    </w:p>
    <w:p w:rsidR="00E5691C" w:rsidRPr="00D776A0" w:rsidRDefault="00E5691C" w:rsidP="00E5691C">
      <w:pPr>
        <w:pStyle w:val="ATHeading1"/>
      </w:pPr>
      <w:bookmarkStart w:id="0" w:name="TANumber"/>
      <w:r w:rsidRPr="00D776A0">
        <w:t>P9_</w:t>
      </w:r>
      <w:proofErr w:type="gramStart"/>
      <w:r w:rsidRPr="00D776A0">
        <w:t>TA(</w:t>
      </w:r>
      <w:proofErr w:type="gramEnd"/>
      <w:r w:rsidRPr="00D776A0">
        <w:t>2024)0</w:t>
      </w:r>
      <w:bookmarkEnd w:id="0"/>
      <w:r w:rsidR="00D47AC2" w:rsidRPr="00D776A0">
        <w:t>193</w:t>
      </w:r>
    </w:p>
    <w:p w:rsidR="00E5691C" w:rsidRPr="00D776A0" w:rsidRDefault="00E5691C" w:rsidP="00E5691C">
      <w:pPr>
        <w:pStyle w:val="ATHeading2"/>
      </w:pPr>
      <w:bookmarkStart w:id="1" w:name="title"/>
      <w:r w:rsidRPr="00D776A0">
        <w:t>Prodotti alimentari destinati al consumo umano: modifica di talune "direttive sulla colazione"</w:t>
      </w:r>
      <w:bookmarkEnd w:id="1"/>
    </w:p>
    <w:p w:rsidR="00E5691C" w:rsidRPr="00D776A0" w:rsidRDefault="00E5691C" w:rsidP="00E5691C">
      <w:pPr>
        <w:rPr>
          <w:i/>
          <w:vanish/>
        </w:rPr>
      </w:pPr>
      <w:r w:rsidRPr="00D776A0">
        <w:rPr>
          <w:i/>
        </w:rPr>
        <w:fldChar w:fldCharType="begin"/>
      </w:r>
      <w:r w:rsidRPr="00D776A0">
        <w:rPr>
          <w:i/>
        </w:rPr>
        <w:instrText xml:space="preserve"> TC"(</w:instrText>
      </w:r>
      <w:bookmarkStart w:id="2" w:name="DocNumber"/>
      <w:r w:rsidRPr="00D776A0">
        <w:rPr>
          <w:i/>
        </w:rPr>
        <w:instrText>A9-0385/2023</w:instrText>
      </w:r>
      <w:bookmarkEnd w:id="2"/>
      <w:r w:rsidRPr="00D776A0">
        <w:rPr>
          <w:i/>
        </w:rPr>
        <w:instrText xml:space="preserve"> - Relatore: Alexander Bernhuber)"\l3 \n&gt; \* MERGEFORMAT </w:instrText>
      </w:r>
      <w:r w:rsidRPr="00D776A0">
        <w:rPr>
          <w:i/>
        </w:rPr>
        <w:fldChar w:fldCharType="end"/>
      </w:r>
    </w:p>
    <w:p w:rsidR="00E5691C" w:rsidRPr="00D776A0" w:rsidRDefault="00E5691C" w:rsidP="00E5691C">
      <w:pPr>
        <w:rPr>
          <w:vanish/>
        </w:rPr>
      </w:pPr>
      <w:bookmarkStart w:id="3" w:name="Commission"/>
      <w:r w:rsidRPr="00D776A0">
        <w:rPr>
          <w:vanish/>
        </w:rPr>
        <w:t>Commissione per l'ambiente, la sanità pubblica e la sicurezza alimentare</w:t>
      </w:r>
      <w:bookmarkEnd w:id="3"/>
    </w:p>
    <w:p w:rsidR="00E5691C" w:rsidRPr="00D776A0" w:rsidRDefault="00E5691C" w:rsidP="00E5691C">
      <w:pPr>
        <w:rPr>
          <w:vanish/>
        </w:rPr>
      </w:pPr>
      <w:bookmarkStart w:id="4" w:name="PE"/>
      <w:r w:rsidRPr="00D776A0">
        <w:rPr>
          <w:vanish/>
        </w:rPr>
        <w:t>PE752.665</w:t>
      </w:r>
      <w:bookmarkEnd w:id="4"/>
    </w:p>
    <w:p w:rsidR="00E5691C" w:rsidRPr="00D776A0" w:rsidRDefault="00E5691C" w:rsidP="00E5691C">
      <w:pPr>
        <w:pStyle w:val="ATHeading3"/>
      </w:pPr>
      <w:bookmarkStart w:id="5" w:name="Sujet"/>
      <w:r w:rsidRPr="00D776A0">
        <w:t>Risoluzione legislativa del Parlamento europeo del 10 aprile 2024 sulla proposta di direttiva del Parlamento europeo e del Consiglio che modifica la direttiva 2001/110/CE del Consiglio concernente il miele, la direttiva 2001/112/CE del Consiglio concernente i succhi di frutta e altri prodotti analoghi destinati all'alimentazione umana, la direttiva 2001/113/CE del Consiglio relativa alle confetture, gelatine e marmellate di frutta e alla crema di marroni destinate all'alimentazione umana e la direttiva 2001/114/CE del Consiglio relativa a taluni tipi di latte conservato parzialmente o totalmente disidratato destinato all'alimentazione umana</w:t>
      </w:r>
      <w:bookmarkEnd w:id="5"/>
      <w:r w:rsidRPr="00D776A0">
        <w:t xml:space="preserve"> </w:t>
      </w:r>
      <w:bookmarkStart w:id="6" w:name="References"/>
      <w:r w:rsidRPr="00D776A0">
        <w:t>(COM(2023)0201 – C9-0140/2023 – 2023/0105(COD))</w:t>
      </w:r>
      <w:bookmarkEnd w:id="6"/>
    </w:p>
    <w:p w:rsidR="00C54F66" w:rsidRPr="00D776A0" w:rsidRDefault="00C54F66" w:rsidP="00D97E70">
      <w:pPr>
        <w:pStyle w:val="NormalBold"/>
        <w:spacing w:before="360"/>
      </w:pPr>
      <w:bookmarkStart w:id="7" w:name="TextBodyBegin"/>
      <w:bookmarkEnd w:id="7"/>
      <w:r w:rsidRPr="00D776A0">
        <w:t>(Procedura legislativa ordinaria: prima lettura)</w:t>
      </w:r>
    </w:p>
    <w:p w:rsidR="00C54F66" w:rsidRPr="00D776A0" w:rsidRDefault="00C54F66" w:rsidP="00C54F66">
      <w:pPr>
        <w:pStyle w:val="EPComma"/>
      </w:pPr>
      <w:r w:rsidRPr="00D776A0">
        <w:rPr>
          <w:i/>
        </w:rPr>
        <w:t>Il Parlamento europeo</w:t>
      </w:r>
      <w:r w:rsidRPr="00D776A0">
        <w:t>,</w:t>
      </w:r>
    </w:p>
    <w:p w:rsidR="00C54F66" w:rsidRPr="00D776A0" w:rsidRDefault="00C54F66" w:rsidP="00C54F66">
      <w:pPr>
        <w:pStyle w:val="NormalHanging12a"/>
      </w:pPr>
      <w:r w:rsidRPr="00D776A0">
        <w:t>–</w:t>
      </w:r>
      <w:r w:rsidRPr="00D776A0">
        <w:tab/>
        <w:t>vista la proposta della Commissione al Parlamento europeo e al Consiglio (</w:t>
      </w:r>
      <w:proofErr w:type="gramStart"/>
      <w:r w:rsidRPr="00D776A0">
        <w:t>COM(</w:t>
      </w:r>
      <w:proofErr w:type="gramEnd"/>
      <w:r w:rsidRPr="00D776A0">
        <w:t>2023)0201),</w:t>
      </w:r>
    </w:p>
    <w:p w:rsidR="00C54F66" w:rsidRPr="00D776A0" w:rsidRDefault="00C54F66" w:rsidP="00C54F66">
      <w:pPr>
        <w:pStyle w:val="NormalHanging12a"/>
      </w:pPr>
      <w:r w:rsidRPr="00D776A0">
        <w:t>–</w:t>
      </w:r>
      <w:r w:rsidRPr="00D776A0">
        <w:tab/>
        <w:t>visti l'articolo 294, paragrafo 2, e l'articolo 43, paragrafo 2, del trattato sul funzionamento dell'Unione europea, a norma dei quali la proposta gli è stata presentata dalla Commissione (C9</w:t>
      </w:r>
      <w:r w:rsidRPr="00D776A0">
        <w:noBreakHyphen/>
        <w:t>0140/2023),</w:t>
      </w:r>
    </w:p>
    <w:p w:rsidR="00C54F66" w:rsidRPr="00D776A0" w:rsidRDefault="00C54F66" w:rsidP="00C54F66">
      <w:pPr>
        <w:pStyle w:val="NormalHanging12a"/>
      </w:pPr>
      <w:r w:rsidRPr="00D776A0">
        <w:t>–</w:t>
      </w:r>
      <w:r w:rsidRPr="00D776A0">
        <w:tab/>
        <w:t>visto l'articolo 294, paragrafo 3, del trattato sul funzionamento dell'Unione europea,</w:t>
      </w:r>
    </w:p>
    <w:p w:rsidR="00C54F66" w:rsidRPr="00D776A0" w:rsidRDefault="00C54F66" w:rsidP="00C54F66">
      <w:pPr>
        <w:pStyle w:val="NormalHanging12a"/>
      </w:pPr>
      <w:r w:rsidRPr="00D776A0">
        <w:t>–</w:t>
      </w:r>
      <w:r w:rsidRPr="00D776A0">
        <w:tab/>
        <w:t>visto il parere del Comitato economico e sociale europeo del 21 settembre 2023</w:t>
      </w:r>
      <w:r w:rsidRPr="00D776A0">
        <w:rPr>
          <w:rStyle w:val="FootnoteReference"/>
        </w:rPr>
        <w:footnoteReference w:id="1"/>
      </w:r>
      <w:r w:rsidRPr="00D776A0">
        <w:t>,</w:t>
      </w:r>
    </w:p>
    <w:p w:rsidR="00C54F66" w:rsidRPr="00D776A0" w:rsidRDefault="00C54F66" w:rsidP="00C54F66">
      <w:pPr>
        <w:pStyle w:val="NormalHanging12a"/>
      </w:pPr>
      <w:r w:rsidRPr="00D776A0">
        <w:t>–</w:t>
      </w:r>
      <w:r w:rsidRPr="00D776A0">
        <w:tab/>
      </w:r>
      <w:r w:rsidR="00D97E70" w:rsidRPr="00D776A0">
        <w:t xml:space="preserve">previa consultazione </w:t>
      </w:r>
      <w:r w:rsidRPr="00D776A0">
        <w:t>del Comitato delle regioni del,</w:t>
      </w:r>
    </w:p>
    <w:p w:rsidR="00D97E70" w:rsidRPr="00D776A0" w:rsidRDefault="00D97E70" w:rsidP="00C54F66">
      <w:pPr>
        <w:pStyle w:val="NormalHanging12a"/>
      </w:pPr>
      <w:r w:rsidRPr="00D776A0">
        <w:t>–</w:t>
      </w:r>
      <w:r w:rsidRPr="00D776A0">
        <w:tab/>
        <w:t>visti l'accordo provvisorio approvato dalla commissione competente a norma dell'articolo 74, paragrafo 4, del regolamento e l'impegno assunto dal rappresentante del Consiglio, con lettera del 12 febbraio 2024, di approvare la posizione del Parlamento europeo, in conformità dell'articolo 294, paragrafo 4, del trattato sul funzionamento dell'Unione europea,</w:t>
      </w:r>
    </w:p>
    <w:p w:rsidR="00C54F66" w:rsidRPr="00D776A0" w:rsidRDefault="00C54F66" w:rsidP="00C54F66">
      <w:pPr>
        <w:pStyle w:val="NormalHanging12a"/>
      </w:pPr>
      <w:r w:rsidRPr="00D776A0">
        <w:lastRenderedPageBreak/>
        <w:t>–</w:t>
      </w:r>
      <w:r w:rsidRPr="00D776A0">
        <w:tab/>
        <w:t>visto l'articolo 59 del suo regolamento,</w:t>
      </w:r>
    </w:p>
    <w:p w:rsidR="00C54F66" w:rsidRPr="00D776A0" w:rsidRDefault="00C54F66" w:rsidP="00C54F66">
      <w:pPr>
        <w:pStyle w:val="NormalHanging12a"/>
      </w:pPr>
      <w:r w:rsidRPr="00D776A0">
        <w:t>–</w:t>
      </w:r>
      <w:r w:rsidRPr="00D776A0">
        <w:tab/>
        <w:t>visto il parere della commissione per l'agricoltura e lo sviluppo rurale,</w:t>
      </w:r>
    </w:p>
    <w:p w:rsidR="00C54F66" w:rsidRPr="00D776A0" w:rsidRDefault="00C54F66" w:rsidP="00C54F66">
      <w:pPr>
        <w:pStyle w:val="NormalHanging12a"/>
      </w:pPr>
      <w:r w:rsidRPr="00D776A0">
        <w:t>–</w:t>
      </w:r>
      <w:r w:rsidRPr="00D776A0">
        <w:tab/>
        <w:t>vista la relazione della commissione per l'ambiente, la sanità pubblica e la sicurezza alimentare (A9</w:t>
      </w:r>
      <w:r w:rsidRPr="00D776A0">
        <w:noBreakHyphen/>
        <w:t>0385/2023),</w:t>
      </w:r>
    </w:p>
    <w:p w:rsidR="00C54F66" w:rsidRPr="00D776A0" w:rsidRDefault="00C54F66" w:rsidP="00C54F66">
      <w:pPr>
        <w:pStyle w:val="NormalHanging12a"/>
      </w:pPr>
      <w:r w:rsidRPr="00D776A0">
        <w:t>1.</w:t>
      </w:r>
      <w:r w:rsidRPr="00D776A0">
        <w:tab/>
        <w:t>adotta la posizione in prima lettura figurante in appresso</w:t>
      </w:r>
      <w:r w:rsidR="00D97E70" w:rsidRPr="00D776A0">
        <w:rPr>
          <w:rStyle w:val="FootnoteReference"/>
          <w:szCs w:val="24"/>
        </w:rPr>
        <w:footnoteReference w:id="2"/>
      </w:r>
      <w:r w:rsidRPr="00D776A0">
        <w:t>;</w:t>
      </w:r>
    </w:p>
    <w:p w:rsidR="00C54F66" w:rsidRPr="00D776A0" w:rsidRDefault="00C54F66" w:rsidP="00C54F66">
      <w:pPr>
        <w:pStyle w:val="NormalHanging12a"/>
      </w:pPr>
      <w:r w:rsidRPr="00D776A0">
        <w:t>2.</w:t>
      </w:r>
      <w:r w:rsidRPr="00D776A0">
        <w:tab/>
        <w:t>chiede alla Commissione di presentargli nuovamente la proposta qualora la sostituisca, la modifichi sostanzialmente o intenda modificarla sostanzialmente;</w:t>
      </w:r>
    </w:p>
    <w:p w:rsidR="00D97E70" w:rsidRPr="00D776A0" w:rsidRDefault="00C54F66" w:rsidP="00C54F66">
      <w:pPr>
        <w:pStyle w:val="NormalHanging12a"/>
        <w:sectPr w:rsidR="00D97E70" w:rsidRPr="00D776A0" w:rsidSect="00A23BEE">
          <w:footnotePr>
            <w:numRestart w:val="eachSect"/>
          </w:footnotePr>
          <w:endnotePr>
            <w:numFmt w:val="decimal"/>
          </w:endnotePr>
          <w:pgSz w:w="11906" w:h="16838" w:code="9"/>
          <w:pgMar w:top="1134" w:right="1418" w:bottom="1418" w:left="1418" w:header="1134" w:footer="567" w:gutter="0"/>
          <w:cols w:space="720"/>
          <w:noEndnote/>
          <w:docGrid w:linePitch="326"/>
        </w:sectPr>
      </w:pPr>
      <w:r w:rsidRPr="00D776A0">
        <w:t>3.</w:t>
      </w:r>
      <w:r w:rsidRPr="00D776A0">
        <w:tab/>
        <w:t>incarica la sua Presidente di trasmettere la posizione del Parlamento al Consiglio e alla Commissione nonché ai parlamenti nazionali.</w:t>
      </w:r>
    </w:p>
    <w:p w:rsidR="00D97E70" w:rsidRPr="00D776A0" w:rsidRDefault="00D97E70" w:rsidP="00D97E70">
      <w:pPr>
        <w:spacing w:before="240"/>
        <w:rPr>
          <w:b/>
        </w:rPr>
      </w:pPr>
      <w:r w:rsidRPr="00D776A0">
        <w:rPr>
          <w:b/>
        </w:rPr>
        <w:lastRenderedPageBreak/>
        <w:t>P9_TC1-</w:t>
      </w:r>
      <w:proofErr w:type="gramStart"/>
      <w:r w:rsidRPr="00D776A0">
        <w:rPr>
          <w:b/>
        </w:rPr>
        <w:t>COD(</w:t>
      </w:r>
      <w:proofErr w:type="gramEnd"/>
      <w:r w:rsidRPr="00D776A0">
        <w:rPr>
          <w:b/>
        </w:rPr>
        <w:t>2023)0105</w:t>
      </w:r>
    </w:p>
    <w:p w:rsidR="00D97E70" w:rsidRDefault="00D97E70" w:rsidP="00D97E70">
      <w:pPr>
        <w:spacing w:before="360" w:after="360"/>
        <w:rPr>
          <w:rFonts w:eastAsia="Calibri"/>
          <w:b/>
          <w:szCs w:val="22"/>
          <w:lang w:eastAsia="en-US"/>
        </w:rPr>
      </w:pPr>
      <w:r w:rsidRPr="00D776A0">
        <w:rPr>
          <w:b/>
        </w:rPr>
        <w:t xml:space="preserve">Posizione del Parlamento europeo definita in prima lettura il 10 aprile 2024 in vista dell'adozione della direttiva (UE) 2024/... </w:t>
      </w:r>
      <w:bookmarkStart w:id="8" w:name="_GoBack"/>
      <w:r w:rsidRPr="00D776A0">
        <w:rPr>
          <w:b/>
        </w:rPr>
        <w:t xml:space="preserve">del Parlamento europeo e del Consiglio </w:t>
      </w:r>
      <w:r w:rsidRPr="00D776A0">
        <w:rPr>
          <w:rFonts w:eastAsia="Calibri"/>
          <w:b/>
          <w:szCs w:val="22"/>
          <w:lang w:eastAsia="en-US"/>
        </w:rPr>
        <w:t>che modifica la direttiva 2001/110/CE del Consiglio concernente il miele, la direttiva 2001/112/CE del Consiglio concernente i succhi di frutta e altri prodotti analoghi destinati all'alimentazione umana, la direttiv</w:t>
      </w:r>
      <w:bookmarkEnd w:id="8"/>
      <w:r w:rsidRPr="00D776A0">
        <w:rPr>
          <w:rFonts w:eastAsia="Calibri"/>
          <w:b/>
          <w:szCs w:val="22"/>
          <w:lang w:eastAsia="en-US"/>
        </w:rPr>
        <w:t>a 2001/113/CE del Consiglio relativa alle confetture, gelatine e marmellate di frutta e alla crema di marroni destinate all'alimentazione umana e la direttiva 2001/114/CE del Consiglio relativa a taluni tipi di latte conservato parzialmente o totalmente disidratato destinato all'alimentazione umana</w:t>
      </w:r>
    </w:p>
    <w:p w:rsidR="00833CA0" w:rsidRPr="00833CA0" w:rsidRDefault="00833CA0" w:rsidP="00833CA0">
      <w:pPr>
        <w:rPr>
          <w:i/>
        </w:rPr>
      </w:pPr>
      <w:r w:rsidRPr="00CD492A">
        <w:rPr>
          <w:i/>
        </w:rPr>
        <w:t>(Dato l'accordo tra il Parlamento e il Consiglio, la posizione del Parlamento corrisponde all'atto legislativo finale, la direttiva (UE) 20</w:t>
      </w:r>
      <w:r>
        <w:rPr>
          <w:i/>
        </w:rPr>
        <w:t>24</w:t>
      </w:r>
      <w:r w:rsidRPr="00CD492A">
        <w:rPr>
          <w:i/>
        </w:rPr>
        <w:t>/</w:t>
      </w:r>
      <w:r>
        <w:rPr>
          <w:i/>
        </w:rPr>
        <w:t>1438</w:t>
      </w:r>
      <w:r>
        <w:rPr>
          <w:i/>
        </w:rPr>
        <w:t>.</w:t>
      </w:r>
      <w:r w:rsidRPr="00CD492A">
        <w:rPr>
          <w:i/>
        </w:rPr>
        <w:t>)</w:t>
      </w:r>
    </w:p>
    <w:sectPr w:rsidR="00833CA0" w:rsidRPr="00833CA0" w:rsidSect="00833CA0">
      <w:footnotePr>
        <w:numRestart w:val="eachSect"/>
      </w:footnotePr>
      <w:endnotePr>
        <w:numFmt w:val="decimal"/>
      </w:end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91C" w:rsidRPr="00A23BEE" w:rsidRDefault="00E5691C">
      <w:r w:rsidRPr="00A23BEE">
        <w:separator/>
      </w:r>
    </w:p>
  </w:endnote>
  <w:endnote w:type="continuationSeparator" w:id="0">
    <w:p w:rsidR="00E5691C" w:rsidRPr="00A23BEE" w:rsidRDefault="00E5691C">
      <w:r w:rsidRPr="00A23B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91C" w:rsidRPr="00A23BEE" w:rsidRDefault="00E5691C">
      <w:r w:rsidRPr="00A23BEE">
        <w:separator/>
      </w:r>
    </w:p>
  </w:footnote>
  <w:footnote w:type="continuationSeparator" w:id="0">
    <w:p w:rsidR="00E5691C" w:rsidRPr="00A23BEE" w:rsidRDefault="00E5691C">
      <w:r w:rsidRPr="00A23BEE">
        <w:continuationSeparator/>
      </w:r>
    </w:p>
  </w:footnote>
  <w:footnote w:id="1">
    <w:p w:rsidR="00C54F66" w:rsidRPr="00D47AC2" w:rsidRDefault="00C54F66" w:rsidP="00A23BEE">
      <w:pPr>
        <w:pStyle w:val="FootnoteText"/>
        <w:ind w:left="567" w:hanging="567"/>
        <w:rPr>
          <w:sz w:val="24"/>
          <w:lang w:val="fi-FI"/>
        </w:rPr>
      </w:pPr>
      <w:r w:rsidRPr="00A23BEE">
        <w:rPr>
          <w:rStyle w:val="FootnoteReference"/>
          <w:sz w:val="24"/>
          <w:lang w:val="it-IT"/>
        </w:rPr>
        <w:footnoteRef/>
      </w:r>
      <w:r w:rsidR="00A23BEE" w:rsidRPr="00D47AC2">
        <w:rPr>
          <w:sz w:val="24"/>
          <w:lang w:val="fi-FI"/>
        </w:rPr>
        <w:t xml:space="preserve"> </w:t>
      </w:r>
      <w:r w:rsidR="00A23BEE" w:rsidRPr="00D47AC2">
        <w:rPr>
          <w:sz w:val="24"/>
          <w:lang w:val="fi-FI"/>
        </w:rPr>
        <w:tab/>
      </w:r>
      <w:r w:rsidRPr="00D47AC2">
        <w:rPr>
          <w:sz w:val="24"/>
          <w:lang w:val="fi-FI"/>
        </w:rPr>
        <w:t>GU C</w:t>
      </w:r>
      <w:r w:rsidR="00D97E70" w:rsidRPr="006E01FE">
        <w:rPr>
          <w:sz w:val="24"/>
          <w:szCs w:val="24"/>
          <w:lang w:val="fi-FI"/>
        </w:rPr>
        <w:t>, C/</w:t>
      </w:r>
      <w:r w:rsidR="00D97E70" w:rsidRPr="009832AD">
        <w:rPr>
          <w:sz w:val="24"/>
          <w:szCs w:val="24"/>
          <w:lang w:val="fi-FI"/>
        </w:rPr>
        <w:t>2023</w:t>
      </w:r>
      <w:r w:rsidR="00D97E70" w:rsidRPr="006E01FE">
        <w:rPr>
          <w:sz w:val="24"/>
          <w:szCs w:val="24"/>
          <w:lang w:val="fi-FI"/>
        </w:rPr>
        <w:t>/</w:t>
      </w:r>
      <w:r w:rsidR="00D97E70" w:rsidRPr="009832AD">
        <w:rPr>
          <w:sz w:val="24"/>
          <w:szCs w:val="24"/>
          <w:lang w:val="fi-FI"/>
        </w:rPr>
        <w:t>881</w:t>
      </w:r>
      <w:r w:rsidR="00D97E70" w:rsidRPr="006E01FE">
        <w:rPr>
          <w:sz w:val="24"/>
          <w:szCs w:val="24"/>
          <w:lang w:val="fi-FI"/>
        </w:rPr>
        <w:t xml:space="preserve">, </w:t>
      </w:r>
      <w:r w:rsidR="00D97E70" w:rsidRPr="009832AD">
        <w:rPr>
          <w:sz w:val="24"/>
          <w:szCs w:val="24"/>
          <w:lang w:val="fi-FI"/>
        </w:rPr>
        <w:t>8</w:t>
      </w:r>
      <w:r w:rsidR="00D97E70" w:rsidRPr="006E01FE">
        <w:rPr>
          <w:sz w:val="24"/>
          <w:szCs w:val="24"/>
          <w:lang w:val="fi-FI"/>
        </w:rPr>
        <w:t>.</w:t>
      </w:r>
      <w:r w:rsidR="00D97E70" w:rsidRPr="009832AD">
        <w:rPr>
          <w:sz w:val="24"/>
          <w:szCs w:val="24"/>
          <w:lang w:val="fi-FI"/>
        </w:rPr>
        <w:t>12</w:t>
      </w:r>
      <w:r w:rsidR="00D97E70" w:rsidRPr="006E01FE">
        <w:rPr>
          <w:sz w:val="24"/>
          <w:szCs w:val="24"/>
          <w:lang w:val="fi-FI"/>
        </w:rPr>
        <w:t>.</w:t>
      </w:r>
      <w:r w:rsidR="00D97E70" w:rsidRPr="009832AD">
        <w:rPr>
          <w:sz w:val="24"/>
          <w:szCs w:val="24"/>
          <w:lang w:val="fi-FI"/>
        </w:rPr>
        <w:t>2023</w:t>
      </w:r>
      <w:r w:rsidR="00D97E70" w:rsidRPr="006E01FE">
        <w:rPr>
          <w:sz w:val="24"/>
          <w:szCs w:val="24"/>
          <w:lang w:val="fi-FI"/>
        </w:rPr>
        <w:t xml:space="preserve">, ELI: </w:t>
      </w:r>
      <w:r w:rsidR="00D97E70" w:rsidRPr="009832AD">
        <w:rPr>
          <w:sz w:val="24"/>
          <w:szCs w:val="24"/>
          <w:lang w:val="fi-FI"/>
        </w:rPr>
        <w:t>http://data.europa.eu/eli/C/2023/881/oj</w:t>
      </w:r>
      <w:r w:rsidRPr="00D47AC2">
        <w:rPr>
          <w:sz w:val="24"/>
          <w:lang w:val="fi-FI"/>
        </w:rPr>
        <w:t>.</w:t>
      </w:r>
    </w:p>
  </w:footnote>
  <w:footnote w:id="2">
    <w:p w:rsidR="00D97E70" w:rsidRPr="007E7EAD" w:rsidRDefault="00D97E70" w:rsidP="00D97E70">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ab/>
        <w:t xml:space="preserve">La presente posizione </w:t>
      </w:r>
      <w:r w:rsidRPr="00D47AC2">
        <w:rPr>
          <w:sz w:val="24"/>
          <w:szCs w:val="24"/>
          <w:lang w:val="it-IT"/>
        </w:rPr>
        <w:t>sostituisce</w:t>
      </w:r>
      <w:r w:rsidRPr="007E7EAD">
        <w:rPr>
          <w:sz w:val="24"/>
          <w:szCs w:val="24"/>
          <w:lang w:val="it-IT"/>
        </w:rPr>
        <w:t xml:space="preserve"> gli emendamenti approvati </w:t>
      </w:r>
      <w:r>
        <w:rPr>
          <w:sz w:val="24"/>
          <w:szCs w:val="24"/>
          <w:lang w:val="it-IT"/>
        </w:rPr>
        <w:t xml:space="preserve">il </w:t>
      </w:r>
      <w:r w:rsidRPr="009832AD">
        <w:rPr>
          <w:sz w:val="24"/>
          <w:lang w:val="it-IT"/>
        </w:rPr>
        <w:t>12</w:t>
      </w:r>
      <w:r>
        <w:rPr>
          <w:sz w:val="24"/>
          <w:lang w:val="it-IT"/>
        </w:rPr>
        <w:t xml:space="preserve"> dicembre </w:t>
      </w:r>
      <w:r w:rsidRPr="009832AD">
        <w:rPr>
          <w:sz w:val="24"/>
          <w:lang w:val="it-IT"/>
        </w:rPr>
        <w:t>2023</w:t>
      </w:r>
      <w:r w:rsidRPr="007227AA">
        <w:rPr>
          <w:sz w:val="28"/>
          <w:szCs w:val="24"/>
          <w:lang w:val="it-IT"/>
        </w:rPr>
        <w:t xml:space="preserve"> </w:t>
      </w:r>
      <w:r w:rsidRPr="007E7EAD">
        <w:rPr>
          <w:sz w:val="24"/>
          <w:szCs w:val="24"/>
          <w:lang w:val="it-IT"/>
        </w:rPr>
        <w:t>(Testi approvati, P</w:t>
      </w:r>
      <w:r w:rsidRPr="009832AD">
        <w:rPr>
          <w:sz w:val="24"/>
          <w:szCs w:val="24"/>
          <w:lang w:val="it-IT"/>
        </w:rPr>
        <w:t>9</w:t>
      </w:r>
      <w:r w:rsidRPr="007E7EAD">
        <w:rPr>
          <w:sz w:val="24"/>
          <w:szCs w:val="24"/>
          <w:lang w:val="it-IT"/>
        </w:rPr>
        <w:t>_</w:t>
      </w:r>
      <w:proofErr w:type="gramStart"/>
      <w:r w:rsidRPr="007E7EAD">
        <w:rPr>
          <w:sz w:val="24"/>
          <w:szCs w:val="24"/>
          <w:lang w:val="it-IT"/>
        </w:rPr>
        <w:t>TA(</w:t>
      </w:r>
      <w:proofErr w:type="gramEnd"/>
      <w:r w:rsidRPr="009832AD">
        <w:rPr>
          <w:sz w:val="24"/>
          <w:szCs w:val="24"/>
          <w:lang w:val="it-IT"/>
        </w:rPr>
        <w:t>2023</w:t>
      </w:r>
      <w:r>
        <w:rPr>
          <w:sz w:val="24"/>
          <w:szCs w:val="24"/>
          <w:lang w:val="it-IT"/>
        </w:rPr>
        <w:t>)</w:t>
      </w:r>
      <w:r w:rsidRPr="009832AD">
        <w:rPr>
          <w:sz w:val="24"/>
          <w:szCs w:val="24"/>
          <w:lang w:val="it-IT"/>
        </w:rPr>
        <w:t>0445</w:t>
      </w:r>
      <w:r>
        <w:rPr>
          <w:sz w:val="24"/>
          <w:szCs w:val="24"/>
          <w:lang w:val="it-IT"/>
        </w:rPr>
        <w:t>)</w:t>
      </w:r>
      <w:r w:rsidRPr="007E7EAD">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8C22850"/>
    <w:multiLevelType w:val="hybridMultilevel"/>
    <w:tmpl w:val="DD0495F6"/>
    <w:lvl w:ilvl="0" w:tplc="7ECE2BE2">
      <w:start w:val="1"/>
      <w:numFmt w:val="bullet"/>
      <w:lvlText w:val="–"/>
      <w:lvlJc w:val="left"/>
      <w:pPr>
        <w:ind w:left="2345" w:hanging="360"/>
      </w:pPr>
      <w:rPr>
        <w:rFonts w:ascii="Times New Roman" w:eastAsia="Calibri" w:hAnsi="Times New Roman" w:cs="Times New Roman" w:hint="default"/>
      </w:rPr>
    </w:lvl>
    <w:lvl w:ilvl="1" w:tplc="080C0003" w:tentative="1">
      <w:start w:val="1"/>
      <w:numFmt w:val="bullet"/>
      <w:lvlText w:val="o"/>
      <w:lvlJc w:val="left"/>
      <w:pPr>
        <w:ind w:left="3065" w:hanging="360"/>
      </w:pPr>
      <w:rPr>
        <w:rFonts w:ascii="Courier New" w:hAnsi="Courier New" w:cs="Courier New" w:hint="default"/>
      </w:rPr>
    </w:lvl>
    <w:lvl w:ilvl="2" w:tplc="080C0005" w:tentative="1">
      <w:start w:val="1"/>
      <w:numFmt w:val="bullet"/>
      <w:lvlText w:val=""/>
      <w:lvlJc w:val="left"/>
      <w:pPr>
        <w:ind w:left="3785" w:hanging="360"/>
      </w:pPr>
      <w:rPr>
        <w:rFonts w:ascii="Wingdings" w:hAnsi="Wingdings" w:hint="default"/>
      </w:rPr>
    </w:lvl>
    <w:lvl w:ilvl="3" w:tplc="080C0001" w:tentative="1">
      <w:start w:val="1"/>
      <w:numFmt w:val="bullet"/>
      <w:lvlText w:val=""/>
      <w:lvlJc w:val="left"/>
      <w:pPr>
        <w:ind w:left="4505" w:hanging="360"/>
      </w:pPr>
      <w:rPr>
        <w:rFonts w:ascii="Symbol" w:hAnsi="Symbol" w:hint="default"/>
      </w:rPr>
    </w:lvl>
    <w:lvl w:ilvl="4" w:tplc="080C0003" w:tentative="1">
      <w:start w:val="1"/>
      <w:numFmt w:val="bullet"/>
      <w:lvlText w:val="o"/>
      <w:lvlJc w:val="left"/>
      <w:pPr>
        <w:ind w:left="5225" w:hanging="360"/>
      </w:pPr>
      <w:rPr>
        <w:rFonts w:ascii="Courier New" w:hAnsi="Courier New" w:cs="Courier New" w:hint="default"/>
      </w:rPr>
    </w:lvl>
    <w:lvl w:ilvl="5" w:tplc="080C0005" w:tentative="1">
      <w:start w:val="1"/>
      <w:numFmt w:val="bullet"/>
      <w:lvlText w:val=""/>
      <w:lvlJc w:val="left"/>
      <w:pPr>
        <w:ind w:left="5945" w:hanging="360"/>
      </w:pPr>
      <w:rPr>
        <w:rFonts w:ascii="Wingdings" w:hAnsi="Wingdings" w:hint="default"/>
      </w:rPr>
    </w:lvl>
    <w:lvl w:ilvl="6" w:tplc="080C0001" w:tentative="1">
      <w:start w:val="1"/>
      <w:numFmt w:val="bullet"/>
      <w:lvlText w:val=""/>
      <w:lvlJc w:val="left"/>
      <w:pPr>
        <w:ind w:left="6665" w:hanging="360"/>
      </w:pPr>
      <w:rPr>
        <w:rFonts w:ascii="Symbol" w:hAnsi="Symbol" w:hint="default"/>
      </w:rPr>
    </w:lvl>
    <w:lvl w:ilvl="7" w:tplc="080C0003" w:tentative="1">
      <w:start w:val="1"/>
      <w:numFmt w:val="bullet"/>
      <w:lvlText w:val="o"/>
      <w:lvlJc w:val="left"/>
      <w:pPr>
        <w:ind w:left="7385" w:hanging="360"/>
      </w:pPr>
      <w:rPr>
        <w:rFonts w:ascii="Courier New" w:hAnsi="Courier New" w:cs="Courier New" w:hint="default"/>
      </w:rPr>
    </w:lvl>
    <w:lvl w:ilvl="8" w:tplc="080C0005" w:tentative="1">
      <w:start w:val="1"/>
      <w:numFmt w:val="bullet"/>
      <w:lvlText w:val=""/>
      <w:lvlJc w:val="left"/>
      <w:pPr>
        <w:ind w:left="8105" w:hanging="360"/>
      </w:pPr>
      <w:rPr>
        <w:rFonts w:ascii="Wingdings" w:hAnsi="Wingdings" w:hint="default"/>
      </w:rPr>
    </w:lvl>
  </w:abstractNum>
  <w:abstractNum w:abstractNumId="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IT"/>
    <w:docVar w:name="dvnumam" w:val="0"/>
    <w:docVar w:name="dvpe" w:val="752.665"/>
    <w:docVar w:name="dvrapporteur" w:val="Relatore: "/>
    <w:docVar w:name="dvstar" w:val="***I"/>
    <w:docVar w:name="dvtitre" w:val="Risoluzione legislativa del Parlamento europeo del 10 aprile 2024 sulla proposta di direttiva del Parlamento europeo e del Consiglio che modifica la direttiva 2001/110/CE del Consiglio concernente il miele, la direttiva 2001/112/CE del Consiglio concernente i succhi di frutta e altri prodotti analoghi destinati all'alimentazione umana, la direttiva 2001/113/CE del Consiglio relativa alle confetture, gelatine e marmellate di frutta e alla crema di marroni destinate all'alimentazione umana e la direttiva 2001/114/CE del Consiglio relativa a taluni tipi di latte conservato parzialmente o totalmente disidratato destinato all'alimentazione umana(COM(2023)0201 – C9-0140/2023 – 2023/0105(COD))"/>
  </w:docVars>
  <w:rsids>
    <w:rsidRoot w:val="00E5691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3CA0"/>
    <w:rsid w:val="00842779"/>
    <w:rsid w:val="00865F67"/>
    <w:rsid w:val="00881A7B"/>
    <w:rsid w:val="008840E5"/>
    <w:rsid w:val="00887B3E"/>
    <w:rsid w:val="008C2AC6"/>
    <w:rsid w:val="00930C23"/>
    <w:rsid w:val="0093193B"/>
    <w:rsid w:val="009509D8"/>
    <w:rsid w:val="00950B64"/>
    <w:rsid w:val="00981893"/>
    <w:rsid w:val="009832AD"/>
    <w:rsid w:val="00A1687D"/>
    <w:rsid w:val="00A23BE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4F66"/>
    <w:rsid w:val="00C61C0C"/>
    <w:rsid w:val="00C941CB"/>
    <w:rsid w:val="00CC2357"/>
    <w:rsid w:val="00CF071A"/>
    <w:rsid w:val="00D058B8"/>
    <w:rsid w:val="00D47AC2"/>
    <w:rsid w:val="00D56C11"/>
    <w:rsid w:val="00D776A0"/>
    <w:rsid w:val="00D834A0"/>
    <w:rsid w:val="00D872DF"/>
    <w:rsid w:val="00D91E21"/>
    <w:rsid w:val="00D97E70"/>
    <w:rsid w:val="00DA7FCD"/>
    <w:rsid w:val="00E365E1"/>
    <w:rsid w:val="00E5691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2D211B"/>
  <w15:chartTrackingRefBased/>
  <w15:docId w15:val="{8C9F23E7-34A3-4785-8957-02D14DD2F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uiPriority="10" w:qFormat="1"/>
    <w:lsdException w:name="Body Text" w:uiPriority="1"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54F66"/>
    <w:rPr>
      <w:b/>
      <w:kern w:val="28"/>
      <w:sz w:val="28"/>
      <w:lang w:val="fr-FR" w:eastAsia="fr-FR"/>
    </w:rPr>
  </w:style>
  <w:style w:type="character" w:customStyle="1" w:styleId="Heading2Char">
    <w:name w:val="Heading 2 Char"/>
    <w:basedOn w:val="DefaultParagraphFont"/>
    <w:link w:val="Heading2"/>
    <w:semiHidden/>
    <w:rsid w:val="00C54F66"/>
    <w:rPr>
      <w:sz w:val="24"/>
      <w:lang w:val="fr-FR" w:eastAsia="fr-FR"/>
    </w:rPr>
  </w:style>
  <w:style w:type="character" w:customStyle="1" w:styleId="Heading3Char">
    <w:name w:val="Heading 3 Char"/>
    <w:basedOn w:val="DefaultParagraphFont"/>
    <w:link w:val="Heading3"/>
    <w:semiHidden/>
    <w:rsid w:val="00C54F66"/>
    <w:rPr>
      <w:rFonts w:ascii="Arial" w:hAnsi="Arial"/>
      <w:sz w:val="24"/>
      <w:lang w:val="fr-FR" w:eastAsia="fr-FR"/>
    </w:rPr>
  </w:style>
  <w:style w:type="character" w:customStyle="1" w:styleId="Heading4Char">
    <w:name w:val="Heading 4 Char"/>
    <w:basedOn w:val="DefaultParagraphFont"/>
    <w:link w:val="Heading4"/>
    <w:semiHidden/>
    <w:rsid w:val="00C54F66"/>
    <w:rPr>
      <w:sz w:val="24"/>
      <w:lang w:val="en-US" w:eastAsia="fr-FR"/>
    </w:rPr>
  </w:style>
  <w:style w:type="character" w:customStyle="1" w:styleId="Heading5Char">
    <w:name w:val="Heading 5 Char"/>
    <w:basedOn w:val="DefaultParagraphFont"/>
    <w:link w:val="Heading5"/>
    <w:semiHidden/>
    <w:rsid w:val="00C54F66"/>
    <w:rPr>
      <w:sz w:val="24"/>
      <w:lang w:val="en-US" w:eastAsia="fr-FR"/>
    </w:rPr>
  </w:style>
  <w:style w:type="character" w:customStyle="1" w:styleId="Heading6Char">
    <w:name w:val="Heading 6 Char"/>
    <w:basedOn w:val="DefaultParagraphFont"/>
    <w:link w:val="Heading6"/>
    <w:semiHidden/>
    <w:rsid w:val="00C54F66"/>
    <w:rPr>
      <w:i/>
      <w:sz w:val="22"/>
      <w:lang w:val="it-IT"/>
    </w:rPr>
  </w:style>
  <w:style w:type="character" w:customStyle="1" w:styleId="Heading7Char">
    <w:name w:val="Heading 7 Char"/>
    <w:basedOn w:val="DefaultParagraphFont"/>
    <w:link w:val="Heading7"/>
    <w:semiHidden/>
    <w:rsid w:val="00C54F66"/>
    <w:rPr>
      <w:rFonts w:ascii="Arial" w:hAnsi="Arial"/>
      <w:sz w:val="24"/>
      <w:lang w:val="it-IT"/>
    </w:rPr>
  </w:style>
  <w:style w:type="character" w:customStyle="1" w:styleId="Heading8Char">
    <w:name w:val="Heading 8 Char"/>
    <w:basedOn w:val="DefaultParagraphFont"/>
    <w:link w:val="Heading8"/>
    <w:semiHidden/>
    <w:rsid w:val="00C54F66"/>
    <w:rPr>
      <w:rFonts w:ascii="Arial" w:hAnsi="Arial"/>
      <w:i/>
      <w:sz w:val="24"/>
      <w:lang w:val="it-IT"/>
    </w:rPr>
  </w:style>
  <w:style w:type="character" w:customStyle="1" w:styleId="Heading9Char">
    <w:name w:val="Heading 9 Char"/>
    <w:basedOn w:val="DefaultParagraphFont"/>
    <w:link w:val="Heading9"/>
    <w:semiHidden/>
    <w:rsid w:val="00C54F66"/>
    <w:rPr>
      <w:rFonts w:ascii="Arial" w:hAnsi="Arial"/>
      <w:b/>
      <w:i/>
      <w:sz w:val="18"/>
      <w:lang w:val="it-IT"/>
    </w:rPr>
  </w:style>
  <w:style w:type="paragraph" w:styleId="TOCHeading">
    <w:name w:val="TOC Heading"/>
    <w:basedOn w:val="Normal"/>
    <w:next w:val="Normal"/>
    <w:uiPriority w:val="39"/>
    <w:unhideWhenUsed/>
    <w:qFormat/>
    <w:rsid w:val="00C54F66"/>
    <w:pPr>
      <w:widowControl/>
      <w:spacing w:after="240"/>
    </w:pPr>
    <w:rPr>
      <w:lang w:val="en-GB"/>
    </w:rPr>
  </w:style>
  <w:style w:type="paragraph" w:customStyle="1" w:styleId="EPFooter2">
    <w:name w:val="EPFooter2"/>
    <w:basedOn w:val="Normal"/>
    <w:next w:val="Normal"/>
    <w:rsid w:val="00C54F6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54F66"/>
    <w:pPr>
      <w:keepNext/>
      <w:spacing w:after="240"/>
      <w:jc w:val="right"/>
    </w:pPr>
    <w:rPr>
      <w:rFonts w:ascii="Arial" w:hAnsi="Arial"/>
      <w:b/>
    </w:rPr>
  </w:style>
  <w:style w:type="paragraph" w:customStyle="1" w:styleId="Normal6a">
    <w:name w:val="Normal6a"/>
    <w:basedOn w:val="Normal"/>
    <w:rsid w:val="00C54F66"/>
    <w:pPr>
      <w:spacing w:after="120"/>
    </w:pPr>
  </w:style>
  <w:style w:type="paragraph" w:customStyle="1" w:styleId="PageHeading">
    <w:name w:val="PageHeading"/>
    <w:basedOn w:val="Normal"/>
    <w:rsid w:val="00C54F66"/>
    <w:pPr>
      <w:keepNext/>
      <w:spacing w:after="480"/>
      <w:jc w:val="center"/>
    </w:pPr>
    <w:rPr>
      <w:rFonts w:ascii="Arial" w:hAnsi="Arial" w:cs="Arial"/>
      <w:b/>
    </w:rPr>
  </w:style>
  <w:style w:type="paragraph" w:customStyle="1" w:styleId="NormalBold">
    <w:name w:val="NormalBold"/>
    <w:basedOn w:val="Normal"/>
    <w:link w:val="NormalBoldChar"/>
    <w:rsid w:val="00C54F66"/>
    <w:rPr>
      <w:b/>
    </w:rPr>
  </w:style>
  <w:style w:type="paragraph" w:customStyle="1" w:styleId="NormalBold12a">
    <w:name w:val="NormalBold12a"/>
    <w:basedOn w:val="Normal"/>
    <w:rsid w:val="00C54F66"/>
    <w:pPr>
      <w:spacing w:after="240"/>
    </w:pPr>
    <w:rPr>
      <w:b/>
    </w:rPr>
  </w:style>
  <w:style w:type="paragraph" w:customStyle="1" w:styleId="AmJustText">
    <w:name w:val="AmJustText"/>
    <w:basedOn w:val="Normal"/>
    <w:rsid w:val="00C54F66"/>
    <w:pPr>
      <w:spacing w:after="240"/>
    </w:pPr>
    <w:rPr>
      <w:i/>
    </w:rPr>
  </w:style>
  <w:style w:type="paragraph" w:customStyle="1" w:styleId="NormalHanging12a">
    <w:name w:val="NormalHanging12a"/>
    <w:basedOn w:val="Normal"/>
    <w:rsid w:val="00C54F66"/>
    <w:pPr>
      <w:spacing w:after="240"/>
      <w:ind w:left="567" w:hanging="567"/>
    </w:pPr>
  </w:style>
  <w:style w:type="paragraph" w:customStyle="1" w:styleId="CoverNormal24a">
    <w:name w:val="CoverNormal24a"/>
    <w:basedOn w:val="Normal"/>
    <w:rsid w:val="00C54F66"/>
    <w:pPr>
      <w:spacing w:after="480"/>
      <w:ind w:left="1417"/>
    </w:pPr>
  </w:style>
  <w:style w:type="paragraph" w:customStyle="1" w:styleId="CoverNormal">
    <w:name w:val="CoverNormal"/>
    <w:basedOn w:val="Normal"/>
    <w:rsid w:val="00C54F66"/>
    <w:pPr>
      <w:ind w:left="1418"/>
    </w:pPr>
  </w:style>
  <w:style w:type="paragraph" w:customStyle="1" w:styleId="AmCrossRef">
    <w:name w:val="AmCrossRef"/>
    <w:basedOn w:val="Normal"/>
    <w:rsid w:val="00C54F66"/>
    <w:pPr>
      <w:spacing w:before="240" w:after="240"/>
      <w:jc w:val="center"/>
    </w:pPr>
    <w:rPr>
      <w:i/>
    </w:rPr>
  </w:style>
  <w:style w:type="paragraph" w:customStyle="1" w:styleId="AmJustTitle">
    <w:name w:val="AmJustTitle"/>
    <w:basedOn w:val="Normal"/>
    <w:next w:val="AmJustText"/>
    <w:rsid w:val="00C54F66"/>
    <w:pPr>
      <w:keepNext/>
      <w:spacing w:before="240" w:after="240"/>
      <w:jc w:val="center"/>
    </w:pPr>
    <w:rPr>
      <w:i/>
    </w:rPr>
  </w:style>
  <w:style w:type="paragraph" w:customStyle="1" w:styleId="CoverReference">
    <w:name w:val="CoverReference"/>
    <w:basedOn w:val="Normal"/>
    <w:rsid w:val="00C54F66"/>
    <w:pPr>
      <w:spacing w:before="1080"/>
      <w:jc w:val="right"/>
    </w:pPr>
    <w:rPr>
      <w:rFonts w:ascii="Arial" w:hAnsi="Arial" w:cs="Arial"/>
      <w:b/>
    </w:rPr>
  </w:style>
  <w:style w:type="paragraph" w:customStyle="1" w:styleId="CoverDocType">
    <w:name w:val="CoverDocType"/>
    <w:basedOn w:val="Normal"/>
    <w:rsid w:val="00C54F66"/>
    <w:pPr>
      <w:ind w:left="1418"/>
    </w:pPr>
    <w:rPr>
      <w:rFonts w:ascii="Arial" w:hAnsi="Arial"/>
      <w:b/>
      <w:sz w:val="48"/>
    </w:rPr>
  </w:style>
  <w:style w:type="paragraph" w:customStyle="1" w:styleId="CoverDocType24a">
    <w:name w:val="CoverDocType24a"/>
    <w:basedOn w:val="Normal"/>
    <w:rsid w:val="00C54F66"/>
    <w:pPr>
      <w:spacing w:after="480"/>
      <w:ind w:left="1418"/>
    </w:pPr>
    <w:rPr>
      <w:rFonts w:ascii="Arial" w:hAnsi="Arial"/>
      <w:b/>
      <w:sz w:val="48"/>
    </w:rPr>
  </w:style>
  <w:style w:type="paragraph" w:customStyle="1" w:styleId="CoverDate">
    <w:name w:val="CoverDate"/>
    <w:basedOn w:val="Normal"/>
    <w:rsid w:val="00C54F66"/>
    <w:pPr>
      <w:spacing w:before="240" w:after="1200"/>
    </w:pPr>
  </w:style>
  <w:style w:type="paragraph" w:styleId="Header">
    <w:name w:val="header"/>
    <w:basedOn w:val="Normal"/>
    <w:link w:val="HeaderChar"/>
    <w:rsid w:val="00C54F66"/>
    <w:pPr>
      <w:tabs>
        <w:tab w:val="center" w:pos="4513"/>
        <w:tab w:val="right" w:pos="9026"/>
      </w:tabs>
    </w:pPr>
  </w:style>
  <w:style w:type="character" w:customStyle="1" w:styleId="HeaderChar">
    <w:name w:val="Header Char"/>
    <w:basedOn w:val="DefaultParagraphFont"/>
    <w:link w:val="Header"/>
    <w:rsid w:val="00C54F66"/>
    <w:rPr>
      <w:sz w:val="24"/>
      <w:lang w:val="it-IT"/>
    </w:rPr>
  </w:style>
  <w:style w:type="paragraph" w:customStyle="1" w:styleId="AmOrLang">
    <w:name w:val="AmOrLang"/>
    <w:basedOn w:val="Normal"/>
    <w:rsid w:val="00C54F66"/>
    <w:pPr>
      <w:spacing w:before="240" w:after="240"/>
      <w:jc w:val="right"/>
    </w:pPr>
  </w:style>
  <w:style w:type="paragraph" w:customStyle="1" w:styleId="AmColumnHeading">
    <w:name w:val="AmColumnHeading"/>
    <w:basedOn w:val="Normal"/>
    <w:rsid w:val="00C54F66"/>
    <w:pPr>
      <w:spacing w:after="240"/>
      <w:jc w:val="center"/>
    </w:pPr>
    <w:rPr>
      <w:i/>
    </w:rPr>
  </w:style>
  <w:style w:type="paragraph" w:customStyle="1" w:styleId="AmNumberTabs">
    <w:name w:val="AmNumberTabs"/>
    <w:basedOn w:val="Normal"/>
    <w:link w:val="AmNumberTabsChar"/>
    <w:rsid w:val="00C54F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54F66"/>
    <w:pPr>
      <w:spacing w:before="240"/>
    </w:pPr>
    <w:rPr>
      <w:b/>
    </w:rPr>
  </w:style>
  <w:style w:type="paragraph" w:customStyle="1" w:styleId="EPBody">
    <w:name w:val="EPBody"/>
    <w:basedOn w:val="Normal"/>
    <w:rsid w:val="00C54F66"/>
    <w:pPr>
      <w:jc w:val="center"/>
    </w:pPr>
    <w:rPr>
      <w:rFonts w:ascii="Arial" w:hAnsi="Arial" w:cs="Arial"/>
      <w:i/>
      <w:sz w:val="22"/>
      <w:szCs w:val="22"/>
    </w:rPr>
  </w:style>
  <w:style w:type="paragraph" w:customStyle="1" w:styleId="EPFooter">
    <w:name w:val="EPFooter"/>
    <w:basedOn w:val="Normal"/>
    <w:rsid w:val="00C54F66"/>
    <w:pPr>
      <w:tabs>
        <w:tab w:val="center" w:pos="4535"/>
        <w:tab w:val="right" w:pos="9071"/>
      </w:tabs>
      <w:spacing w:before="240" w:after="240"/>
    </w:pPr>
    <w:rPr>
      <w:color w:val="010000"/>
      <w:sz w:val="22"/>
    </w:rPr>
  </w:style>
  <w:style w:type="paragraph" w:customStyle="1" w:styleId="EPComma">
    <w:name w:val="EPComma"/>
    <w:basedOn w:val="Normal"/>
    <w:rsid w:val="00C54F66"/>
    <w:pPr>
      <w:spacing w:before="480" w:after="240"/>
    </w:pPr>
  </w:style>
  <w:style w:type="paragraph" w:customStyle="1" w:styleId="Lgendesigne">
    <w:name w:val="Légende signe"/>
    <w:basedOn w:val="Normal"/>
    <w:rsid w:val="00C54F66"/>
    <w:pPr>
      <w:tabs>
        <w:tab w:val="right" w:pos="454"/>
        <w:tab w:val="left" w:pos="737"/>
      </w:tabs>
      <w:ind w:left="737" w:hanging="737"/>
    </w:pPr>
    <w:rPr>
      <w:snapToGrid w:val="0"/>
      <w:sz w:val="18"/>
      <w:lang w:eastAsia="en-US"/>
    </w:rPr>
  </w:style>
  <w:style w:type="paragraph" w:customStyle="1" w:styleId="Lgendetitre">
    <w:name w:val="Légende titre"/>
    <w:basedOn w:val="Normal"/>
    <w:rsid w:val="00C54F66"/>
    <w:pPr>
      <w:spacing w:before="240" w:after="240"/>
    </w:pPr>
    <w:rPr>
      <w:b/>
      <w:i/>
      <w:snapToGrid w:val="0"/>
      <w:lang w:eastAsia="en-US"/>
    </w:rPr>
  </w:style>
  <w:style w:type="paragraph" w:customStyle="1" w:styleId="Lgendestandard">
    <w:name w:val="Légende standard"/>
    <w:basedOn w:val="Normal"/>
    <w:rsid w:val="00C54F66"/>
    <w:rPr>
      <w:sz w:val="18"/>
    </w:rPr>
  </w:style>
  <w:style w:type="paragraph" w:customStyle="1" w:styleId="Normal6">
    <w:name w:val="Normal6"/>
    <w:basedOn w:val="Normal"/>
    <w:link w:val="Normal6Char"/>
    <w:rsid w:val="00C54F66"/>
    <w:pPr>
      <w:spacing w:after="120"/>
    </w:pPr>
  </w:style>
  <w:style w:type="paragraph" w:customStyle="1" w:styleId="Normal12Italic">
    <w:name w:val="Normal12Italic"/>
    <w:basedOn w:val="Normal"/>
    <w:rsid w:val="00C54F66"/>
    <w:pPr>
      <w:spacing w:after="240"/>
    </w:pPr>
    <w:rPr>
      <w:i/>
      <w:noProof/>
    </w:rPr>
  </w:style>
  <w:style w:type="character" w:customStyle="1" w:styleId="NormalBoldChar">
    <w:name w:val="NormalBold Char"/>
    <w:link w:val="NormalBold"/>
    <w:rsid w:val="00C54F66"/>
    <w:rPr>
      <w:b/>
      <w:sz w:val="24"/>
      <w:lang w:val="it-IT"/>
    </w:rPr>
  </w:style>
  <w:style w:type="paragraph" w:customStyle="1" w:styleId="JustificationTitle">
    <w:name w:val="JustificationTitle"/>
    <w:basedOn w:val="Normal"/>
    <w:next w:val="Normal"/>
    <w:rsid w:val="00C54F66"/>
    <w:pPr>
      <w:keepNext/>
      <w:spacing w:before="240" w:after="240"/>
      <w:jc w:val="center"/>
    </w:pPr>
    <w:rPr>
      <w:i/>
      <w:noProof/>
    </w:rPr>
  </w:style>
  <w:style w:type="character" w:customStyle="1" w:styleId="Normal6Char">
    <w:name w:val="Normal6 Char"/>
    <w:link w:val="Normal6"/>
    <w:rsid w:val="00C54F66"/>
    <w:rPr>
      <w:sz w:val="24"/>
      <w:lang w:val="it-IT"/>
    </w:rPr>
  </w:style>
  <w:style w:type="paragraph" w:customStyle="1" w:styleId="ColumnHeading">
    <w:name w:val="ColumnHeading"/>
    <w:basedOn w:val="Normal"/>
    <w:rsid w:val="00C54F66"/>
    <w:pPr>
      <w:spacing w:after="240"/>
      <w:jc w:val="center"/>
    </w:pPr>
    <w:rPr>
      <w:i/>
    </w:rPr>
  </w:style>
  <w:style w:type="paragraph" w:customStyle="1" w:styleId="AMNumberTabs0">
    <w:name w:val="AMNumberTabs"/>
    <w:basedOn w:val="Normal"/>
    <w:rsid w:val="00C54F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54F66"/>
    <w:pPr>
      <w:jc w:val="right"/>
    </w:pPr>
    <w:rPr>
      <w:lang w:val="it-IT"/>
    </w:rPr>
  </w:style>
  <w:style w:type="paragraph" w:styleId="BodyText">
    <w:name w:val="Body Text"/>
    <w:basedOn w:val="Normal"/>
    <w:link w:val="BodyTextChar"/>
    <w:uiPriority w:val="1"/>
    <w:unhideWhenUsed/>
    <w:qFormat/>
    <w:rsid w:val="00C54F66"/>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C54F66"/>
    <w:rPr>
      <w:sz w:val="24"/>
      <w:szCs w:val="24"/>
      <w:lang w:val="it-IT" w:eastAsia="en-US"/>
    </w:rPr>
  </w:style>
  <w:style w:type="paragraph" w:styleId="Footer">
    <w:name w:val="footer"/>
    <w:basedOn w:val="Normal"/>
    <w:link w:val="FooterChar"/>
    <w:uiPriority w:val="99"/>
    <w:rsid w:val="00C54F66"/>
    <w:pPr>
      <w:tabs>
        <w:tab w:val="center" w:pos="4513"/>
        <w:tab w:val="right" w:pos="9026"/>
      </w:tabs>
    </w:pPr>
  </w:style>
  <w:style w:type="character" w:customStyle="1" w:styleId="FooterChar">
    <w:name w:val="Footer Char"/>
    <w:basedOn w:val="DefaultParagraphFont"/>
    <w:link w:val="Footer"/>
    <w:uiPriority w:val="99"/>
    <w:rsid w:val="00C54F66"/>
    <w:rPr>
      <w:sz w:val="24"/>
      <w:lang w:val="it-IT"/>
    </w:rPr>
  </w:style>
  <w:style w:type="paragraph" w:customStyle="1" w:styleId="Normal24a">
    <w:name w:val="Normal24a"/>
    <w:basedOn w:val="Normal"/>
    <w:rsid w:val="00C54F66"/>
    <w:pPr>
      <w:spacing w:after="480"/>
    </w:pPr>
  </w:style>
  <w:style w:type="paragraph" w:customStyle="1" w:styleId="NormalBoldCenter">
    <w:name w:val="NormalBoldCenter"/>
    <w:basedOn w:val="Normal"/>
    <w:rsid w:val="00C54F66"/>
    <w:pPr>
      <w:jc w:val="center"/>
    </w:pPr>
    <w:rPr>
      <w:b/>
    </w:rPr>
  </w:style>
  <w:style w:type="paragraph" w:styleId="CommentText">
    <w:name w:val="annotation text"/>
    <w:basedOn w:val="Normal"/>
    <w:link w:val="CommentTextChar"/>
    <w:unhideWhenUsed/>
    <w:rsid w:val="00C54F66"/>
    <w:pPr>
      <w:widowControl/>
    </w:pPr>
    <w:rPr>
      <w:sz w:val="20"/>
    </w:rPr>
  </w:style>
  <w:style w:type="character" w:customStyle="1" w:styleId="CommentTextChar">
    <w:name w:val="Comment Text Char"/>
    <w:basedOn w:val="DefaultParagraphFont"/>
    <w:link w:val="CommentText"/>
    <w:rsid w:val="00C54F66"/>
    <w:rPr>
      <w:lang w:val="it-IT"/>
    </w:rPr>
  </w:style>
  <w:style w:type="character" w:styleId="CommentReference">
    <w:name w:val="annotation reference"/>
    <w:basedOn w:val="DefaultParagraphFont"/>
    <w:unhideWhenUsed/>
    <w:rsid w:val="00C54F66"/>
    <w:rPr>
      <w:sz w:val="16"/>
      <w:szCs w:val="16"/>
    </w:rPr>
  </w:style>
  <w:style w:type="paragraph" w:styleId="BalloonText">
    <w:name w:val="Balloon Text"/>
    <w:basedOn w:val="Normal"/>
    <w:link w:val="BalloonTextChar"/>
    <w:unhideWhenUsed/>
    <w:rsid w:val="00C54F66"/>
    <w:rPr>
      <w:rFonts w:ascii="Segoe UI" w:hAnsi="Segoe UI" w:cs="Segoe UI"/>
      <w:sz w:val="18"/>
      <w:szCs w:val="18"/>
    </w:rPr>
  </w:style>
  <w:style w:type="character" w:customStyle="1" w:styleId="BalloonTextChar">
    <w:name w:val="Balloon Text Char"/>
    <w:basedOn w:val="DefaultParagraphFont"/>
    <w:link w:val="BalloonText"/>
    <w:rsid w:val="00C54F66"/>
    <w:rPr>
      <w:rFonts w:ascii="Segoe UI" w:hAnsi="Segoe UI" w:cs="Segoe UI"/>
      <w:sz w:val="18"/>
      <w:szCs w:val="18"/>
      <w:lang w:val="it-IT"/>
    </w:rPr>
  </w:style>
  <w:style w:type="paragraph" w:styleId="CommentSubject">
    <w:name w:val="annotation subject"/>
    <w:basedOn w:val="CommentText"/>
    <w:next w:val="CommentText"/>
    <w:link w:val="CommentSubjectChar"/>
    <w:unhideWhenUsed/>
    <w:rsid w:val="00C54F66"/>
    <w:pPr>
      <w:widowControl w:val="0"/>
    </w:pPr>
    <w:rPr>
      <w:b/>
      <w:bCs/>
    </w:rPr>
  </w:style>
  <w:style w:type="character" w:customStyle="1" w:styleId="CommentSubjectChar">
    <w:name w:val="Comment Subject Char"/>
    <w:basedOn w:val="CommentTextChar"/>
    <w:link w:val="CommentSubject"/>
    <w:rsid w:val="00C54F66"/>
    <w:rPr>
      <w:b/>
      <w:bCs/>
      <w:lang w:val="it-IT"/>
    </w:rPr>
  </w:style>
  <w:style w:type="character" w:styleId="Hyperlink">
    <w:name w:val="Hyperlink"/>
    <w:basedOn w:val="DefaultParagraphFont"/>
    <w:uiPriority w:val="99"/>
    <w:rsid w:val="00C54F66"/>
    <w:rPr>
      <w:color w:val="0563C1" w:themeColor="hyperlink"/>
      <w:u w:val="single"/>
    </w:rPr>
  </w:style>
  <w:style w:type="character" w:customStyle="1" w:styleId="boldface">
    <w:name w:val="boldface"/>
    <w:basedOn w:val="DefaultParagraphFont"/>
    <w:rsid w:val="00C54F66"/>
  </w:style>
  <w:style w:type="paragraph" w:styleId="Revision">
    <w:name w:val="Revision"/>
    <w:hidden/>
    <w:uiPriority w:val="99"/>
    <w:semiHidden/>
    <w:rsid w:val="00C54F66"/>
    <w:rPr>
      <w:sz w:val="24"/>
      <w:lang w:val="it-IT"/>
    </w:rPr>
  </w:style>
  <w:style w:type="paragraph" w:customStyle="1" w:styleId="EntPE">
    <w:name w:val="EntPE"/>
    <w:basedOn w:val="Normal12"/>
    <w:rsid w:val="00C54F66"/>
    <w:pPr>
      <w:jc w:val="center"/>
    </w:pPr>
    <w:rPr>
      <w:noProof w:val="0"/>
      <w:sz w:val="56"/>
    </w:rPr>
  </w:style>
  <w:style w:type="paragraph" w:customStyle="1" w:styleId="Normal12">
    <w:name w:val="Normal12"/>
    <w:basedOn w:val="Normal"/>
    <w:link w:val="Normal12Char"/>
    <w:rsid w:val="00C54F66"/>
    <w:pPr>
      <w:spacing w:after="240"/>
    </w:pPr>
    <w:rPr>
      <w:noProof/>
    </w:rPr>
  </w:style>
  <w:style w:type="character" w:customStyle="1" w:styleId="Normal12Char">
    <w:name w:val="Normal12 Char"/>
    <w:basedOn w:val="DefaultParagraphFont"/>
    <w:link w:val="Normal12"/>
    <w:locked/>
    <w:rsid w:val="00C54F66"/>
    <w:rPr>
      <w:noProof/>
      <w:sz w:val="24"/>
      <w:lang w:val="it-IT"/>
    </w:rPr>
  </w:style>
  <w:style w:type="paragraph" w:customStyle="1" w:styleId="CrossRef">
    <w:name w:val="CrossRef"/>
    <w:basedOn w:val="Normal"/>
    <w:rsid w:val="00C54F66"/>
    <w:pPr>
      <w:spacing w:before="240"/>
      <w:jc w:val="center"/>
    </w:pPr>
    <w:rPr>
      <w:i/>
    </w:rPr>
  </w:style>
  <w:style w:type="character" w:customStyle="1" w:styleId="AmNumberTabsChar">
    <w:name w:val="AmNumberTabs Char"/>
    <w:basedOn w:val="DefaultParagraphFont"/>
    <w:link w:val="AmNumberTabs"/>
    <w:rsid w:val="00C54F66"/>
    <w:rPr>
      <w:b/>
      <w:sz w:val="24"/>
      <w:lang w:val="it-IT"/>
    </w:rPr>
  </w:style>
  <w:style w:type="character" w:customStyle="1" w:styleId="NormalBold12bChar">
    <w:name w:val="NormalBold12b Char"/>
    <w:basedOn w:val="AmNumberTabsChar"/>
    <w:link w:val="NormalBold12b"/>
    <w:rsid w:val="00C54F66"/>
    <w:rPr>
      <w:b/>
      <w:sz w:val="24"/>
      <w:lang w:val="it-IT"/>
    </w:rPr>
  </w:style>
  <w:style w:type="paragraph" w:customStyle="1" w:styleId="Point0number">
    <w:name w:val="Point 0 (number)"/>
    <w:basedOn w:val="Normal"/>
    <w:rsid w:val="00C54F66"/>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C54F66"/>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C54F66"/>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C54F66"/>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C54F66"/>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C54F66"/>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C54F66"/>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C54F66"/>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C54F66"/>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C54F66"/>
    <w:pPr>
      <w:widowControl/>
      <w:spacing w:before="120" w:after="120"/>
      <w:ind w:left="1417"/>
      <w:jc w:val="both"/>
    </w:pPr>
    <w:rPr>
      <w:rFonts w:eastAsiaTheme="minorHAnsi"/>
      <w:szCs w:val="22"/>
      <w:lang w:eastAsia="en-US"/>
    </w:rPr>
  </w:style>
  <w:style w:type="paragraph" w:customStyle="1" w:styleId="Normal12a">
    <w:name w:val="Normal12a"/>
    <w:basedOn w:val="Normal"/>
    <w:rsid w:val="00C54F66"/>
    <w:pPr>
      <w:spacing w:after="240"/>
    </w:pPr>
  </w:style>
  <w:style w:type="paragraph" w:customStyle="1" w:styleId="RollCallVotes">
    <w:name w:val="RollCallVotes"/>
    <w:basedOn w:val="Normal"/>
    <w:rsid w:val="00C54F66"/>
    <w:pPr>
      <w:spacing w:before="120" w:after="120"/>
      <w:jc w:val="center"/>
    </w:pPr>
    <w:rPr>
      <w:b/>
      <w:bCs/>
      <w:snapToGrid w:val="0"/>
      <w:sz w:val="16"/>
      <w:lang w:eastAsia="en-US"/>
    </w:rPr>
  </w:style>
  <w:style w:type="paragraph" w:customStyle="1" w:styleId="RollCallTabs">
    <w:name w:val="RollCallTabs"/>
    <w:basedOn w:val="Normal"/>
    <w:qFormat/>
    <w:rsid w:val="00C54F66"/>
    <w:pPr>
      <w:tabs>
        <w:tab w:val="center" w:pos="284"/>
        <w:tab w:val="left" w:pos="426"/>
      </w:tabs>
    </w:pPr>
    <w:rPr>
      <w:snapToGrid w:val="0"/>
      <w:lang w:eastAsia="en-US"/>
    </w:rPr>
  </w:style>
  <w:style w:type="paragraph" w:customStyle="1" w:styleId="RollCallSymbols14pt">
    <w:name w:val="RollCallSymbols14pt"/>
    <w:basedOn w:val="Normal"/>
    <w:rsid w:val="00C54F66"/>
    <w:pPr>
      <w:spacing w:before="120" w:after="120"/>
      <w:jc w:val="center"/>
    </w:pPr>
    <w:rPr>
      <w:rFonts w:ascii="Arial" w:hAnsi="Arial"/>
      <w:b/>
      <w:bCs/>
      <w:snapToGrid w:val="0"/>
      <w:sz w:val="28"/>
      <w:lang w:eastAsia="en-US"/>
    </w:rPr>
  </w:style>
  <w:style w:type="paragraph" w:customStyle="1" w:styleId="RollCallTable">
    <w:name w:val="RollCallTable"/>
    <w:basedOn w:val="Normal"/>
    <w:rsid w:val="00C54F66"/>
    <w:pPr>
      <w:spacing w:before="120" w:after="120"/>
    </w:pPr>
    <w:rPr>
      <w:snapToGrid w:val="0"/>
      <w:sz w:val="16"/>
      <w:lang w:eastAsia="en-US"/>
    </w:rPr>
  </w:style>
  <w:style w:type="paragraph" w:customStyle="1" w:styleId="PageHeadingNotTOC">
    <w:name w:val="PageHeadingNotTOC"/>
    <w:basedOn w:val="Normal"/>
    <w:rsid w:val="00C54F66"/>
    <w:pPr>
      <w:keepNext/>
      <w:spacing w:after="480"/>
      <w:jc w:val="center"/>
    </w:pPr>
    <w:rPr>
      <w:rFonts w:ascii="Arial" w:hAnsi="Arial" w:cs="Arial"/>
      <w:b/>
    </w:rPr>
  </w:style>
  <w:style w:type="paragraph" w:customStyle="1" w:styleId="AmHeadingPA">
    <w:name w:val="AmHeadingPA"/>
    <w:basedOn w:val="Normal"/>
    <w:next w:val="Normal"/>
    <w:rsid w:val="00C54F66"/>
    <w:pPr>
      <w:spacing w:before="480" w:after="240"/>
      <w:jc w:val="center"/>
    </w:pPr>
    <w:rPr>
      <w:rFonts w:ascii="Arial" w:hAnsi="Arial"/>
      <w:b/>
      <w:caps/>
      <w:snapToGrid w:val="0"/>
      <w:szCs w:val="24"/>
      <w:lang w:eastAsia="en-US"/>
    </w:rPr>
  </w:style>
  <w:style w:type="character" w:styleId="FollowedHyperlink">
    <w:name w:val="FollowedHyperlink"/>
    <w:basedOn w:val="DefaultParagraphFont"/>
    <w:uiPriority w:val="99"/>
    <w:unhideWhenUsed/>
    <w:rsid w:val="00C54F66"/>
    <w:rPr>
      <w:color w:val="954F72" w:themeColor="followedHyperlink"/>
      <w:u w:val="single"/>
    </w:rPr>
  </w:style>
  <w:style w:type="paragraph" w:customStyle="1" w:styleId="msonormal0">
    <w:name w:val="msonormal"/>
    <w:basedOn w:val="Normal"/>
    <w:rsid w:val="00C54F66"/>
    <w:pPr>
      <w:widowControl/>
      <w:spacing w:before="100" w:beforeAutospacing="1" w:after="100" w:afterAutospacing="1"/>
    </w:pPr>
    <w:rPr>
      <w:szCs w:val="24"/>
    </w:rPr>
  </w:style>
  <w:style w:type="paragraph" w:styleId="Title">
    <w:name w:val="Title"/>
    <w:basedOn w:val="Normal"/>
    <w:next w:val="Normal"/>
    <w:link w:val="TitleChar"/>
    <w:uiPriority w:val="10"/>
    <w:qFormat/>
    <w:rsid w:val="00C54F66"/>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C54F66"/>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C54F66"/>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C54F66"/>
    <w:rPr>
      <w:rFonts w:ascii="Arial" w:eastAsiaTheme="majorEastAsia" w:hAnsi="Arial" w:cs="Arial"/>
      <w:sz w:val="24"/>
      <w:szCs w:val="24"/>
      <w:lang w:val="it-IT" w:eastAsia="en-US"/>
    </w:rPr>
  </w:style>
  <w:style w:type="character" w:styleId="Strong">
    <w:name w:val="Strong"/>
    <w:basedOn w:val="DefaultParagraphFont"/>
    <w:uiPriority w:val="22"/>
    <w:qFormat/>
    <w:rsid w:val="00C54F66"/>
    <w:rPr>
      <w:b/>
      <w:bCs/>
    </w:rPr>
  </w:style>
  <w:style w:type="character" w:styleId="Emphasis">
    <w:name w:val="Emphasis"/>
    <w:basedOn w:val="DefaultParagraphFont"/>
    <w:uiPriority w:val="20"/>
    <w:qFormat/>
    <w:rsid w:val="00C54F66"/>
    <w:rPr>
      <w:rFonts w:asciiTheme="minorHAnsi" w:hAnsiTheme="minorHAnsi"/>
      <w:b/>
      <w:i/>
      <w:iCs/>
    </w:rPr>
  </w:style>
  <w:style w:type="paragraph" w:styleId="NoSpacing">
    <w:name w:val="No Spacing"/>
    <w:basedOn w:val="Normal"/>
    <w:uiPriority w:val="1"/>
    <w:qFormat/>
    <w:rsid w:val="00C54F66"/>
    <w:pPr>
      <w:widowControl/>
      <w:jc w:val="both"/>
    </w:pPr>
    <w:rPr>
      <w:rFonts w:eastAsiaTheme="minorHAnsi"/>
      <w:szCs w:val="32"/>
      <w:lang w:eastAsia="en-US"/>
    </w:rPr>
  </w:style>
  <w:style w:type="paragraph" w:styleId="ListParagraph">
    <w:name w:val="List Paragraph"/>
    <w:basedOn w:val="Normal"/>
    <w:uiPriority w:val="34"/>
    <w:qFormat/>
    <w:rsid w:val="00C54F66"/>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C54F66"/>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C54F66"/>
    <w:rPr>
      <w:rFonts w:eastAsiaTheme="minorHAnsi"/>
      <w:i/>
      <w:sz w:val="24"/>
      <w:szCs w:val="24"/>
      <w:lang w:val="it-IT" w:eastAsia="en-US"/>
    </w:rPr>
  </w:style>
  <w:style w:type="paragraph" w:styleId="IntenseQuote">
    <w:name w:val="Intense Quote"/>
    <w:basedOn w:val="Normal"/>
    <w:next w:val="Normal"/>
    <w:link w:val="IntenseQuoteChar"/>
    <w:uiPriority w:val="30"/>
    <w:qFormat/>
    <w:rsid w:val="00C54F66"/>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C54F66"/>
    <w:rPr>
      <w:rFonts w:eastAsiaTheme="minorHAnsi"/>
      <w:b/>
      <w:i/>
      <w:sz w:val="24"/>
      <w:szCs w:val="22"/>
      <w:lang w:val="it-IT" w:eastAsia="en-US"/>
    </w:rPr>
  </w:style>
  <w:style w:type="character" w:styleId="SubtleEmphasis">
    <w:name w:val="Subtle Emphasis"/>
    <w:uiPriority w:val="19"/>
    <w:qFormat/>
    <w:rsid w:val="00C54F66"/>
    <w:rPr>
      <w:i/>
      <w:color w:val="5A5A5A" w:themeColor="text1" w:themeTint="A5"/>
    </w:rPr>
  </w:style>
  <w:style w:type="character" w:styleId="IntenseEmphasis">
    <w:name w:val="Intense Emphasis"/>
    <w:basedOn w:val="DefaultParagraphFont"/>
    <w:uiPriority w:val="21"/>
    <w:qFormat/>
    <w:rsid w:val="00C54F66"/>
    <w:rPr>
      <w:b/>
      <w:i/>
      <w:sz w:val="24"/>
      <w:szCs w:val="24"/>
      <w:u w:val="single"/>
    </w:rPr>
  </w:style>
  <w:style w:type="character" w:styleId="SubtleReference">
    <w:name w:val="Subtle Reference"/>
    <w:basedOn w:val="DefaultParagraphFont"/>
    <w:uiPriority w:val="31"/>
    <w:qFormat/>
    <w:rsid w:val="00C54F66"/>
    <w:rPr>
      <w:sz w:val="24"/>
      <w:szCs w:val="24"/>
      <w:u w:val="single"/>
    </w:rPr>
  </w:style>
  <w:style w:type="character" w:styleId="IntenseReference">
    <w:name w:val="Intense Reference"/>
    <w:basedOn w:val="DefaultParagraphFont"/>
    <w:uiPriority w:val="32"/>
    <w:qFormat/>
    <w:rsid w:val="00C54F66"/>
    <w:rPr>
      <w:b/>
      <w:sz w:val="24"/>
      <w:u w:val="single"/>
    </w:rPr>
  </w:style>
  <w:style w:type="character" w:styleId="BookTitle">
    <w:name w:val="Book Title"/>
    <w:basedOn w:val="DefaultParagraphFont"/>
    <w:uiPriority w:val="33"/>
    <w:qFormat/>
    <w:rsid w:val="00C54F66"/>
    <w:rPr>
      <w:rFonts w:asciiTheme="majorHAnsi" w:eastAsiaTheme="majorEastAsia" w:hAnsiTheme="majorHAnsi"/>
      <w:b/>
      <w:i/>
      <w:sz w:val="24"/>
      <w:szCs w:val="24"/>
    </w:rPr>
  </w:style>
  <w:style w:type="character" w:customStyle="1" w:styleId="Hyperlink2">
    <w:name w:val="Hyperlink2"/>
    <w:basedOn w:val="DefaultParagraphFont"/>
    <w:uiPriority w:val="99"/>
    <w:unhideWhenUsed/>
    <w:rsid w:val="00D97E70"/>
    <w:rPr>
      <w:color w:val="0000FF"/>
      <w:u w:val="single"/>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D97E70"/>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330E0-F61B-473C-8068-F0CC40E51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432</Words>
  <Characters>2992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dc:creator>
  <cp:keywords/>
  <cp:lastModifiedBy>ARossi-RELEC</cp:lastModifiedBy>
  <cp:revision>2</cp:revision>
  <cp:lastPrinted>2004-11-19T15:42:00Z</cp:lastPrinted>
  <dcterms:created xsi:type="dcterms:W3CDTF">2024-07-30T16:05:00Z</dcterms:created>
  <dcterms:modified xsi:type="dcterms:W3CDTF">2024-07-30T16:05:00Z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P9_TA(2024)0193_</vt:lpwstr>
  </property>
  <property fmtid="{D5CDD505-2E9C-101B-9397-08002B2CF9AE}" pid="4" name="&lt;Type&gt;">
    <vt:lpwstr>RR</vt:lpwstr>
  </property>
</Properties>
</file>