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6B29" w:rsidTr="0010095E">
        <w:trPr>
          <w:trHeight w:hRule="exact" w:val="1418"/>
        </w:trPr>
        <w:tc>
          <w:tcPr>
            <w:tcW w:w="6804" w:type="dxa"/>
            <w:shd w:val="clear" w:color="auto" w:fill="auto"/>
            <w:vAlign w:val="center"/>
          </w:tcPr>
          <w:p w:rsidR="00751A4A" w:rsidRPr="004B6B29" w:rsidRDefault="0057572C" w:rsidP="0010095E">
            <w:pPr>
              <w:pStyle w:val="EPName"/>
            </w:pPr>
            <w:r w:rsidRPr="004B6B29">
              <w:t>Eiropas Parlaments</w:t>
            </w:r>
          </w:p>
          <w:p w:rsidR="00751A4A" w:rsidRPr="004B6B29" w:rsidRDefault="00817416" w:rsidP="00756632">
            <w:pPr>
              <w:pStyle w:val="EPTerm"/>
              <w:rPr>
                <w:rStyle w:val="HideTWBExt"/>
                <w:noProof w:val="0"/>
                <w:vanish w:val="0"/>
                <w:color w:val="auto"/>
              </w:rPr>
            </w:pPr>
            <w:r w:rsidRPr="004B6B29">
              <w:t>2019-2024</w:t>
            </w:r>
          </w:p>
        </w:tc>
        <w:tc>
          <w:tcPr>
            <w:tcW w:w="2268" w:type="dxa"/>
            <w:shd w:val="clear" w:color="auto" w:fill="auto"/>
          </w:tcPr>
          <w:p w:rsidR="00751A4A" w:rsidRPr="004B6B29" w:rsidRDefault="00187494" w:rsidP="0010095E">
            <w:pPr>
              <w:pStyle w:val="EPLogo"/>
            </w:pPr>
            <w:r w:rsidRPr="004B6B2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B6B29" w:rsidRDefault="00D058B8" w:rsidP="004C5D52">
      <w:pPr>
        <w:pStyle w:val="LineTop"/>
      </w:pPr>
    </w:p>
    <w:p w:rsidR="00680577" w:rsidRPr="004B6B29" w:rsidRDefault="0057572C" w:rsidP="00680577">
      <w:pPr>
        <w:pStyle w:val="EPBodyTA1"/>
      </w:pPr>
      <w:r w:rsidRPr="004B6B29">
        <w:t>PIEŅEMTIE TEKSTI</w:t>
      </w:r>
    </w:p>
    <w:p w:rsidR="00D058B8" w:rsidRPr="004B6B29" w:rsidRDefault="00D058B8" w:rsidP="00D058B8">
      <w:pPr>
        <w:pStyle w:val="LineBottom"/>
      </w:pPr>
    </w:p>
    <w:p w:rsidR="0057572C" w:rsidRPr="004B6B29" w:rsidRDefault="0057572C" w:rsidP="0057572C">
      <w:pPr>
        <w:pStyle w:val="ATHeading1"/>
      </w:pPr>
      <w:bookmarkStart w:id="0" w:name="TANumber"/>
      <w:r w:rsidRPr="004B6B29">
        <w:t>P9_TA(2024)0</w:t>
      </w:r>
      <w:bookmarkEnd w:id="0"/>
      <w:r w:rsidR="00CD5D3A" w:rsidRPr="004B6B29">
        <w:t>193</w:t>
      </w:r>
    </w:p>
    <w:p w:rsidR="0057572C" w:rsidRPr="004B6B29" w:rsidRDefault="0057572C" w:rsidP="0057572C">
      <w:pPr>
        <w:pStyle w:val="ATHeading2"/>
      </w:pPr>
      <w:bookmarkStart w:id="1" w:name="title"/>
      <w:r w:rsidRPr="004B6B29">
        <w:t>Cilvēku uzturam paredzēti pārtikas produkti: grozījumu izdarīšana dažās “Brokastu direktīvās”</w:t>
      </w:r>
      <w:bookmarkEnd w:id="1"/>
    </w:p>
    <w:p w:rsidR="0057572C" w:rsidRPr="004B6B29" w:rsidRDefault="0057572C" w:rsidP="0057572C">
      <w:pPr>
        <w:rPr>
          <w:i/>
          <w:vanish/>
        </w:rPr>
      </w:pPr>
      <w:r w:rsidRPr="004B6B29">
        <w:rPr>
          <w:i/>
        </w:rPr>
        <w:fldChar w:fldCharType="begin"/>
      </w:r>
      <w:r w:rsidRPr="004B6B29">
        <w:rPr>
          <w:i/>
        </w:rPr>
        <w:instrText xml:space="preserve"> TC"(</w:instrText>
      </w:r>
      <w:bookmarkStart w:id="2" w:name="DocNumber"/>
      <w:r w:rsidRPr="004B6B29">
        <w:rPr>
          <w:i/>
        </w:rPr>
        <w:instrText>A9-0385/2023</w:instrText>
      </w:r>
      <w:bookmarkEnd w:id="2"/>
      <w:r w:rsidRPr="004B6B29">
        <w:rPr>
          <w:i/>
        </w:rPr>
        <w:instrText xml:space="preserve"> - Referents: </w:instrText>
      </w:r>
      <w:proofErr w:type="spellStart"/>
      <w:r w:rsidRPr="004B6B29">
        <w:rPr>
          <w:i/>
        </w:rPr>
        <w:instrText>Alexander</w:instrText>
      </w:r>
      <w:proofErr w:type="spellEnd"/>
      <w:r w:rsidRPr="004B6B29">
        <w:rPr>
          <w:i/>
        </w:rPr>
        <w:instrText xml:space="preserve"> </w:instrText>
      </w:r>
      <w:proofErr w:type="spellStart"/>
      <w:r w:rsidRPr="004B6B29">
        <w:rPr>
          <w:i/>
        </w:rPr>
        <w:instrText>Bernhuber</w:instrText>
      </w:r>
      <w:proofErr w:type="spellEnd"/>
      <w:r w:rsidRPr="004B6B29">
        <w:rPr>
          <w:i/>
        </w:rPr>
        <w:instrText xml:space="preserve">)"\l3 \n&gt; \* MERGEFORMAT </w:instrText>
      </w:r>
      <w:r w:rsidRPr="004B6B29">
        <w:rPr>
          <w:i/>
        </w:rPr>
        <w:fldChar w:fldCharType="end"/>
      </w:r>
    </w:p>
    <w:p w:rsidR="0057572C" w:rsidRPr="004B6B29" w:rsidRDefault="0057572C" w:rsidP="0057572C">
      <w:pPr>
        <w:rPr>
          <w:vanish/>
        </w:rPr>
      </w:pPr>
      <w:bookmarkStart w:id="3" w:name="Commission"/>
      <w:r w:rsidRPr="004B6B29">
        <w:rPr>
          <w:vanish/>
        </w:rPr>
        <w:t>Vides, sabiedrības veselības un pārtikas nekaitīguma komiteja</w:t>
      </w:r>
      <w:bookmarkEnd w:id="3"/>
    </w:p>
    <w:p w:rsidR="0057572C" w:rsidRPr="004B6B29" w:rsidRDefault="0057572C" w:rsidP="0057572C">
      <w:pPr>
        <w:rPr>
          <w:vanish/>
        </w:rPr>
      </w:pPr>
      <w:bookmarkStart w:id="4" w:name="PE"/>
      <w:r w:rsidRPr="004B6B29">
        <w:rPr>
          <w:vanish/>
        </w:rPr>
        <w:t>PE752.665</w:t>
      </w:r>
      <w:bookmarkEnd w:id="4"/>
    </w:p>
    <w:p w:rsidR="00D661CA" w:rsidRPr="004B6B29" w:rsidRDefault="0057572C" w:rsidP="00880149">
      <w:pPr>
        <w:pStyle w:val="ATHeading3"/>
      </w:pPr>
      <w:bookmarkStart w:id="5" w:name="Sujet"/>
      <w:r w:rsidRPr="004B6B29">
        <w:t xml:space="preserve">Eiropas Parlamenta 2024. gada </w:t>
      </w:r>
      <w:r w:rsidR="00880149" w:rsidRPr="004B6B29">
        <w:t>10</w:t>
      </w:r>
      <w:r w:rsidRPr="004B6B29">
        <w:t xml:space="preserve">. </w:t>
      </w:r>
      <w:r w:rsidR="00880149" w:rsidRPr="004B6B29">
        <w:t>aprīļa</w:t>
      </w:r>
      <w:r w:rsidRPr="004B6B29">
        <w:t xml:space="preserve"> normatīvā rezolūcija par priekšlikumu Eiropas Parlamenta un Padomes direktīvai, </w:t>
      </w:r>
      <w:bookmarkEnd w:id="5"/>
      <w:r w:rsidR="00664AA7" w:rsidRPr="000576C1">
        <w:rPr>
          <w:noProof/>
        </w:rPr>
        <w:t>ar ko groza Padomes Direktīvu 2001/110/EK, kas attiecas uz medu, Direktīvu 2001/112/EK, kas attiecas uz pārtikai paredzētām augļu sulām un dažiem līdzīgiem produktiem, Direktīvu 2001/113/EK, kas attiecas uz cilvēku uzturam paredzētiem augļu džemiem, želejām un marmelādēm un saldinātu kastaņu biezeni, un Direktīvu 2001/114/EK, kas attiecas uz dažu veidu daļēji vai pilnīgi dehidrētu konservētu pienu, kurš paredzēts lietošanai pārtikā</w:t>
      </w:r>
      <w:r w:rsidRPr="004B6B29">
        <w:t xml:space="preserve"> </w:t>
      </w:r>
      <w:bookmarkStart w:id="6" w:name="References"/>
      <w:r w:rsidRPr="004B6B29">
        <w:t>(COM(2023)0201 – C9-</w:t>
      </w:r>
      <w:r w:rsidR="00CB3527" w:rsidRPr="004B6B29">
        <w:t>0</w:t>
      </w:r>
      <w:r w:rsidRPr="004B6B29">
        <w:t>140/2023 – 2023/0105(COD))</w:t>
      </w:r>
      <w:bookmarkStart w:id="7" w:name="TextBodyBegin"/>
      <w:bookmarkEnd w:id="6"/>
      <w:bookmarkEnd w:id="7"/>
    </w:p>
    <w:p w:rsidR="00D661CA" w:rsidRPr="004B6B29" w:rsidRDefault="00D661CA" w:rsidP="00D661CA">
      <w:pPr>
        <w:pStyle w:val="NormalBold"/>
      </w:pPr>
      <w:r w:rsidRPr="004B6B29">
        <w:t>(Parastā likumdošanas procedūra: pirmais lasījums)</w:t>
      </w:r>
    </w:p>
    <w:p w:rsidR="00D661CA" w:rsidRPr="004B6B29" w:rsidRDefault="00D661CA" w:rsidP="00D661CA">
      <w:pPr>
        <w:pStyle w:val="EPComma"/>
      </w:pPr>
      <w:r w:rsidRPr="004B6B29">
        <w:rPr>
          <w:i/>
        </w:rPr>
        <w:t>Eiropas Parlaments</w:t>
      </w:r>
      <w:r w:rsidRPr="004B6B29">
        <w:t>,</w:t>
      </w:r>
    </w:p>
    <w:p w:rsidR="00D661CA" w:rsidRPr="004B6B29" w:rsidRDefault="00D661CA" w:rsidP="00D661CA">
      <w:pPr>
        <w:pStyle w:val="NormalHanging12a"/>
      </w:pPr>
      <w:r w:rsidRPr="004B6B29">
        <w:t>–</w:t>
      </w:r>
      <w:r w:rsidRPr="004B6B29">
        <w:tab/>
        <w:t>ņemot vērā Komisijas priekšlikumu Eiropas Parlamentam un Padomei (COM(2023)0201),</w:t>
      </w:r>
    </w:p>
    <w:p w:rsidR="00D661CA" w:rsidRPr="004B6B29" w:rsidRDefault="00D661CA" w:rsidP="00D661CA">
      <w:pPr>
        <w:pStyle w:val="NormalHanging12a"/>
      </w:pPr>
      <w:r w:rsidRPr="004B6B29">
        <w:t>–</w:t>
      </w:r>
      <w:r w:rsidRPr="004B6B29">
        <w:tab/>
        <w:t>ņemot vērā Līguma par Eiropas Savienības darbību 294. panta 2. punktu un 43. panta 2. punktu, saskaņā ar kuriem Komisija tam ir iesniegusi priekšlikumu (C9</w:t>
      </w:r>
      <w:r w:rsidRPr="004B6B29">
        <w:noBreakHyphen/>
      </w:r>
      <w:r w:rsidR="003D470E" w:rsidRPr="004B6B29">
        <w:t>0</w:t>
      </w:r>
      <w:r w:rsidRPr="004B6B29">
        <w:t>140/2023),</w:t>
      </w:r>
    </w:p>
    <w:p w:rsidR="00D661CA" w:rsidRPr="004B6B29" w:rsidRDefault="00D661CA" w:rsidP="00D661CA">
      <w:pPr>
        <w:pStyle w:val="NormalHanging12a"/>
      </w:pPr>
      <w:r w:rsidRPr="004B6B29">
        <w:t>–</w:t>
      </w:r>
      <w:r w:rsidRPr="004B6B29">
        <w:tab/>
        <w:t>ņemot vērā Līguma par Eiropas Savienības darbību 294. panta 3. punktu,</w:t>
      </w:r>
    </w:p>
    <w:p w:rsidR="00D661CA" w:rsidRPr="004B6B29" w:rsidRDefault="00D661CA" w:rsidP="00D661CA">
      <w:pPr>
        <w:pStyle w:val="NormalHanging12a"/>
      </w:pPr>
      <w:r w:rsidRPr="004B6B29">
        <w:t>–</w:t>
      </w:r>
      <w:r w:rsidRPr="004B6B29">
        <w:tab/>
        <w:t>ņemot vērā Eiropas Ekonomikas un sociālo lietu 2023. gada 21. septembra atzinumu</w:t>
      </w:r>
      <w:r w:rsidRPr="004B6B29">
        <w:rPr>
          <w:rStyle w:val="FootnoteReference"/>
        </w:rPr>
        <w:footnoteReference w:id="1"/>
      </w:r>
      <w:r w:rsidRPr="004B6B29">
        <w:t>,</w:t>
      </w:r>
    </w:p>
    <w:p w:rsidR="00D661CA" w:rsidRPr="004B6B29" w:rsidRDefault="00D661CA" w:rsidP="00D661CA">
      <w:pPr>
        <w:pStyle w:val="NormalHanging12a"/>
      </w:pPr>
      <w:r w:rsidRPr="004B6B29">
        <w:t>–</w:t>
      </w:r>
      <w:r w:rsidRPr="004B6B29">
        <w:tab/>
      </w:r>
      <w:r w:rsidR="00CB3527" w:rsidRPr="004B6B29">
        <w:t>pēc apspriešanās ar Reģionu komiteju,</w:t>
      </w:r>
    </w:p>
    <w:p w:rsidR="00CB3527" w:rsidRPr="004B6B29" w:rsidRDefault="00CB3527" w:rsidP="00CB3527">
      <w:pPr>
        <w:pStyle w:val="NormalHanging12a"/>
      </w:pPr>
      <w:r w:rsidRPr="004B6B29">
        <w:t>–</w:t>
      </w:r>
      <w:r w:rsidRPr="004B6B29">
        <w:tab/>
        <w:t>ņemot vērā provizorisko vienošanos, ko atbildīgā komiteja apstiprināja saskaņā ar Reglamenta 74. panta 4. punktu, un Padomes pārstāvja 2024. gada 12. februāra vēstulē pausto apņemšanos apstiprināt Parlamenta nostāju saskaņā ar Līguma par Eiropas Savienības darbību 294. panta 4. punktu,</w:t>
      </w:r>
    </w:p>
    <w:p w:rsidR="00D661CA" w:rsidRPr="004B6B29" w:rsidRDefault="00D661CA" w:rsidP="00D661CA">
      <w:pPr>
        <w:pStyle w:val="NormalHanging12a"/>
      </w:pPr>
      <w:r w:rsidRPr="004B6B29">
        <w:t>–</w:t>
      </w:r>
      <w:r w:rsidRPr="004B6B29">
        <w:tab/>
        <w:t>ņemot vērā Reglamenta 59. pantu,</w:t>
      </w:r>
    </w:p>
    <w:p w:rsidR="00D661CA" w:rsidRPr="004B6B29" w:rsidRDefault="00D661CA" w:rsidP="00D661CA">
      <w:pPr>
        <w:pStyle w:val="NormalHanging12a"/>
      </w:pPr>
      <w:r w:rsidRPr="004B6B29">
        <w:lastRenderedPageBreak/>
        <w:t>–</w:t>
      </w:r>
      <w:r w:rsidRPr="004B6B29">
        <w:tab/>
        <w:t>ņemot vērā Lauksaimniecības un lauku attīstības komitejas atzinumu,</w:t>
      </w:r>
    </w:p>
    <w:p w:rsidR="00D661CA" w:rsidRPr="004B6B29" w:rsidRDefault="00D661CA" w:rsidP="00D661CA">
      <w:pPr>
        <w:pStyle w:val="NormalHanging12a"/>
      </w:pPr>
      <w:r w:rsidRPr="004B6B29">
        <w:t>–</w:t>
      </w:r>
      <w:r w:rsidRPr="004B6B29">
        <w:tab/>
        <w:t>ņemot vērā Vides, sabiedrības veselības un pārtikas nekaitīguma komitejas ziņojumu (A9</w:t>
      </w:r>
      <w:r w:rsidRPr="004B6B29">
        <w:noBreakHyphen/>
        <w:t>0385/2023),</w:t>
      </w:r>
    </w:p>
    <w:p w:rsidR="00D661CA" w:rsidRPr="004B6B29" w:rsidRDefault="00D661CA" w:rsidP="00D661CA">
      <w:pPr>
        <w:pStyle w:val="NormalHanging12a"/>
      </w:pPr>
      <w:r w:rsidRPr="004B6B29">
        <w:t>1.</w:t>
      </w:r>
      <w:r w:rsidRPr="004B6B29">
        <w:tab/>
        <w:t>pieņem pirmajā lasījumā turpmāk izklāstīto nostāju</w:t>
      </w:r>
      <w:r w:rsidR="00CB3527" w:rsidRPr="004B6B29">
        <w:rPr>
          <w:rStyle w:val="FootnoteReference"/>
        </w:rPr>
        <w:footnoteReference w:id="2"/>
      </w:r>
      <w:r w:rsidRPr="004B6B29">
        <w:t>;</w:t>
      </w:r>
    </w:p>
    <w:p w:rsidR="00D661CA" w:rsidRPr="004B6B29" w:rsidRDefault="00D661CA" w:rsidP="00D661CA">
      <w:pPr>
        <w:pStyle w:val="NormalHanging12a"/>
      </w:pPr>
      <w:r w:rsidRPr="004B6B29">
        <w:t>2.</w:t>
      </w:r>
      <w:r w:rsidRPr="004B6B29">
        <w:tab/>
        <w:t>prasa Komisijai priekšlikumu Parlamentam iesniegt vēlreiz, ja tā savu priekšlikumu aizstāj, būtiski groza vai ir paredzējusi to būtiski grozīt;</w:t>
      </w:r>
    </w:p>
    <w:p w:rsidR="00D661CA" w:rsidRPr="004B6B29" w:rsidRDefault="00D661CA" w:rsidP="00D661CA">
      <w:pPr>
        <w:pStyle w:val="NormalHanging12a"/>
      </w:pPr>
      <w:r w:rsidRPr="004B6B29">
        <w:t>3.</w:t>
      </w:r>
      <w:r w:rsidRPr="004B6B29">
        <w:tab/>
        <w:t>uzdod priekšsēdētājai Parlamenta nostāju nosūtīt Padomei un Komisijai, kā arī dalībvalstu parlamentiem.</w:t>
      </w:r>
    </w:p>
    <w:p w:rsidR="00880149" w:rsidRPr="004B6B29" w:rsidRDefault="00880149" w:rsidP="00D661CA">
      <w:pPr>
        <w:sectPr w:rsidR="00880149" w:rsidRPr="004B6B29" w:rsidSect="00BF177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80149" w:rsidRPr="004B6B29" w:rsidRDefault="00880149" w:rsidP="00880149">
      <w:pPr>
        <w:pStyle w:val="Normal12Hanging"/>
        <w:tabs>
          <w:tab w:val="left" w:pos="357"/>
        </w:tabs>
        <w:rPr>
          <w:b/>
        </w:rPr>
      </w:pPr>
      <w:r w:rsidRPr="004B6B29">
        <w:rPr>
          <w:b/>
        </w:rPr>
        <w:lastRenderedPageBreak/>
        <w:t>P9_TC1-COD(</w:t>
      </w:r>
      <w:r w:rsidRPr="004B6B29">
        <w:rPr>
          <w:rFonts w:eastAsia="Calibri"/>
          <w:b/>
          <w:bCs/>
          <w:color w:val="000000"/>
          <w:szCs w:val="24"/>
        </w:rPr>
        <w:t>2023)0</w:t>
      </w:r>
      <w:r w:rsidR="00CB3527" w:rsidRPr="004B6B29">
        <w:rPr>
          <w:rFonts w:eastAsia="Calibri"/>
          <w:b/>
          <w:bCs/>
          <w:color w:val="000000"/>
          <w:szCs w:val="24"/>
        </w:rPr>
        <w:t>105</w:t>
      </w:r>
    </w:p>
    <w:p w:rsidR="00880149" w:rsidRDefault="00880149" w:rsidP="00CB3527">
      <w:pPr>
        <w:rPr>
          <w:rFonts w:eastAsia="Calibri"/>
          <w:b/>
          <w:szCs w:val="22"/>
          <w:lang w:eastAsia="en-US"/>
        </w:rPr>
      </w:pPr>
      <w:r w:rsidRPr="004B6B29">
        <w:rPr>
          <w:b/>
        </w:rPr>
        <w:t xml:space="preserve">Eiropas Parlamenta nostāja, pieņemta pirmajā lasījumā 2024. gada 10. aprīlī, lai pieņemtu Eiropas Parlamenta un Padomes </w:t>
      </w:r>
      <w:r w:rsidR="00CB3527" w:rsidRPr="004B6B29">
        <w:rPr>
          <w:b/>
        </w:rPr>
        <w:t>Direktīv</w:t>
      </w:r>
      <w:r w:rsidRPr="004B6B29">
        <w:rPr>
          <w:b/>
        </w:rPr>
        <w:t xml:space="preserve">u (ES) 2024/..., </w:t>
      </w:r>
      <w:r w:rsidR="00664AA7">
        <w:rPr>
          <w:b/>
          <w:bCs/>
          <w:color w:val="000000"/>
          <w:shd w:val="clear" w:color="auto" w:fill="FFFFFF"/>
        </w:rPr>
        <w:t>ar ko groza Padomes Direktīvu 2001/110/EK, kas attiecas uz medu, Padomes Direktīvu 2001/112/EK, kas attiecas uz pārtikai paredzētām augļu sulām un dažiem līdzīgiem produktiem, Padomes Direktīvu 2001/113/EK, kas attiecas uz cilvēku uzturam paredzētiem augļu džemiem, želejām un marmelādēm un saldinātu kastaņu biezeni, un Padomes Direktīvu 2001/114/EK, kas attiecas uz dažu veidu daļēji vai pilnīgi dehidrētu konservētu pienu, kurš paredzēts lietošanai pārtikā</w:t>
      </w:r>
      <w:bookmarkStart w:id="8" w:name="_GoBack"/>
      <w:bookmarkEnd w:id="8"/>
    </w:p>
    <w:p w:rsidR="00664AA7" w:rsidRDefault="00664AA7" w:rsidP="00CB3527">
      <w:pPr>
        <w:rPr>
          <w:rFonts w:eastAsia="Calibri"/>
          <w:b/>
          <w:bCs/>
          <w:szCs w:val="22"/>
          <w:lang w:eastAsia="en-US"/>
        </w:rPr>
      </w:pPr>
    </w:p>
    <w:p w:rsidR="00664AA7" w:rsidRPr="00664AA7" w:rsidRDefault="00664AA7" w:rsidP="00CB3527">
      <w:pPr>
        <w:rPr>
          <w:i/>
        </w:rPr>
      </w:pPr>
      <w:r w:rsidRPr="003E6639">
        <w:rPr>
          <w:i/>
        </w:rPr>
        <w:t xml:space="preserve">(Tā kā starp Parlamentu un Padomi tika panākta vienošanās, Parlamenta nostāja atbilst galīgajam tiesību aktam </w:t>
      </w:r>
      <w:r>
        <w:rPr>
          <w:i/>
        </w:rPr>
        <w:t>Direktīvai</w:t>
      </w:r>
      <w:r w:rsidRPr="003E6639">
        <w:rPr>
          <w:i/>
        </w:rPr>
        <w:t xml:space="preserve"> </w:t>
      </w:r>
      <w:r w:rsidRPr="00664AA7">
        <w:rPr>
          <w:i/>
        </w:rPr>
        <w:t xml:space="preserve">(ES) </w:t>
      </w:r>
      <w:r w:rsidRPr="00664AA7">
        <w:rPr>
          <w:i/>
        </w:rPr>
        <w:t>2024/1438</w:t>
      </w:r>
      <w:r w:rsidRPr="00664AA7">
        <w:rPr>
          <w:i/>
        </w:rPr>
        <w:t>.)</w:t>
      </w:r>
    </w:p>
    <w:sectPr w:rsidR="00664AA7" w:rsidRPr="00664AA7" w:rsidSect="00BF177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72C" w:rsidRPr="00BF1770" w:rsidRDefault="0057572C">
      <w:r w:rsidRPr="00BF1770">
        <w:separator/>
      </w:r>
    </w:p>
  </w:endnote>
  <w:endnote w:type="continuationSeparator" w:id="0">
    <w:p w:rsidR="0057572C" w:rsidRPr="00BF1770" w:rsidRDefault="0057572C">
      <w:r w:rsidRPr="00BF17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177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177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17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72C" w:rsidRPr="00BF1770" w:rsidRDefault="0057572C">
      <w:r w:rsidRPr="00BF1770">
        <w:separator/>
      </w:r>
    </w:p>
  </w:footnote>
  <w:footnote w:type="continuationSeparator" w:id="0">
    <w:p w:rsidR="0057572C" w:rsidRPr="00BF1770" w:rsidRDefault="0057572C">
      <w:r w:rsidRPr="00BF1770">
        <w:continuationSeparator/>
      </w:r>
    </w:p>
  </w:footnote>
  <w:footnote w:id="1">
    <w:p w:rsidR="00D661CA" w:rsidRPr="00BF1770" w:rsidRDefault="00D661CA" w:rsidP="00BF1770">
      <w:pPr>
        <w:pStyle w:val="FootnoteText"/>
        <w:ind w:left="567" w:hanging="567"/>
        <w:rPr>
          <w:sz w:val="24"/>
          <w:lang w:val="lv-LV"/>
        </w:rPr>
      </w:pPr>
      <w:r w:rsidRPr="00BF1770">
        <w:rPr>
          <w:rStyle w:val="FootnoteReference"/>
          <w:sz w:val="24"/>
          <w:lang w:val="lv-LV"/>
        </w:rPr>
        <w:footnoteRef/>
      </w:r>
      <w:r w:rsidR="00BF1770" w:rsidRPr="00BF1770">
        <w:rPr>
          <w:sz w:val="24"/>
          <w:lang w:val="lv-LV"/>
        </w:rPr>
        <w:t xml:space="preserve"> </w:t>
      </w:r>
      <w:r w:rsidR="00BF1770" w:rsidRPr="00BF1770">
        <w:rPr>
          <w:sz w:val="24"/>
          <w:lang w:val="lv-LV"/>
        </w:rPr>
        <w:tab/>
      </w:r>
      <w:r w:rsidRPr="00BF1770">
        <w:rPr>
          <w:sz w:val="24"/>
          <w:lang w:val="lv-LV"/>
        </w:rPr>
        <w:t xml:space="preserve">OV </w:t>
      </w:r>
      <w:r w:rsidR="00CB3527" w:rsidRPr="006D7195">
        <w:rPr>
          <w:sz w:val="24"/>
          <w:lang w:val="fi-FI"/>
        </w:rPr>
        <w:t>C</w:t>
      </w:r>
      <w:r w:rsidR="00CB3527" w:rsidRPr="006E01FE">
        <w:rPr>
          <w:sz w:val="24"/>
          <w:szCs w:val="24"/>
          <w:lang w:val="fi-FI"/>
        </w:rPr>
        <w:t>, C/</w:t>
      </w:r>
      <w:r w:rsidR="00CB3527" w:rsidRPr="00D672BF">
        <w:rPr>
          <w:sz w:val="24"/>
          <w:szCs w:val="24"/>
          <w:lang w:val="fi-FI"/>
        </w:rPr>
        <w:t>2023</w:t>
      </w:r>
      <w:r w:rsidR="00CB3527" w:rsidRPr="006E01FE">
        <w:rPr>
          <w:sz w:val="24"/>
          <w:szCs w:val="24"/>
          <w:lang w:val="fi-FI"/>
        </w:rPr>
        <w:t>/</w:t>
      </w:r>
      <w:r w:rsidR="00CB3527" w:rsidRPr="00D672BF">
        <w:rPr>
          <w:sz w:val="24"/>
          <w:szCs w:val="24"/>
          <w:lang w:val="fi-FI"/>
        </w:rPr>
        <w:t>881</w:t>
      </w:r>
      <w:r w:rsidR="00CB3527" w:rsidRPr="006E01FE">
        <w:rPr>
          <w:sz w:val="24"/>
          <w:szCs w:val="24"/>
          <w:lang w:val="fi-FI"/>
        </w:rPr>
        <w:t xml:space="preserve">, </w:t>
      </w:r>
      <w:r w:rsidR="00CB3527" w:rsidRPr="00D672BF">
        <w:rPr>
          <w:sz w:val="24"/>
          <w:szCs w:val="24"/>
          <w:lang w:val="fi-FI"/>
        </w:rPr>
        <w:t>8</w:t>
      </w:r>
      <w:r w:rsidR="00CB3527" w:rsidRPr="006E01FE">
        <w:rPr>
          <w:sz w:val="24"/>
          <w:szCs w:val="24"/>
          <w:lang w:val="fi-FI"/>
        </w:rPr>
        <w:t>.</w:t>
      </w:r>
      <w:r w:rsidR="00CB3527" w:rsidRPr="00D672BF">
        <w:rPr>
          <w:sz w:val="24"/>
          <w:szCs w:val="24"/>
          <w:lang w:val="fi-FI"/>
        </w:rPr>
        <w:t>12</w:t>
      </w:r>
      <w:r w:rsidR="00CB3527" w:rsidRPr="006E01FE">
        <w:rPr>
          <w:sz w:val="24"/>
          <w:szCs w:val="24"/>
          <w:lang w:val="fi-FI"/>
        </w:rPr>
        <w:t>.</w:t>
      </w:r>
      <w:r w:rsidR="00CB3527" w:rsidRPr="00D672BF">
        <w:rPr>
          <w:sz w:val="24"/>
          <w:szCs w:val="24"/>
          <w:lang w:val="fi-FI"/>
        </w:rPr>
        <w:t>2023</w:t>
      </w:r>
      <w:r w:rsidR="00CB3527">
        <w:rPr>
          <w:sz w:val="24"/>
          <w:szCs w:val="24"/>
          <w:lang w:val="fi-FI"/>
        </w:rPr>
        <w:t>.</w:t>
      </w:r>
      <w:r w:rsidR="00CB3527" w:rsidRPr="006E01FE">
        <w:rPr>
          <w:sz w:val="24"/>
          <w:szCs w:val="24"/>
          <w:lang w:val="fi-FI"/>
        </w:rPr>
        <w:t>, ELI: http://data.europa.eu/eli/C/</w:t>
      </w:r>
      <w:r w:rsidR="00CB3527" w:rsidRPr="00D672BF">
        <w:rPr>
          <w:sz w:val="24"/>
          <w:szCs w:val="24"/>
          <w:lang w:val="fi-FI"/>
        </w:rPr>
        <w:t>2023</w:t>
      </w:r>
      <w:r w:rsidR="00CB3527" w:rsidRPr="006E01FE">
        <w:rPr>
          <w:sz w:val="24"/>
          <w:szCs w:val="24"/>
          <w:lang w:val="fi-FI"/>
        </w:rPr>
        <w:t>/</w:t>
      </w:r>
      <w:r w:rsidR="00CB3527" w:rsidRPr="00D672BF">
        <w:rPr>
          <w:sz w:val="24"/>
          <w:szCs w:val="24"/>
          <w:lang w:val="fi-FI"/>
        </w:rPr>
        <w:t>881</w:t>
      </w:r>
      <w:r w:rsidR="00CB3527" w:rsidRPr="006E01FE">
        <w:rPr>
          <w:sz w:val="24"/>
          <w:szCs w:val="24"/>
          <w:lang w:val="fi-FI"/>
        </w:rPr>
        <w:t>/oj</w:t>
      </w:r>
      <w:r w:rsidR="00CB3527" w:rsidRPr="006D7195">
        <w:rPr>
          <w:sz w:val="24"/>
          <w:lang w:val="fi-FI"/>
        </w:rPr>
        <w:t>.</w:t>
      </w:r>
    </w:p>
  </w:footnote>
  <w:footnote w:id="2">
    <w:p w:rsidR="00CB3527" w:rsidRPr="006D7195" w:rsidRDefault="00CB3527" w:rsidP="00CB3527">
      <w:pPr>
        <w:pStyle w:val="FootnoteText"/>
        <w:rPr>
          <w:sz w:val="24"/>
          <w:szCs w:val="24"/>
          <w:lang w:val="lv-LV"/>
        </w:rPr>
      </w:pPr>
      <w:r w:rsidRPr="006D7195">
        <w:rPr>
          <w:rStyle w:val="FootnoteReference"/>
          <w:sz w:val="24"/>
          <w:szCs w:val="24"/>
        </w:rPr>
        <w:footnoteRef/>
      </w:r>
      <w:r w:rsidRPr="006D7195">
        <w:rPr>
          <w:sz w:val="24"/>
          <w:szCs w:val="24"/>
          <w:lang w:val="lv-LV"/>
        </w:rPr>
        <w:t xml:space="preserve"> </w:t>
      </w:r>
      <w:r w:rsidRPr="006D7195">
        <w:rPr>
          <w:sz w:val="24"/>
          <w:szCs w:val="24"/>
          <w:lang w:val="lv-LV"/>
        </w:rPr>
        <w:tab/>
        <w:t xml:space="preserve">Ar šo nostāju aizstāj </w:t>
      </w:r>
      <w:r w:rsidRPr="00D672BF">
        <w:rPr>
          <w:sz w:val="24"/>
          <w:szCs w:val="24"/>
          <w:lang w:val="lv-LV"/>
        </w:rPr>
        <w:t>2023</w:t>
      </w:r>
      <w:r w:rsidRPr="006D7195">
        <w:rPr>
          <w:sz w:val="24"/>
          <w:szCs w:val="24"/>
          <w:lang w:val="lv-LV"/>
        </w:rPr>
        <w:t>. gada</w:t>
      </w:r>
      <w:r>
        <w:rPr>
          <w:sz w:val="24"/>
          <w:szCs w:val="24"/>
          <w:lang w:val="lv-LV"/>
        </w:rPr>
        <w:t xml:space="preserve"> </w:t>
      </w:r>
      <w:r w:rsidRPr="00D672BF">
        <w:rPr>
          <w:sz w:val="24"/>
          <w:szCs w:val="24"/>
          <w:lang w:val="lv-LV"/>
        </w:rPr>
        <w:t>12</w:t>
      </w:r>
      <w:r w:rsidRPr="006D7195">
        <w:rPr>
          <w:sz w:val="24"/>
          <w:szCs w:val="24"/>
          <w:lang w:val="lv-LV"/>
        </w:rPr>
        <w:t xml:space="preserve">. </w:t>
      </w:r>
      <w:r>
        <w:rPr>
          <w:sz w:val="24"/>
          <w:szCs w:val="24"/>
          <w:lang w:val="lv-LV"/>
        </w:rPr>
        <w:t>decembrī</w:t>
      </w:r>
      <w:r w:rsidRPr="006D7195">
        <w:rPr>
          <w:sz w:val="24"/>
          <w:szCs w:val="24"/>
          <w:lang w:val="lv-LV"/>
        </w:rPr>
        <w:t xml:space="preserve"> pieņemtos grozījumus (Pieņemtie teksti, P</w:t>
      </w:r>
      <w:r w:rsidRPr="00D672BF">
        <w:rPr>
          <w:sz w:val="24"/>
          <w:szCs w:val="24"/>
          <w:lang w:val="lv-LV"/>
        </w:rPr>
        <w:t>9</w:t>
      </w:r>
      <w:r w:rsidRPr="006D7195">
        <w:rPr>
          <w:sz w:val="24"/>
          <w:szCs w:val="24"/>
          <w:lang w:val="lv-LV"/>
        </w:rPr>
        <w:t>_TA(</w:t>
      </w:r>
      <w:r w:rsidRPr="00D672BF">
        <w:rPr>
          <w:sz w:val="24"/>
          <w:szCs w:val="24"/>
          <w:lang w:val="lv-LV"/>
        </w:rPr>
        <w:t>2023</w:t>
      </w:r>
      <w:r w:rsidRPr="006D7195">
        <w:rPr>
          <w:sz w:val="24"/>
          <w:szCs w:val="24"/>
          <w:lang w:val="lv-LV"/>
        </w:rPr>
        <w:t>)</w:t>
      </w:r>
      <w:r w:rsidRPr="00D672BF">
        <w:rPr>
          <w:sz w:val="24"/>
          <w:szCs w:val="24"/>
          <w:lang w:val="lv-LV"/>
        </w:rPr>
        <w:t>0445</w:t>
      </w:r>
      <w:r w:rsidRPr="006D7195">
        <w:rPr>
          <w:sz w:val="24"/>
          <w:szCs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177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177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17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5/2023"/>
    <w:docVar w:name="dvlangue" w:val="LV"/>
    <w:docVar w:name="dvnumam" w:val="0"/>
    <w:docVar w:name="dvpe" w:val="752.665"/>
    <w:docVar w:name="dvrapporteur" w:val="Referents: "/>
    <w:docVar w:name="dvstar" w:val="***I"/>
    <w:docVar w:name="dvtitre" w:val="Eiropas Parlamenta 2024. gada XX. XXX normatīvā rezolūcija par priekšlikumu Eiropas Parlamenta un Padomes direktīvai, ar ko groza Padomes Direktīvu 2001/110/EK, kas attiecas uz medu, Direktīvu 2001/112/EK, kas attiecas uz pārtikai paredzētām augļu sulām un dažiem līdzīgiem produktiem, Direktīvu 2001/113/EK, kas attiecas uz cilvēku uzturam paredzētiem augļu džemiem, želejām un marmelādēm un saldinātu kastaņu biezeni, un Direktīvu 2001/114/EK, kas attiecas uz dažu veidu daļēji vai pilnīgi dehidrētu konservētu pienu, kurš paredzēts lietošanai pārtikā(COM(2023)0201 – C9-140/2023 – 2023/0105(COD))"/>
  </w:docVars>
  <w:rsids>
    <w:rsidRoot w:val="0057572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470E"/>
    <w:rsid w:val="003E15D4"/>
    <w:rsid w:val="003E669B"/>
    <w:rsid w:val="00411CCE"/>
    <w:rsid w:val="0041666E"/>
    <w:rsid w:val="00421060"/>
    <w:rsid w:val="00471C19"/>
    <w:rsid w:val="004867E3"/>
    <w:rsid w:val="00494A28"/>
    <w:rsid w:val="004B6B29"/>
    <w:rsid w:val="004C0004"/>
    <w:rsid w:val="004C5D52"/>
    <w:rsid w:val="0050519A"/>
    <w:rsid w:val="005072A1"/>
    <w:rsid w:val="00514517"/>
    <w:rsid w:val="00545827"/>
    <w:rsid w:val="00560270"/>
    <w:rsid w:val="0057572C"/>
    <w:rsid w:val="005C2568"/>
    <w:rsid w:val="006037C0"/>
    <w:rsid w:val="006631B6"/>
    <w:rsid w:val="00664AA7"/>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0149"/>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1770"/>
    <w:rsid w:val="00BF62B5"/>
    <w:rsid w:val="00C05BFE"/>
    <w:rsid w:val="00C23CD4"/>
    <w:rsid w:val="00C61C0C"/>
    <w:rsid w:val="00C941CB"/>
    <w:rsid w:val="00CB3527"/>
    <w:rsid w:val="00CC2357"/>
    <w:rsid w:val="00CD5D3A"/>
    <w:rsid w:val="00CF071A"/>
    <w:rsid w:val="00D058B8"/>
    <w:rsid w:val="00D56C11"/>
    <w:rsid w:val="00D661CA"/>
    <w:rsid w:val="00D672BF"/>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32D9CF"/>
  <w15:chartTrackingRefBased/>
  <w15:docId w15:val="{61EA957B-7DA9-4B73-AAE7-7D9D1C717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661CA"/>
    <w:rPr>
      <w:b/>
      <w:kern w:val="28"/>
      <w:sz w:val="28"/>
      <w:lang w:val="fr-FR" w:eastAsia="fr-FR"/>
    </w:rPr>
  </w:style>
  <w:style w:type="character" w:customStyle="1" w:styleId="Heading2Char">
    <w:name w:val="Heading 2 Char"/>
    <w:basedOn w:val="DefaultParagraphFont"/>
    <w:link w:val="Heading2"/>
    <w:semiHidden/>
    <w:rsid w:val="00D661CA"/>
    <w:rPr>
      <w:sz w:val="24"/>
      <w:lang w:val="fr-FR" w:eastAsia="fr-FR"/>
    </w:rPr>
  </w:style>
  <w:style w:type="character" w:customStyle="1" w:styleId="Heading3Char">
    <w:name w:val="Heading 3 Char"/>
    <w:basedOn w:val="DefaultParagraphFont"/>
    <w:link w:val="Heading3"/>
    <w:semiHidden/>
    <w:rsid w:val="00D661CA"/>
    <w:rPr>
      <w:rFonts w:ascii="Arial" w:hAnsi="Arial"/>
      <w:sz w:val="24"/>
      <w:lang w:val="fr-FR" w:eastAsia="fr-FR"/>
    </w:rPr>
  </w:style>
  <w:style w:type="character" w:customStyle="1" w:styleId="Heading4Char">
    <w:name w:val="Heading 4 Char"/>
    <w:basedOn w:val="DefaultParagraphFont"/>
    <w:link w:val="Heading4"/>
    <w:semiHidden/>
    <w:rsid w:val="00D661CA"/>
    <w:rPr>
      <w:sz w:val="24"/>
      <w:lang w:val="en-US" w:eastAsia="fr-FR"/>
    </w:rPr>
  </w:style>
  <w:style w:type="character" w:customStyle="1" w:styleId="Heading5Char">
    <w:name w:val="Heading 5 Char"/>
    <w:basedOn w:val="DefaultParagraphFont"/>
    <w:link w:val="Heading5"/>
    <w:semiHidden/>
    <w:rsid w:val="00D661CA"/>
    <w:rPr>
      <w:sz w:val="24"/>
      <w:lang w:val="en-US" w:eastAsia="fr-FR"/>
    </w:rPr>
  </w:style>
  <w:style w:type="character" w:customStyle="1" w:styleId="Heading6Char">
    <w:name w:val="Heading 6 Char"/>
    <w:basedOn w:val="DefaultParagraphFont"/>
    <w:link w:val="Heading6"/>
    <w:semiHidden/>
    <w:rsid w:val="00D661CA"/>
    <w:rPr>
      <w:i/>
      <w:sz w:val="22"/>
      <w:lang w:val="lv-LV"/>
    </w:rPr>
  </w:style>
  <w:style w:type="character" w:customStyle="1" w:styleId="Heading7Char">
    <w:name w:val="Heading 7 Char"/>
    <w:basedOn w:val="DefaultParagraphFont"/>
    <w:link w:val="Heading7"/>
    <w:semiHidden/>
    <w:rsid w:val="00D661CA"/>
    <w:rPr>
      <w:rFonts w:ascii="Arial" w:hAnsi="Arial"/>
      <w:sz w:val="24"/>
      <w:lang w:val="lv-LV"/>
    </w:rPr>
  </w:style>
  <w:style w:type="character" w:customStyle="1" w:styleId="Heading8Char">
    <w:name w:val="Heading 8 Char"/>
    <w:basedOn w:val="DefaultParagraphFont"/>
    <w:link w:val="Heading8"/>
    <w:semiHidden/>
    <w:rsid w:val="00D661CA"/>
    <w:rPr>
      <w:rFonts w:ascii="Arial" w:hAnsi="Arial"/>
      <w:i/>
      <w:sz w:val="24"/>
      <w:lang w:val="lv-LV"/>
    </w:rPr>
  </w:style>
  <w:style w:type="character" w:customStyle="1" w:styleId="Heading9Char">
    <w:name w:val="Heading 9 Char"/>
    <w:basedOn w:val="DefaultParagraphFont"/>
    <w:link w:val="Heading9"/>
    <w:semiHidden/>
    <w:rsid w:val="00D661CA"/>
    <w:rPr>
      <w:rFonts w:ascii="Arial" w:hAnsi="Arial"/>
      <w:b/>
      <w:i/>
      <w:sz w:val="18"/>
      <w:lang w:val="lv-LV"/>
    </w:rPr>
  </w:style>
  <w:style w:type="paragraph" w:styleId="TOCHeading">
    <w:name w:val="TOC Heading"/>
    <w:basedOn w:val="Normal"/>
    <w:next w:val="Normal"/>
    <w:uiPriority w:val="39"/>
    <w:unhideWhenUsed/>
    <w:qFormat/>
    <w:rsid w:val="00D661CA"/>
    <w:pPr>
      <w:widowControl/>
      <w:spacing w:after="240"/>
    </w:pPr>
    <w:rPr>
      <w:lang w:val="en-GB"/>
    </w:rPr>
  </w:style>
  <w:style w:type="paragraph" w:customStyle="1" w:styleId="EPFooter2">
    <w:name w:val="EPFooter2"/>
    <w:basedOn w:val="Normal"/>
    <w:next w:val="Normal"/>
    <w:rsid w:val="00D661C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661CA"/>
    <w:pPr>
      <w:keepNext/>
      <w:spacing w:after="240"/>
      <w:jc w:val="right"/>
    </w:pPr>
    <w:rPr>
      <w:rFonts w:ascii="Arial" w:hAnsi="Arial"/>
      <w:b/>
    </w:rPr>
  </w:style>
  <w:style w:type="paragraph" w:customStyle="1" w:styleId="Normal6a">
    <w:name w:val="Normal6a"/>
    <w:basedOn w:val="Normal"/>
    <w:rsid w:val="00D661CA"/>
    <w:pPr>
      <w:spacing w:after="120"/>
    </w:pPr>
  </w:style>
  <w:style w:type="paragraph" w:customStyle="1" w:styleId="PageHeading">
    <w:name w:val="PageHeading"/>
    <w:basedOn w:val="Normal"/>
    <w:rsid w:val="00D661CA"/>
    <w:pPr>
      <w:keepNext/>
      <w:spacing w:after="480"/>
      <w:jc w:val="center"/>
    </w:pPr>
    <w:rPr>
      <w:rFonts w:ascii="Arial" w:hAnsi="Arial" w:cs="Arial"/>
      <w:b/>
    </w:rPr>
  </w:style>
  <w:style w:type="paragraph" w:customStyle="1" w:styleId="NormalBold">
    <w:name w:val="NormalBold"/>
    <w:basedOn w:val="Normal"/>
    <w:link w:val="NormalBoldChar"/>
    <w:rsid w:val="00D661CA"/>
    <w:rPr>
      <w:b/>
    </w:rPr>
  </w:style>
  <w:style w:type="paragraph" w:customStyle="1" w:styleId="NormalBold12a">
    <w:name w:val="NormalBold12a"/>
    <w:basedOn w:val="Normal"/>
    <w:rsid w:val="00D661CA"/>
    <w:pPr>
      <w:spacing w:after="240"/>
    </w:pPr>
    <w:rPr>
      <w:b/>
    </w:rPr>
  </w:style>
  <w:style w:type="paragraph" w:customStyle="1" w:styleId="AmJustText">
    <w:name w:val="AmJustText"/>
    <w:basedOn w:val="Normal"/>
    <w:rsid w:val="00D661CA"/>
    <w:pPr>
      <w:spacing w:after="240"/>
    </w:pPr>
    <w:rPr>
      <w:i/>
    </w:rPr>
  </w:style>
  <w:style w:type="paragraph" w:customStyle="1" w:styleId="NormalHanging12a">
    <w:name w:val="NormalHanging12a"/>
    <w:basedOn w:val="Normal"/>
    <w:rsid w:val="00D661CA"/>
    <w:pPr>
      <w:spacing w:after="240"/>
      <w:ind w:left="567" w:hanging="567"/>
    </w:pPr>
  </w:style>
  <w:style w:type="paragraph" w:customStyle="1" w:styleId="CoverNormal24a">
    <w:name w:val="CoverNormal24a"/>
    <w:basedOn w:val="Normal"/>
    <w:rsid w:val="00D661CA"/>
    <w:pPr>
      <w:spacing w:after="480"/>
      <w:ind w:left="1417"/>
    </w:pPr>
  </w:style>
  <w:style w:type="paragraph" w:customStyle="1" w:styleId="CoverNormal">
    <w:name w:val="CoverNormal"/>
    <w:basedOn w:val="Normal"/>
    <w:rsid w:val="00D661CA"/>
    <w:pPr>
      <w:ind w:left="1418"/>
    </w:pPr>
  </w:style>
  <w:style w:type="paragraph" w:customStyle="1" w:styleId="AmCrossRef">
    <w:name w:val="AmCrossRef"/>
    <w:basedOn w:val="Normal"/>
    <w:rsid w:val="00D661CA"/>
    <w:pPr>
      <w:spacing w:before="240" w:after="240"/>
      <w:jc w:val="center"/>
    </w:pPr>
    <w:rPr>
      <w:i/>
    </w:rPr>
  </w:style>
  <w:style w:type="paragraph" w:customStyle="1" w:styleId="AmJustTitle">
    <w:name w:val="AmJustTitle"/>
    <w:basedOn w:val="Normal"/>
    <w:next w:val="AmJustText"/>
    <w:rsid w:val="00D661CA"/>
    <w:pPr>
      <w:keepNext/>
      <w:spacing w:before="240" w:after="240"/>
      <w:jc w:val="center"/>
    </w:pPr>
    <w:rPr>
      <w:i/>
    </w:rPr>
  </w:style>
  <w:style w:type="paragraph" w:customStyle="1" w:styleId="CoverReference">
    <w:name w:val="CoverReference"/>
    <w:basedOn w:val="Normal"/>
    <w:rsid w:val="00D661CA"/>
    <w:pPr>
      <w:spacing w:before="1080"/>
      <w:jc w:val="right"/>
    </w:pPr>
    <w:rPr>
      <w:rFonts w:ascii="Arial" w:hAnsi="Arial" w:cs="Arial"/>
      <w:b/>
    </w:rPr>
  </w:style>
  <w:style w:type="paragraph" w:customStyle="1" w:styleId="CoverDocType">
    <w:name w:val="CoverDocType"/>
    <w:basedOn w:val="Normal"/>
    <w:rsid w:val="00D661CA"/>
    <w:pPr>
      <w:ind w:left="1418"/>
    </w:pPr>
    <w:rPr>
      <w:rFonts w:ascii="Arial" w:hAnsi="Arial"/>
      <w:b/>
      <w:sz w:val="48"/>
    </w:rPr>
  </w:style>
  <w:style w:type="paragraph" w:customStyle="1" w:styleId="CoverDocType24a">
    <w:name w:val="CoverDocType24a"/>
    <w:basedOn w:val="Normal"/>
    <w:rsid w:val="00D661CA"/>
    <w:pPr>
      <w:spacing w:after="480"/>
      <w:ind w:left="1418"/>
    </w:pPr>
    <w:rPr>
      <w:rFonts w:ascii="Arial" w:hAnsi="Arial"/>
      <w:b/>
      <w:sz w:val="48"/>
    </w:rPr>
  </w:style>
  <w:style w:type="paragraph" w:customStyle="1" w:styleId="CoverDate">
    <w:name w:val="CoverDate"/>
    <w:basedOn w:val="Normal"/>
    <w:rsid w:val="00D661CA"/>
    <w:pPr>
      <w:spacing w:before="240" w:after="1200"/>
    </w:pPr>
  </w:style>
  <w:style w:type="paragraph" w:styleId="Header">
    <w:name w:val="header"/>
    <w:basedOn w:val="Normal"/>
    <w:link w:val="HeaderChar"/>
    <w:rsid w:val="00D661CA"/>
    <w:pPr>
      <w:tabs>
        <w:tab w:val="center" w:pos="4513"/>
        <w:tab w:val="right" w:pos="9026"/>
      </w:tabs>
    </w:pPr>
  </w:style>
  <w:style w:type="character" w:customStyle="1" w:styleId="HeaderChar">
    <w:name w:val="Header Char"/>
    <w:basedOn w:val="DefaultParagraphFont"/>
    <w:link w:val="Header"/>
    <w:rsid w:val="00D661CA"/>
    <w:rPr>
      <w:sz w:val="24"/>
      <w:lang w:val="lv-LV"/>
    </w:rPr>
  </w:style>
  <w:style w:type="paragraph" w:customStyle="1" w:styleId="AmOrLang">
    <w:name w:val="AmOrLang"/>
    <w:basedOn w:val="Normal"/>
    <w:rsid w:val="00D661CA"/>
    <w:pPr>
      <w:spacing w:before="240" w:after="240"/>
      <w:jc w:val="right"/>
    </w:pPr>
  </w:style>
  <w:style w:type="paragraph" w:customStyle="1" w:styleId="AmColumnHeading">
    <w:name w:val="AmColumnHeading"/>
    <w:basedOn w:val="Normal"/>
    <w:rsid w:val="00D661CA"/>
    <w:pPr>
      <w:spacing w:after="240"/>
      <w:jc w:val="center"/>
    </w:pPr>
    <w:rPr>
      <w:i/>
    </w:rPr>
  </w:style>
  <w:style w:type="paragraph" w:customStyle="1" w:styleId="AmNumberTabs">
    <w:name w:val="AmNumberTabs"/>
    <w:basedOn w:val="Normal"/>
    <w:link w:val="AmNumberTabsChar"/>
    <w:rsid w:val="00D661C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661CA"/>
    <w:pPr>
      <w:spacing w:before="240"/>
    </w:pPr>
    <w:rPr>
      <w:b/>
    </w:rPr>
  </w:style>
  <w:style w:type="paragraph" w:customStyle="1" w:styleId="EPBody">
    <w:name w:val="EPBody"/>
    <w:basedOn w:val="Normal"/>
    <w:rsid w:val="00D661CA"/>
    <w:pPr>
      <w:jc w:val="center"/>
    </w:pPr>
    <w:rPr>
      <w:rFonts w:ascii="Arial" w:hAnsi="Arial" w:cs="Arial"/>
      <w:i/>
      <w:sz w:val="22"/>
      <w:szCs w:val="22"/>
    </w:rPr>
  </w:style>
  <w:style w:type="paragraph" w:customStyle="1" w:styleId="EPFooter">
    <w:name w:val="EPFooter"/>
    <w:basedOn w:val="Normal"/>
    <w:rsid w:val="00D661CA"/>
    <w:pPr>
      <w:tabs>
        <w:tab w:val="center" w:pos="4535"/>
        <w:tab w:val="right" w:pos="9071"/>
      </w:tabs>
      <w:spacing w:before="240" w:after="240"/>
    </w:pPr>
    <w:rPr>
      <w:color w:val="010000"/>
      <w:sz w:val="22"/>
    </w:rPr>
  </w:style>
  <w:style w:type="paragraph" w:customStyle="1" w:styleId="EPComma">
    <w:name w:val="EPComma"/>
    <w:basedOn w:val="Normal"/>
    <w:rsid w:val="00D661CA"/>
    <w:pPr>
      <w:spacing w:before="480" w:after="240"/>
    </w:pPr>
  </w:style>
  <w:style w:type="paragraph" w:customStyle="1" w:styleId="Lgendesigne">
    <w:name w:val="Légende signe"/>
    <w:basedOn w:val="Normal"/>
    <w:rsid w:val="00D661CA"/>
    <w:pPr>
      <w:tabs>
        <w:tab w:val="right" w:pos="454"/>
        <w:tab w:val="left" w:pos="737"/>
      </w:tabs>
      <w:ind w:left="737" w:hanging="737"/>
    </w:pPr>
    <w:rPr>
      <w:snapToGrid w:val="0"/>
      <w:sz w:val="18"/>
      <w:lang w:eastAsia="en-US"/>
    </w:rPr>
  </w:style>
  <w:style w:type="paragraph" w:customStyle="1" w:styleId="Lgendetitre">
    <w:name w:val="Légende titre"/>
    <w:basedOn w:val="Normal"/>
    <w:rsid w:val="00D661CA"/>
    <w:pPr>
      <w:spacing w:before="240" w:after="240"/>
    </w:pPr>
    <w:rPr>
      <w:b/>
      <w:i/>
      <w:snapToGrid w:val="0"/>
      <w:lang w:eastAsia="en-US"/>
    </w:rPr>
  </w:style>
  <w:style w:type="paragraph" w:customStyle="1" w:styleId="Lgendestandard">
    <w:name w:val="Légende standard"/>
    <w:basedOn w:val="Normal"/>
    <w:rsid w:val="00D661CA"/>
    <w:rPr>
      <w:sz w:val="18"/>
    </w:rPr>
  </w:style>
  <w:style w:type="paragraph" w:customStyle="1" w:styleId="Normal6">
    <w:name w:val="Normal6"/>
    <w:basedOn w:val="Normal"/>
    <w:link w:val="Normal6Char"/>
    <w:rsid w:val="00D661CA"/>
    <w:pPr>
      <w:spacing w:after="120"/>
    </w:pPr>
  </w:style>
  <w:style w:type="paragraph" w:customStyle="1" w:styleId="Normal12Italic">
    <w:name w:val="Normal12Italic"/>
    <w:basedOn w:val="Normal"/>
    <w:rsid w:val="00D661CA"/>
    <w:pPr>
      <w:spacing w:after="240"/>
    </w:pPr>
    <w:rPr>
      <w:i/>
      <w:noProof/>
    </w:rPr>
  </w:style>
  <w:style w:type="character" w:customStyle="1" w:styleId="NormalBoldChar">
    <w:name w:val="NormalBold Char"/>
    <w:link w:val="NormalBold"/>
    <w:rsid w:val="00D661CA"/>
    <w:rPr>
      <w:b/>
      <w:sz w:val="24"/>
      <w:lang w:val="lv-LV"/>
    </w:rPr>
  </w:style>
  <w:style w:type="paragraph" w:customStyle="1" w:styleId="JustificationTitle">
    <w:name w:val="JustificationTitle"/>
    <w:basedOn w:val="Normal"/>
    <w:next w:val="Normal"/>
    <w:rsid w:val="00D661CA"/>
    <w:pPr>
      <w:keepNext/>
      <w:spacing w:before="240" w:after="240"/>
      <w:jc w:val="center"/>
    </w:pPr>
    <w:rPr>
      <w:i/>
      <w:noProof/>
    </w:rPr>
  </w:style>
  <w:style w:type="character" w:customStyle="1" w:styleId="Normal6Char">
    <w:name w:val="Normal6 Char"/>
    <w:link w:val="Normal6"/>
    <w:rsid w:val="00D661CA"/>
    <w:rPr>
      <w:sz w:val="24"/>
      <w:lang w:val="lv-LV"/>
    </w:rPr>
  </w:style>
  <w:style w:type="paragraph" w:customStyle="1" w:styleId="ColumnHeading">
    <w:name w:val="ColumnHeading"/>
    <w:basedOn w:val="Normal"/>
    <w:rsid w:val="00D661CA"/>
    <w:pPr>
      <w:spacing w:after="240"/>
      <w:jc w:val="center"/>
    </w:pPr>
    <w:rPr>
      <w:i/>
    </w:rPr>
  </w:style>
  <w:style w:type="paragraph" w:customStyle="1" w:styleId="AMNumberTabs0">
    <w:name w:val="AMNumberTabs"/>
    <w:basedOn w:val="Normal"/>
    <w:rsid w:val="00D661C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661CA"/>
    <w:pPr>
      <w:jc w:val="right"/>
    </w:pPr>
    <w:rPr>
      <w:lang w:val="lv-LV"/>
    </w:rPr>
  </w:style>
  <w:style w:type="paragraph" w:styleId="BodyText">
    <w:name w:val="Body Text"/>
    <w:basedOn w:val="Normal"/>
    <w:link w:val="BodyTextChar"/>
    <w:uiPriority w:val="1"/>
    <w:unhideWhenUsed/>
    <w:qFormat/>
    <w:rsid w:val="00D661CA"/>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uiPriority w:val="1"/>
    <w:rsid w:val="00D661CA"/>
    <w:rPr>
      <w:sz w:val="24"/>
      <w:szCs w:val="24"/>
      <w:lang w:val="lv-LV" w:eastAsia="en-US"/>
    </w:rPr>
  </w:style>
  <w:style w:type="paragraph" w:styleId="Footer">
    <w:name w:val="footer"/>
    <w:basedOn w:val="Normal"/>
    <w:link w:val="FooterChar"/>
    <w:rsid w:val="00D661CA"/>
    <w:pPr>
      <w:tabs>
        <w:tab w:val="center" w:pos="4513"/>
        <w:tab w:val="right" w:pos="9026"/>
      </w:tabs>
    </w:pPr>
  </w:style>
  <w:style w:type="character" w:customStyle="1" w:styleId="FooterChar">
    <w:name w:val="Footer Char"/>
    <w:basedOn w:val="DefaultParagraphFont"/>
    <w:link w:val="Footer"/>
    <w:rsid w:val="00D661CA"/>
    <w:rPr>
      <w:sz w:val="24"/>
      <w:lang w:val="lv-LV"/>
    </w:rPr>
  </w:style>
  <w:style w:type="paragraph" w:customStyle="1" w:styleId="Normal24a">
    <w:name w:val="Normal24a"/>
    <w:basedOn w:val="Normal"/>
    <w:rsid w:val="00D661CA"/>
    <w:pPr>
      <w:spacing w:after="480"/>
    </w:pPr>
  </w:style>
  <w:style w:type="paragraph" w:customStyle="1" w:styleId="NormalBoldCenter">
    <w:name w:val="NormalBoldCenter"/>
    <w:basedOn w:val="Normal"/>
    <w:rsid w:val="00D661CA"/>
    <w:pPr>
      <w:jc w:val="center"/>
    </w:pPr>
    <w:rPr>
      <w:b/>
    </w:rPr>
  </w:style>
  <w:style w:type="paragraph" w:styleId="CommentText">
    <w:name w:val="annotation text"/>
    <w:basedOn w:val="Normal"/>
    <w:link w:val="CommentTextChar"/>
    <w:unhideWhenUsed/>
    <w:rsid w:val="00D661CA"/>
    <w:pPr>
      <w:widowControl/>
    </w:pPr>
    <w:rPr>
      <w:sz w:val="20"/>
    </w:rPr>
  </w:style>
  <w:style w:type="character" w:customStyle="1" w:styleId="CommentTextChar">
    <w:name w:val="Comment Text Char"/>
    <w:basedOn w:val="DefaultParagraphFont"/>
    <w:link w:val="CommentText"/>
    <w:rsid w:val="00D661CA"/>
    <w:rPr>
      <w:lang w:val="lv-LV"/>
    </w:rPr>
  </w:style>
  <w:style w:type="character" w:styleId="CommentReference">
    <w:name w:val="annotation reference"/>
    <w:basedOn w:val="DefaultParagraphFont"/>
    <w:unhideWhenUsed/>
    <w:rsid w:val="00D661CA"/>
    <w:rPr>
      <w:sz w:val="16"/>
      <w:szCs w:val="16"/>
    </w:rPr>
  </w:style>
  <w:style w:type="paragraph" w:styleId="BalloonText">
    <w:name w:val="Balloon Text"/>
    <w:basedOn w:val="Normal"/>
    <w:link w:val="BalloonTextChar"/>
    <w:unhideWhenUsed/>
    <w:rsid w:val="00D661CA"/>
    <w:rPr>
      <w:rFonts w:ascii="Segoe UI" w:hAnsi="Segoe UI" w:cs="Segoe UI"/>
      <w:sz w:val="18"/>
      <w:szCs w:val="18"/>
    </w:rPr>
  </w:style>
  <w:style w:type="character" w:customStyle="1" w:styleId="BalloonTextChar">
    <w:name w:val="Balloon Text Char"/>
    <w:basedOn w:val="DefaultParagraphFont"/>
    <w:link w:val="BalloonText"/>
    <w:rsid w:val="00D661CA"/>
    <w:rPr>
      <w:rFonts w:ascii="Segoe UI" w:hAnsi="Segoe UI" w:cs="Segoe UI"/>
      <w:sz w:val="18"/>
      <w:szCs w:val="18"/>
      <w:lang w:val="lv-LV"/>
    </w:rPr>
  </w:style>
  <w:style w:type="paragraph" w:styleId="CommentSubject">
    <w:name w:val="annotation subject"/>
    <w:basedOn w:val="CommentText"/>
    <w:next w:val="CommentText"/>
    <w:link w:val="CommentSubjectChar"/>
    <w:unhideWhenUsed/>
    <w:rsid w:val="00D661CA"/>
    <w:pPr>
      <w:widowControl w:val="0"/>
    </w:pPr>
    <w:rPr>
      <w:b/>
      <w:bCs/>
    </w:rPr>
  </w:style>
  <w:style w:type="character" w:customStyle="1" w:styleId="CommentSubjectChar">
    <w:name w:val="Comment Subject Char"/>
    <w:basedOn w:val="CommentTextChar"/>
    <w:link w:val="CommentSubject"/>
    <w:rsid w:val="00D661CA"/>
    <w:rPr>
      <w:b/>
      <w:bCs/>
      <w:lang w:val="lv-LV"/>
    </w:rPr>
  </w:style>
  <w:style w:type="character" w:styleId="Hyperlink">
    <w:name w:val="Hyperlink"/>
    <w:basedOn w:val="DefaultParagraphFont"/>
    <w:uiPriority w:val="99"/>
    <w:rsid w:val="00D661CA"/>
    <w:rPr>
      <w:color w:val="0563C1" w:themeColor="hyperlink"/>
      <w:u w:val="single"/>
    </w:rPr>
  </w:style>
  <w:style w:type="character" w:customStyle="1" w:styleId="boldface">
    <w:name w:val="boldface"/>
    <w:basedOn w:val="DefaultParagraphFont"/>
    <w:rsid w:val="00D661CA"/>
  </w:style>
  <w:style w:type="paragraph" w:styleId="Revision">
    <w:name w:val="Revision"/>
    <w:hidden/>
    <w:uiPriority w:val="99"/>
    <w:semiHidden/>
    <w:rsid w:val="00D661CA"/>
    <w:rPr>
      <w:sz w:val="24"/>
      <w:lang w:val="lv-LV"/>
    </w:rPr>
  </w:style>
  <w:style w:type="paragraph" w:customStyle="1" w:styleId="EntPE">
    <w:name w:val="EntPE"/>
    <w:basedOn w:val="Normal12"/>
    <w:rsid w:val="00D661CA"/>
    <w:pPr>
      <w:jc w:val="center"/>
    </w:pPr>
    <w:rPr>
      <w:noProof w:val="0"/>
      <w:sz w:val="56"/>
    </w:rPr>
  </w:style>
  <w:style w:type="paragraph" w:customStyle="1" w:styleId="Normal12">
    <w:name w:val="Normal12"/>
    <w:basedOn w:val="Normal"/>
    <w:link w:val="Normal12Char"/>
    <w:rsid w:val="00D661CA"/>
    <w:pPr>
      <w:spacing w:after="240"/>
    </w:pPr>
    <w:rPr>
      <w:noProof/>
    </w:rPr>
  </w:style>
  <w:style w:type="character" w:customStyle="1" w:styleId="Normal12Char">
    <w:name w:val="Normal12 Char"/>
    <w:basedOn w:val="DefaultParagraphFont"/>
    <w:link w:val="Normal12"/>
    <w:locked/>
    <w:rsid w:val="00D661CA"/>
    <w:rPr>
      <w:noProof/>
      <w:sz w:val="24"/>
      <w:lang w:val="lv-LV"/>
    </w:rPr>
  </w:style>
  <w:style w:type="paragraph" w:customStyle="1" w:styleId="CrossRef">
    <w:name w:val="CrossRef"/>
    <w:basedOn w:val="Normal"/>
    <w:rsid w:val="00D661CA"/>
    <w:pPr>
      <w:spacing w:before="240"/>
      <w:jc w:val="center"/>
    </w:pPr>
    <w:rPr>
      <w:i/>
    </w:rPr>
  </w:style>
  <w:style w:type="character" w:customStyle="1" w:styleId="AmNumberTabsChar">
    <w:name w:val="AmNumberTabs Char"/>
    <w:basedOn w:val="DefaultParagraphFont"/>
    <w:link w:val="AmNumberTabs"/>
    <w:rsid w:val="00D661CA"/>
    <w:rPr>
      <w:b/>
      <w:sz w:val="24"/>
      <w:lang w:val="lv-LV"/>
    </w:rPr>
  </w:style>
  <w:style w:type="character" w:customStyle="1" w:styleId="NormalBold12bChar">
    <w:name w:val="NormalBold12b Char"/>
    <w:basedOn w:val="AmNumberTabsChar"/>
    <w:link w:val="NormalBold12b"/>
    <w:rsid w:val="00D661CA"/>
    <w:rPr>
      <w:b/>
      <w:sz w:val="24"/>
      <w:lang w:val="lv-LV"/>
    </w:rPr>
  </w:style>
  <w:style w:type="paragraph" w:customStyle="1" w:styleId="Point0number">
    <w:name w:val="Point 0 (number)"/>
    <w:basedOn w:val="Normal"/>
    <w:rsid w:val="00D661CA"/>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D661CA"/>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D661CA"/>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D661CA"/>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D661CA"/>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D661CA"/>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D661CA"/>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D661CA"/>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D661CA"/>
    <w:pPr>
      <w:widowControl/>
      <w:numPr>
        <w:ilvl w:val="8"/>
        <w:numId w:val="3"/>
      </w:numPr>
      <w:spacing w:before="120" w:after="120"/>
      <w:jc w:val="both"/>
    </w:pPr>
    <w:rPr>
      <w:rFonts w:eastAsiaTheme="minorHAnsi"/>
      <w:szCs w:val="22"/>
      <w:lang w:eastAsia="en-US"/>
    </w:rPr>
  </w:style>
  <w:style w:type="paragraph" w:customStyle="1" w:styleId="Text2">
    <w:name w:val="Text 2"/>
    <w:basedOn w:val="Normal"/>
    <w:rsid w:val="00D661CA"/>
    <w:pPr>
      <w:widowControl/>
      <w:spacing w:before="120" w:after="120"/>
      <w:ind w:left="1417"/>
      <w:jc w:val="both"/>
    </w:pPr>
    <w:rPr>
      <w:rFonts w:eastAsiaTheme="minorHAnsi"/>
      <w:szCs w:val="22"/>
      <w:lang w:eastAsia="en-US"/>
    </w:rPr>
  </w:style>
  <w:style w:type="paragraph" w:customStyle="1" w:styleId="Normal12a">
    <w:name w:val="Normal12a"/>
    <w:basedOn w:val="Normal"/>
    <w:rsid w:val="00D661CA"/>
    <w:pPr>
      <w:spacing w:after="240"/>
    </w:pPr>
  </w:style>
  <w:style w:type="paragraph" w:customStyle="1" w:styleId="RollCallVotes">
    <w:name w:val="RollCallVotes"/>
    <w:basedOn w:val="Normal"/>
    <w:rsid w:val="00D661CA"/>
    <w:pPr>
      <w:spacing w:before="120" w:after="120"/>
      <w:jc w:val="center"/>
    </w:pPr>
    <w:rPr>
      <w:b/>
      <w:bCs/>
      <w:snapToGrid w:val="0"/>
      <w:sz w:val="16"/>
      <w:lang w:eastAsia="en-US"/>
    </w:rPr>
  </w:style>
  <w:style w:type="paragraph" w:customStyle="1" w:styleId="RollCallTabs">
    <w:name w:val="RollCallTabs"/>
    <w:basedOn w:val="Normal"/>
    <w:qFormat/>
    <w:rsid w:val="00D661CA"/>
    <w:pPr>
      <w:tabs>
        <w:tab w:val="center" w:pos="284"/>
        <w:tab w:val="left" w:pos="426"/>
      </w:tabs>
    </w:pPr>
    <w:rPr>
      <w:snapToGrid w:val="0"/>
      <w:lang w:eastAsia="en-US"/>
    </w:rPr>
  </w:style>
  <w:style w:type="paragraph" w:customStyle="1" w:styleId="RollCallSymbols14pt">
    <w:name w:val="RollCallSymbols14pt"/>
    <w:basedOn w:val="Normal"/>
    <w:rsid w:val="00D661CA"/>
    <w:pPr>
      <w:spacing w:before="120" w:after="120"/>
      <w:jc w:val="center"/>
    </w:pPr>
    <w:rPr>
      <w:rFonts w:ascii="Arial" w:hAnsi="Arial"/>
      <w:b/>
      <w:bCs/>
      <w:snapToGrid w:val="0"/>
      <w:sz w:val="28"/>
      <w:lang w:eastAsia="en-US"/>
    </w:rPr>
  </w:style>
  <w:style w:type="paragraph" w:customStyle="1" w:styleId="RollCallTable">
    <w:name w:val="RollCallTable"/>
    <w:basedOn w:val="Normal"/>
    <w:rsid w:val="00D661CA"/>
    <w:pPr>
      <w:spacing w:before="120" w:after="120"/>
    </w:pPr>
    <w:rPr>
      <w:snapToGrid w:val="0"/>
      <w:sz w:val="16"/>
      <w:lang w:eastAsia="en-US"/>
    </w:rPr>
  </w:style>
  <w:style w:type="paragraph" w:customStyle="1" w:styleId="PageHeadingNotTOC">
    <w:name w:val="PageHeadingNotTOC"/>
    <w:basedOn w:val="Normal"/>
    <w:rsid w:val="00D661CA"/>
    <w:pPr>
      <w:keepNext/>
      <w:spacing w:after="480"/>
      <w:jc w:val="center"/>
    </w:pPr>
    <w:rPr>
      <w:rFonts w:ascii="Arial" w:hAnsi="Arial" w:cs="Arial"/>
      <w:b/>
    </w:rPr>
  </w:style>
  <w:style w:type="paragraph" w:customStyle="1" w:styleId="AmHeadingPA">
    <w:name w:val="AmHeadingPA"/>
    <w:basedOn w:val="Normal"/>
    <w:next w:val="Normal"/>
    <w:rsid w:val="00D661CA"/>
    <w:pPr>
      <w:spacing w:before="480" w:after="240"/>
      <w:jc w:val="center"/>
    </w:pPr>
    <w:rPr>
      <w:rFonts w:ascii="Arial" w:hAnsi="Arial"/>
      <w:b/>
      <w:caps/>
      <w:snapToGrid w:val="0"/>
      <w:szCs w:val="24"/>
      <w:lang w:eastAsia="en-US"/>
    </w:rPr>
  </w:style>
  <w:style w:type="paragraph" w:customStyle="1" w:styleId="Normal12Hanging">
    <w:name w:val="Normal12Hanging"/>
    <w:basedOn w:val="Normal"/>
    <w:rsid w:val="00880149"/>
    <w:pPr>
      <w:spacing w:after="240"/>
      <w:ind w:left="567" w:hanging="567"/>
    </w:pPr>
    <w:rPr>
      <w:lang w:eastAsia="lv-LV" w:bidi="lv-LV"/>
    </w:rPr>
  </w:style>
  <w:style w:type="character" w:customStyle="1" w:styleId="diff-tte-added">
    <w:name w:val="diff-tte-added"/>
    <w:basedOn w:val="DefaultParagraphFont"/>
    <w:rsid w:val="00880149"/>
    <w:rPr>
      <w:b/>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10FF8-80EC-47C5-93DE-F497C0B47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365</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2024-07-29T15:52:00Z</dcterms:created>
  <dcterms:modified xsi:type="dcterms:W3CDTF">2024-07-29T15:52:00Z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P9_TA(2024)0193_</vt:lpwstr>
  </property>
  <property fmtid="{D5CDD505-2E9C-101B-9397-08002B2CF9AE}" pid="4" name="&lt;Type&gt;">
    <vt:lpwstr>RR</vt:lpwstr>
  </property>
</Properties>
</file>