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0D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0DC7" w:rsidRDefault="00EB5023" w:rsidP="0010095E">
            <w:pPr>
              <w:pStyle w:val="EPName"/>
            </w:pPr>
            <w:r w:rsidRPr="00C70DC7">
              <w:t>Parlament Europejski</w:t>
            </w:r>
          </w:p>
          <w:p w:rsidR="00751A4A" w:rsidRPr="00C70DC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0DC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70DC7" w:rsidRDefault="00187494" w:rsidP="0010095E">
            <w:pPr>
              <w:pStyle w:val="EPLogo"/>
            </w:pPr>
            <w:r w:rsidRPr="00C70D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0DC7" w:rsidRDefault="00D058B8" w:rsidP="004C5D52">
      <w:pPr>
        <w:pStyle w:val="LineTop"/>
      </w:pPr>
    </w:p>
    <w:p w:rsidR="00680577" w:rsidRPr="00C70DC7" w:rsidRDefault="00EB5023" w:rsidP="00680577">
      <w:pPr>
        <w:pStyle w:val="EPBodyTA1"/>
      </w:pPr>
      <w:r w:rsidRPr="00C70DC7">
        <w:t>TEKSTY PRZYJĘTE</w:t>
      </w:r>
    </w:p>
    <w:p w:rsidR="00D058B8" w:rsidRPr="00C70DC7" w:rsidRDefault="00D058B8" w:rsidP="00D058B8">
      <w:pPr>
        <w:pStyle w:val="LineBottom"/>
      </w:pPr>
    </w:p>
    <w:p w:rsidR="00EB5023" w:rsidRPr="00C70DC7" w:rsidRDefault="00EB5023" w:rsidP="00EB5023">
      <w:pPr>
        <w:pStyle w:val="ATHeading1"/>
      </w:pPr>
      <w:bookmarkStart w:id="0" w:name="TANumber"/>
      <w:r w:rsidRPr="00C70DC7">
        <w:t>P9_TA(2024)0</w:t>
      </w:r>
      <w:bookmarkEnd w:id="0"/>
      <w:r w:rsidR="00C22393" w:rsidRPr="00C70DC7">
        <w:t>193</w:t>
      </w:r>
    </w:p>
    <w:p w:rsidR="00EB5023" w:rsidRPr="00C70DC7" w:rsidRDefault="0095361B" w:rsidP="00EB5023">
      <w:pPr>
        <w:pStyle w:val="ATHeading2"/>
      </w:pPr>
      <w:r w:rsidRPr="00C70DC7">
        <w:rPr>
          <w:bCs/>
        </w:rPr>
        <w:t>Produkty przeznaczone do spożycia przez ludzi: zmiana niektórych dyrektyw „śniadaniowych”</w:t>
      </w:r>
    </w:p>
    <w:p w:rsidR="00EB5023" w:rsidRPr="00C70DC7" w:rsidRDefault="00EB5023" w:rsidP="00EB5023">
      <w:pPr>
        <w:rPr>
          <w:i/>
          <w:vanish/>
        </w:rPr>
      </w:pPr>
      <w:r w:rsidRPr="00C70DC7">
        <w:rPr>
          <w:i/>
        </w:rPr>
        <w:fldChar w:fldCharType="begin"/>
      </w:r>
      <w:r w:rsidRPr="00C70DC7">
        <w:rPr>
          <w:i/>
        </w:rPr>
        <w:instrText xml:space="preserve"> TC"(</w:instrText>
      </w:r>
      <w:bookmarkStart w:id="1" w:name="DocNumber"/>
      <w:r w:rsidRPr="00C70DC7">
        <w:rPr>
          <w:i/>
        </w:rPr>
        <w:instrText>A9-0385/2023</w:instrText>
      </w:r>
      <w:bookmarkEnd w:id="1"/>
      <w:r w:rsidRPr="00C70DC7">
        <w:rPr>
          <w:i/>
        </w:rPr>
        <w:instrText xml:space="preserve"> - Sprawozdawca: Alexander Bernhuber)"\l3 \n&gt; \* MERGEFORMAT </w:instrText>
      </w:r>
      <w:r w:rsidRPr="00C70DC7">
        <w:rPr>
          <w:i/>
        </w:rPr>
        <w:fldChar w:fldCharType="end"/>
      </w:r>
    </w:p>
    <w:p w:rsidR="00EB5023" w:rsidRPr="00C70DC7" w:rsidRDefault="00EB5023" w:rsidP="00EB5023">
      <w:pPr>
        <w:rPr>
          <w:vanish/>
        </w:rPr>
      </w:pPr>
      <w:bookmarkStart w:id="2" w:name="Commission"/>
      <w:r w:rsidRPr="00C70DC7">
        <w:rPr>
          <w:vanish/>
        </w:rPr>
        <w:t>Komisja Ochrony Środowiska Naturalnego, Zdrowia Publicznego i Bezpieczeństwa Żywności</w:t>
      </w:r>
      <w:bookmarkEnd w:id="2"/>
    </w:p>
    <w:p w:rsidR="00EB5023" w:rsidRPr="00C70DC7" w:rsidRDefault="00EB5023" w:rsidP="00EB5023">
      <w:pPr>
        <w:rPr>
          <w:vanish/>
        </w:rPr>
      </w:pPr>
      <w:bookmarkStart w:id="3" w:name="PE"/>
      <w:r w:rsidRPr="00C70DC7">
        <w:rPr>
          <w:vanish/>
        </w:rPr>
        <w:t>PE752.665</w:t>
      </w:r>
      <w:bookmarkEnd w:id="3"/>
    </w:p>
    <w:p w:rsidR="00EB5023" w:rsidRPr="00C70DC7" w:rsidRDefault="00EB5023" w:rsidP="00EB5023">
      <w:pPr>
        <w:pStyle w:val="ATHeading3"/>
      </w:pPr>
      <w:bookmarkStart w:id="4" w:name="Sujet"/>
      <w:r w:rsidRPr="00C70DC7">
        <w:t xml:space="preserve">Rezolucja ustawodawcza Parlamentu Europejskiego z dnia </w:t>
      </w:r>
      <w:r w:rsidR="00D34052" w:rsidRPr="00C70DC7">
        <w:t>10</w:t>
      </w:r>
      <w:r w:rsidR="0095361B" w:rsidRPr="00C70DC7">
        <w:t xml:space="preserve"> kwietnia</w:t>
      </w:r>
      <w:r w:rsidRPr="00C70DC7">
        <w:t xml:space="preserve"> 2024 r. w sprawie wniosku dotyczącego dyrektywy Parlamentu Europejskiego i Rady zmieniającej dyrektywę Rady 2001/110/WE odnoszącą się do miodu, dyrektywę Rady 2001/112/WE odnoszącą się do soków owocowych i niektórych podobnych produktów przeznaczonych do spożycia przez ludzi, dyrektywę Rady 2001/113/WE odnoszącą się do dżemów owocowych, galaretek i marmolady oraz słodzonego przecieru z kasztanów przeznaczonych do spożycia przez ludzi oraz dyrektywę Rady 2001/114/WE odnoszącą się do niektórych rodzajów częściowo lub całkowicie odwodnionego mleka konserwowanego przeznaczonego do spożycia przez ludzi</w:t>
      </w:r>
      <w:bookmarkEnd w:id="4"/>
      <w:r w:rsidRPr="00C70DC7">
        <w:t xml:space="preserve"> </w:t>
      </w:r>
      <w:bookmarkStart w:id="5" w:name="References"/>
      <w:r w:rsidRPr="00C70DC7">
        <w:t>(COM</w:t>
      </w:r>
      <w:proofErr w:type="gramStart"/>
      <w:r w:rsidRPr="00C70DC7">
        <w:t>(2023)0201 – C</w:t>
      </w:r>
      <w:proofErr w:type="gramEnd"/>
      <w:r w:rsidRPr="00C70DC7">
        <w:t>9-</w:t>
      </w:r>
      <w:r w:rsidR="00D34052" w:rsidRPr="00C70DC7">
        <w:t>0</w:t>
      </w:r>
      <w:r w:rsidRPr="00C70DC7">
        <w:t>140/2023 – 2023/0105(COD))</w:t>
      </w:r>
      <w:bookmarkEnd w:id="5"/>
    </w:p>
    <w:p w:rsidR="00250BE0" w:rsidRPr="00C70DC7" w:rsidRDefault="00250BE0" w:rsidP="00250BE0">
      <w:pPr>
        <w:pStyle w:val="NormalBold"/>
      </w:pPr>
      <w:bookmarkStart w:id="6" w:name="TextBodyBegin"/>
      <w:bookmarkEnd w:id="6"/>
      <w:r w:rsidRPr="00C70DC7">
        <w:t>(Zwykła procedura ustawodawcza: pierwsze czytanie)</w:t>
      </w:r>
    </w:p>
    <w:p w:rsidR="00250BE0" w:rsidRPr="00C70DC7" w:rsidRDefault="00250BE0" w:rsidP="00250BE0">
      <w:pPr>
        <w:pStyle w:val="EPComma"/>
      </w:pPr>
      <w:r w:rsidRPr="00C70DC7">
        <w:rPr>
          <w:i/>
        </w:rPr>
        <w:t>Parlament Europejski</w:t>
      </w:r>
      <w:r w:rsidRPr="00C70DC7">
        <w:t>,</w:t>
      </w:r>
    </w:p>
    <w:p w:rsidR="00250BE0" w:rsidRPr="00C70DC7" w:rsidRDefault="00250BE0" w:rsidP="00250BE0">
      <w:pPr>
        <w:pStyle w:val="NormalHanging12a"/>
      </w:pPr>
      <w:r w:rsidRPr="00C70DC7">
        <w:t>–</w:t>
      </w:r>
      <w:r w:rsidRPr="00C70DC7">
        <w:tab/>
        <w:t>uwzględniając wniosek Komisji przedstawiony Parlamentowi Europejskiemu i Radzie (COM(2023)0201),</w:t>
      </w:r>
    </w:p>
    <w:p w:rsidR="00250BE0" w:rsidRPr="00C70DC7" w:rsidRDefault="00250BE0" w:rsidP="00250BE0">
      <w:pPr>
        <w:pStyle w:val="NormalHanging12a"/>
      </w:pPr>
      <w:r w:rsidRPr="00C70DC7">
        <w:t>–</w:t>
      </w:r>
      <w:r w:rsidRPr="00C70DC7">
        <w:tab/>
        <w:t>uwzględniając art. 294 ust. 2 i art. 43 ust. 2 Traktatu o funkcjonowaniu Unii Europejskiej, zgodnie z którymi wniosek został przedstawiony Parlamentowi przez Komisję (C9</w:t>
      </w:r>
      <w:r w:rsidRPr="00C70DC7">
        <w:noBreakHyphen/>
      </w:r>
      <w:r w:rsidR="00FB5FDF" w:rsidRPr="00C70DC7">
        <w:t>0</w:t>
      </w:r>
      <w:r w:rsidRPr="00C70DC7">
        <w:t>140/2023),</w:t>
      </w:r>
    </w:p>
    <w:p w:rsidR="00250BE0" w:rsidRPr="00C70DC7" w:rsidRDefault="00250BE0" w:rsidP="00250BE0">
      <w:pPr>
        <w:pStyle w:val="NormalHanging12a"/>
      </w:pPr>
      <w:r w:rsidRPr="00C70DC7">
        <w:t>–</w:t>
      </w:r>
      <w:r w:rsidRPr="00C70DC7">
        <w:tab/>
        <w:t>uwzględniając art. 294 ust. 3 Traktatu o funkcjonowaniu Unii Europejskiej,</w:t>
      </w:r>
    </w:p>
    <w:p w:rsidR="00250BE0" w:rsidRPr="00C70DC7" w:rsidRDefault="00250BE0" w:rsidP="00250BE0">
      <w:pPr>
        <w:pStyle w:val="NormalHanging12a"/>
      </w:pPr>
      <w:r w:rsidRPr="00C70DC7">
        <w:t>–</w:t>
      </w:r>
      <w:r w:rsidRPr="00C70DC7">
        <w:tab/>
        <w:t>uwzględniając opinię Europejskiego Komitetu Ekonomiczno-Społecznego z dnia 21 września 2023 r.</w:t>
      </w:r>
      <w:r w:rsidRPr="00C70DC7">
        <w:rPr>
          <w:rStyle w:val="FootnoteReference"/>
        </w:rPr>
        <w:footnoteReference w:id="1"/>
      </w:r>
      <w:r w:rsidRPr="00C70DC7">
        <w:t>,</w:t>
      </w:r>
    </w:p>
    <w:p w:rsidR="00250BE0" w:rsidRPr="00C70DC7" w:rsidRDefault="00250BE0" w:rsidP="00250BE0">
      <w:pPr>
        <w:pStyle w:val="NormalHanging12a"/>
      </w:pPr>
      <w:r w:rsidRPr="00C70DC7">
        <w:t>–</w:t>
      </w:r>
      <w:r w:rsidRPr="00C70DC7">
        <w:tab/>
      </w:r>
      <w:r w:rsidR="00D34052" w:rsidRPr="00C70DC7">
        <w:t>po konsultacji</w:t>
      </w:r>
      <w:r w:rsidR="00D34052" w:rsidRPr="00C70DC7">
        <w:rPr>
          <w:b/>
          <w:i/>
        </w:rPr>
        <w:t xml:space="preserve"> z </w:t>
      </w:r>
      <w:r w:rsidR="00D34052" w:rsidRPr="00C70DC7">
        <w:t>Komitetem Regionów</w:t>
      </w:r>
      <w:r w:rsidRPr="00C70DC7">
        <w:t>,</w:t>
      </w:r>
    </w:p>
    <w:p w:rsidR="00D34052" w:rsidRPr="00C70DC7" w:rsidRDefault="00D34052" w:rsidP="00250BE0">
      <w:pPr>
        <w:pStyle w:val="NormalHanging12a"/>
      </w:pPr>
      <w:r w:rsidRPr="00C70DC7">
        <w:t>–</w:t>
      </w:r>
      <w:r w:rsidRPr="00C70DC7">
        <w:tab/>
        <w:t>uwzględniając wstępne porozumienie zatwierdzone przez komisję przedmiotowo właściwą na podstawie art. 74 ust. 4 Regulaminu oraz przekazane pismem z dnia 12 lutego 2024 r. zobowiązanie przedstawiciela Rady do zatwierdzenia stanowiska Parlamentu, zgodnie z art. 294 ust. 4 Traktatu o funkcjonowaniu Unii Europejskiej,</w:t>
      </w:r>
    </w:p>
    <w:p w:rsidR="00250BE0" w:rsidRPr="00C70DC7" w:rsidRDefault="00250BE0" w:rsidP="00250BE0">
      <w:pPr>
        <w:pStyle w:val="NormalHanging12a"/>
      </w:pPr>
      <w:r w:rsidRPr="00C70DC7">
        <w:t>–</w:t>
      </w:r>
      <w:r w:rsidRPr="00C70DC7">
        <w:tab/>
        <w:t>uwzględniając art. 59 Regulaminu,</w:t>
      </w:r>
    </w:p>
    <w:p w:rsidR="00250BE0" w:rsidRPr="00C70DC7" w:rsidRDefault="00250BE0" w:rsidP="00250BE0">
      <w:pPr>
        <w:pStyle w:val="NormalHanging12a"/>
      </w:pPr>
      <w:r w:rsidRPr="00C70DC7">
        <w:lastRenderedPageBreak/>
        <w:t>–</w:t>
      </w:r>
      <w:r w:rsidRPr="00C70DC7">
        <w:tab/>
        <w:t>uwzględniając opinię przedstawioną przez Komisję Rolnictwa i Rozwoju Wsi,</w:t>
      </w:r>
    </w:p>
    <w:p w:rsidR="00250BE0" w:rsidRPr="00C70DC7" w:rsidRDefault="00250BE0" w:rsidP="00250BE0">
      <w:pPr>
        <w:pStyle w:val="NormalHanging12a"/>
      </w:pPr>
      <w:r w:rsidRPr="00C70DC7">
        <w:t>–</w:t>
      </w:r>
      <w:r w:rsidRPr="00C70DC7">
        <w:tab/>
        <w:t>uwzględniając sprawozdanie Komisji Ochrony Środowiska Naturalnego, Zdrowia Publicznego i Bezpieczeństwa Żywności (A9-0385/2023),</w:t>
      </w:r>
    </w:p>
    <w:p w:rsidR="00250BE0" w:rsidRPr="00C70DC7" w:rsidRDefault="00250BE0" w:rsidP="00250BE0">
      <w:pPr>
        <w:pStyle w:val="NormalHanging12a"/>
      </w:pPr>
      <w:r w:rsidRPr="00C70DC7">
        <w:t>1.</w:t>
      </w:r>
      <w:r w:rsidRPr="00C70DC7">
        <w:tab/>
      </w:r>
      <w:proofErr w:type="gramStart"/>
      <w:r w:rsidRPr="00C70DC7">
        <w:t>przyjmuje</w:t>
      </w:r>
      <w:proofErr w:type="gramEnd"/>
      <w:r w:rsidRPr="00C70DC7">
        <w:t xml:space="preserve"> poniższe stanowisko w pierwszym czytaniu</w:t>
      </w:r>
      <w:r w:rsidR="00FB5FDF" w:rsidRPr="00C70DC7">
        <w:rPr>
          <w:rStyle w:val="FootnoteReference"/>
        </w:rPr>
        <w:footnoteReference w:id="2"/>
      </w:r>
      <w:r w:rsidRPr="00C70DC7">
        <w:t>;</w:t>
      </w:r>
    </w:p>
    <w:p w:rsidR="00250BE0" w:rsidRPr="00C70DC7" w:rsidRDefault="00250BE0" w:rsidP="00250BE0">
      <w:pPr>
        <w:pStyle w:val="NormalHanging12a"/>
      </w:pPr>
      <w:r w:rsidRPr="00C70DC7">
        <w:t>2.</w:t>
      </w:r>
      <w:r w:rsidRPr="00C70DC7">
        <w:tab/>
      </w:r>
      <w:proofErr w:type="gramStart"/>
      <w:r w:rsidRPr="00C70DC7">
        <w:t>zwraca</w:t>
      </w:r>
      <w:proofErr w:type="gramEnd"/>
      <w:r w:rsidRPr="00C70DC7">
        <w:t xml:space="preserve"> się do Komisji o ponowne przekazanie mu sprawy, jeśli zastąpi ona pierwotny wniosek, wprowadzi w nim istotne zmiany lub planuje ich wprowadzenie;</w:t>
      </w:r>
    </w:p>
    <w:p w:rsidR="00250BE0" w:rsidRPr="00C70DC7" w:rsidRDefault="00250BE0" w:rsidP="00250BE0">
      <w:pPr>
        <w:pStyle w:val="NormalHanging12a"/>
      </w:pPr>
      <w:r w:rsidRPr="00C70DC7">
        <w:t>3.</w:t>
      </w:r>
      <w:r w:rsidRPr="00C70DC7">
        <w:tab/>
      </w:r>
      <w:proofErr w:type="gramStart"/>
      <w:r w:rsidRPr="00C70DC7">
        <w:t>zobowiązuje</w:t>
      </w:r>
      <w:proofErr w:type="gramEnd"/>
      <w:r w:rsidRPr="00C70DC7">
        <w:t xml:space="preserve"> swoją przewodniczącą do przekazania stanowiska Parlamentu Radzie i Komisji oraz parlamentom narodowym.</w:t>
      </w:r>
    </w:p>
    <w:p w:rsidR="00D34052" w:rsidRPr="00C70DC7" w:rsidRDefault="00D34052" w:rsidP="00250BE0">
      <w:pPr>
        <w:sectPr w:rsidR="00D34052" w:rsidRPr="00C70DC7" w:rsidSect="0041715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34052" w:rsidRPr="00C70DC7" w:rsidRDefault="00D34052" w:rsidP="00D34052">
      <w:pPr>
        <w:spacing w:after="240"/>
        <w:rPr>
          <w:b/>
        </w:rPr>
      </w:pPr>
      <w:r w:rsidRPr="00C70DC7">
        <w:rPr>
          <w:b/>
        </w:rPr>
        <w:lastRenderedPageBreak/>
        <w:t>P9_TC1-COD(2023)0105</w:t>
      </w:r>
    </w:p>
    <w:p w:rsidR="00D34052" w:rsidRDefault="00D34052" w:rsidP="00D34052">
      <w:pPr>
        <w:rPr>
          <w:rFonts w:eastAsia="Calibri"/>
          <w:b/>
          <w:szCs w:val="22"/>
          <w:lang w:eastAsia="en-US"/>
        </w:rPr>
      </w:pPr>
      <w:r w:rsidRPr="00C70DC7">
        <w:rPr>
          <w:b/>
        </w:rPr>
        <w:t xml:space="preserve">Stanowisko Parlamentu Europejskiego przyjęte w pierwszym czytaniu w dniu 10 kwietnia 2024 r. w celu przyjęcia dyrektywy Parlamentu Europejskiego i Rady (UE) 2024/... </w:t>
      </w:r>
      <w:proofErr w:type="gramStart"/>
      <w:r w:rsidRPr="00C70DC7">
        <w:rPr>
          <w:rFonts w:eastAsia="Calibri"/>
          <w:b/>
          <w:szCs w:val="22"/>
          <w:lang w:eastAsia="en-US"/>
        </w:rPr>
        <w:t>w</w:t>
      </w:r>
      <w:proofErr w:type="gramEnd"/>
      <w:r w:rsidRPr="00C70DC7">
        <w:rPr>
          <w:rFonts w:eastAsia="Calibri"/>
          <w:b/>
          <w:szCs w:val="22"/>
          <w:lang w:eastAsia="en-US"/>
        </w:rPr>
        <w:t xml:space="preserve"> sprawie zmiany dyrektywy Rady 2001/110/WE odnoszącej się do miodu, dyrektywy Rady 2001/112/WE odnoszącej się do soków owocowych i niektórych podobnych produktów przeznaczonych do spożycia przez ludzi, dyrektywy Rady 2001/113/WE odnoszącej się do dżemów owocowych, galaretek i marmolady oraz słodzonego przecieru z kasztanów przeznaczonych do spożycia przez ludzi oraz dyrektywy Rady 2001/114/WE odnoszącej się do niektórych rodzajów częściowo lub całkowicie odwodnionego mleka konserwowanego przeznaczonego do spożycia przez ludzi</w:t>
      </w:r>
    </w:p>
    <w:p w:rsidR="00AC11F3" w:rsidRDefault="00AC11F3" w:rsidP="00D34052">
      <w:pPr>
        <w:rPr>
          <w:rFonts w:eastAsia="Calibri"/>
          <w:b/>
          <w:szCs w:val="22"/>
          <w:lang w:eastAsia="en-US"/>
        </w:rPr>
      </w:pPr>
    </w:p>
    <w:p w:rsidR="00AC11F3" w:rsidRPr="00C70DC7" w:rsidRDefault="00AC11F3" w:rsidP="00D34052">
      <w:pPr>
        <w:rPr>
          <w:rFonts w:eastAsia="Calibri"/>
          <w:b/>
          <w:bCs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 xml:space="preserve">, </w:t>
      </w:r>
      <w:r>
        <w:rPr>
          <w:i/>
        </w:rPr>
        <w:t>dyrektywy (UE) 2024/1438</w:t>
      </w:r>
      <w:bookmarkStart w:id="7" w:name="_GoBack"/>
      <w:bookmarkEnd w:id="7"/>
      <w:r>
        <w:rPr>
          <w:i/>
        </w:rPr>
        <w:t>.)</w:t>
      </w:r>
    </w:p>
    <w:sectPr w:rsidR="00AC11F3" w:rsidRPr="00C70DC7" w:rsidSect="00AC11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023" w:rsidRPr="00417158" w:rsidRDefault="00EB5023">
      <w:r w:rsidRPr="00417158">
        <w:separator/>
      </w:r>
    </w:p>
  </w:endnote>
  <w:endnote w:type="continuationSeparator" w:id="0">
    <w:p w:rsidR="00EB5023" w:rsidRPr="00417158" w:rsidRDefault="00EB5023">
      <w:r w:rsidRPr="004171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B02" w:rsidRDefault="00AC11F3">
    <w:pPr>
      <w:pStyle w:val="Footer"/>
    </w:pPr>
  </w:p>
  <w:p w:rsidR="00A63B02" w:rsidRDefault="00AC11F3"/>
  <w:p w:rsidR="00A63B02" w:rsidRDefault="00AC11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B02" w:rsidRPr="00D34052" w:rsidRDefault="00AC11F3" w:rsidP="00D340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B02" w:rsidRDefault="00AC11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023" w:rsidRPr="00417158" w:rsidRDefault="00EB5023">
      <w:r w:rsidRPr="00417158">
        <w:separator/>
      </w:r>
    </w:p>
  </w:footnote>
  <w:footnote w:type="continuationSeparator" w:id="0">
    <w:p w:rsidR="00EB5023" w:rsidRPr="00417158" w:rsidRDefault="00EB5023">
      <w:r w:rsidRPr="00417158">
        <w:continuationSeparator/>
      </w:r>
    </w:p>
  </w:footnote>
  <w:footnote w:id="1">
    <w:p w:rsidR="00250BE0" w:rsidRPr="00F0363E" w:rsidRDefault="00250BE0" w:rsidP="00417158">
      <w:pPr>
        <w:pStyle w:val="FootnoteText"/>
        <w:ind w:left="567" w:hanging="567"/>
        <w:rPr>
          <w:sz w:val="24"/>
          <w:szCs w:val="24"/>
          <w:lang w:val="fi-FI"/>
        </w:rPr>
      </w:pPr>
      <w:r w:rsidRPr="00F0363E">
        <w:rPr>
          <w:rStyle w:val="FootnoteReference"/>
          <w:sz w:val="24"/>
          <w:szCs w:val="24"/>
          <w:lang w:val="pl-PL"/>
        </w:rPr>
        <w:footnoteRef/>
      </w:r>
      <w:r w:rsidR="00417158" w:rsidRPr="00F0363E">
        <w:rPr>
          <w:sz w:val="24"/>
          <w:szCs w:val="24"/>
          <w:lang w:val="fi-FI"/>
        </w:rPr>
        <w:t xml:space="preserve"> </w:t>
      </w:r>
      <w:r w:rsidR="00417158" w:rsidRPr="00F0363E">
        <w:rPr>
          <w:sz w:val="24"/>
          <w:szCs w:val="24"/>
          <w:lang w:val="fi-FI"/>
        </w:rPr>
        <w:tab/>
      </w:r>
      <w:proofErr w:type="spellStart"/>
      <w:r w:rsidR="00D34052" w:rsidRPr="00F0363E">
        <w:rPr>
          <w:sz w:val="24"/>
          <w:szCs w:val="24"/>
          <w:lang w:val="fi-FI"/>
        </w:rPr>
        <w:t>Dz.U</w:t>
      </w:r>
      <w:proofErr w:type="spellEnd"/>
      <w:r w:rsidR="00D34052" w:rsidRPr="00F0363E">
        <w:rPr>
          <w:sz w:val="24"/>
          <w:szCs w:val="24"/>
          <w:lang w:val="fi-FI"/>
        </w:rPr>
        <w:t>. C, C/2023/881, 8.12.2023, ELI: http://data.europa.eu/eli/C/2023/881/oj.</w:t>
      </w:r>
    </w:p>
  </w:footnote>
  <w:footnote w:id="2">
    <w:p w:rsidR="00FB5FDF" w:rsidRPr="00F0363E" w:rsidRDefault="00FB5FDF">
      <w:pPr>
        <w:pStyle w:val="FootnoteText"/>
        <w:rPr>
          <w:sz w:val="24"/>
          <w:szCs w:val="24"/>
          <w:lang w:val="pl-PL"/>
        </w:rPr>
      </w:pPr>
      <w:r w:rsidRPr="00F0363E">
        <w:rPr>
          <w:rStyle w:val="FootnoteReference"/>
          <w:sz w:val="24"/>
          <w:szCs w:val="24"/>
        </w:rPr>
        <w:footnoteRef/>
      </w:r>
      <w:r w:rsidRPr="00F0363E">
        <w:rPr>
          <w:sz w:val="24"/>
          <w:szCs w:val="24"/>
          <w:lang w:val="pl-PL"/>
        </w:rPr>
        <w:t xml:space="preserve"> </w:t>
      </w:r>
      <w:r w:rsidRPr="00F0363E">
        <w:rPr>
          <w:sz w:val="24"/>
          <w:szCs w:val="24"/>
          <w:lang w:val="pl-PL"/>
        </w:rPr>
        <w:tab/>
        <w:t>Niniejsze stanowisko zastępuje poprawki przyjęte dnia 12 grudnia 2023 r. (Teksty przyjęte, P9_TA(2023)0445).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B02" w:rsidRDefault="00AC11F3">
    <w:pPr>
      <w:pStyle w:val="Header"/>
    </w:pPr>
  </w:p>
  <w:p w:rsidR="00A63B02" w:rsidRDefault="00AC11F3"/>
  <w:p w:rsidR="00A63B02" w:rsidRDefault="00AC11F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B02" w:rsidRPr="00F0363E" w:rsidRDefault="00AC11F3" w:rsidP="00F036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B02" w:rsidRDefault="00AC11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PL"/>
    <w:docVar w:name="dvnumam" w:val="113"/>
    <w:docVar w:name="dvpe" w:val="752.665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zmieniającej dyrektywę Rady 2001/110/WE odnoszącą się do miodu, dyrektywę Rady 2001/112/WE odnoszącą się do soków owocowych i niektórych podobnych produktów przeznaczonych do spożycia przez ludzi, dyrektywę Rady 2001/113/WE odnoszącą się do dżemów owocowych, galaretek i marmolady oraz słodzonego przecieru z kasztanów przeznaczonych do spożycia przez ludzi oraz dyrektywę Rady 2001/114/WE odnoszącą się do niektórych rodzajów częściowo lub całkowicie odwodnionego mleka konserwowanego przeznaczonego do spożycia przez ludzi(COM(2023)0201 – C9-140/2023 – 2023/0105(COD))"/>
  </w:docVars>
  <w:rsids>
    <w:rsidRoot w:val="00EB502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0BE0"/>
    <w:rsid w:val="002767FF"/>
    <w:rsid w:val="002B18FE"/>
    <w:rsid w:val="002B5493"/>
    <w:rsid w:val="00343214"/>
    <w:rsid w:val="00361C00"/>
    <w:rsid w:val="003630DC"/>
    <w:rsid w:val="00395FA1"/>
    <w:rsid w:val="003E15D4"/>
    <w:rsid w:val="00411CCE"/>
    <w:rsid w:val="0041666E"/>
    <w:rsid w:val="00417158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61B"/>
    <w:rsid w:val="00981893"/>
    <w:rsid w:val="00A1687D"/>
    <w:rsid w:val="00A43E52"/>
    <w:rsid w:val="00A4678D"/>
    <w:rsid w:val="00A778C7"/>
    <w:rsid w:val="00AB441E"/>
    <w:rsid w:val="00AB6293"/>
    <w:rsid w:val="00AC11F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2393"/>
    <w:rsid w:val="00C23CD4"/>
    <w:rsid w:val="00C61C0C"/>
    <w:rsid w:val="00C70DC7"/>
    <w:rsid w:val="00C941CB"/>
    <w:rsid w:val="00CC2357"/>
    <w:rsid w:val="00CF071A"/>
    <w:rsid w:val="00D058B8"/>
    <w:rsid w:val="00D3405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5023"/>
    <w:rsid w:val="00ED169E"/>
    <w:rsid w:val="00ED4235"/>
    <w:rsid w:val="00F0363E"/>
    <w:rsid w:val="00F04346"/>
    <w:rsid w:val="00F075DC"/>
    <w:rsid w:val="00F149E9"/>
    <w:rsid w:val="00F5134D"/>
    <w:rsid w:val="00F74202"/>
    <w:rsid w:val="00F87713"/>
    <w:rsid w:val="00FB4360"/>
    <w:rsid w:val="00FB5FD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EEF04"/>
  <w15:chartTrackingRefBased/>
  <w15:docId w15:val="{0C2C1619-9DA2-4C6E-AF76-438B79694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50BE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50BE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50BE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50BE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50BE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50BE0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250BE0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250BE0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250BE0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250BE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50BE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50BE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50BE0"/>
    <w:pPr>
      <w:spacing w:after="120"/>
    </w:pPr>
  </w:style>
  <w:style w:type="paragraph" w:customStyle="1" w:styleId="PageHeading">
    <w:name w:val="PageHeading"/>
    <w:basedOn w:val="Normal"/>
    <w:rsid w:val="00250BE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50BE0"/>
    <w:rPr>
      <w:b/>
    </w:rPr>
  </w:style>
  <w:style w:type="paragraph" w:customStyle="1" w:styleId="NormalBold12a">
    <w:name w:val="NormalBold12a"/>
    <w:basedOn w:val="Normal"/>
    <w:rsid w:val="00250BE0"/>
    <w:pPr>
      <w:spacing w:after="240"/>
    </w:pPr>
    <w:rPr>
      <w:b/>
    </w:rPr>
  </w:style>
  <w:style w:type="paragraph" w:customStyle="1" w:styleId="AmJustText">
    <w:name w:val="AmJustText"/>
    <w:basedOn w:val="Normal"/>
    <w:rsid w:val="00250BE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50BE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50BE0"/>
    <w:pPr>
      <w:spacing w:after="480"/>
      <w:ind w:left="1417"/>
    </w:pPr>
  </w:style>
  <w:style w:type="paragraph" w:customStyle="1" w:styleId="CoverNormal">
    <w:name w:val="CoverNormal"/>
    <w:basedOn w:val="Normal"/>
    <w:rsid w:val="00250BE0"/>
    <w:pPr>
      <w:ind w:left="1418"/>
    </w:pPr>
  </w:style>
  <w:style w:type="paragraph" w:customStyle="1" w:styleId="AmCrossRef">
    <w:name w:val="AmCrossRef"/>
    <w:basedOn w:val="Normal"/>
    <w:rsid w:val="00250BE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50BE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50BE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50BE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50BE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50BE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50B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BE0"/>
    <w:rPr>
      <w:sz w:val="24"/>
      <w:lang w:val="pl-PL"/>
    </w:rPr>
  </w:style>
  <w:style w:type="paragraph" w:customStyle="1" w:styleId="AmOrLang">
    <w:name w:val="AmOrLang"/>
    <w:basedOn w:val="Normal"/>
    <w:rsid w:val="00250BE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50BE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50B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50BE0"/>
    <w:pPr>
      <w:spacing w:before="240"/>
    </w:pPr>
    <w:rPr>
      <w:b/>
    </w:rPr>
  </w:style>
  <w:style w:type="paragraph" w:customStyle="1" w:styleId="EPBody">
    <w:name w:val="EPBody"/>
    <w:basedOn w:val="Normal"/>
    <w:rsid w:val="00250BE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50BE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50BE0"/>
    <w:pPr>
      <w:spacing w:before="480" w:after="240"/>
    </w:pPr>
  </w:style>
  <w:style w:type="paragraph" w:customStyle="1" w:styleId="Lgendesigne">
    <w:name w:val="Légende signe"/>
    <w:basedOn w:val="Normal"/>
    <w:rsid w:val="00250BE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50BE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50BE0"/>
    <w:rPr>
      <w:sz w:val="18"/>
    </w:rPr>
  </w:style>
  <w:style w:type="paragraph" w:customStyle="1" w:styleId="Normal24a">
    <w:name w:val="Normal24a"/>
    <w:basedOn w:val="Normal"/>
    <w:rsid w:val="00250BE0"/>
    <w:pPr>
      <w:spacing w:after="480"/>
    </w:pPr>
  </w:style>
  <w:style w:type="paragraph" w:customStyle="1" w:styleId="NormalBoldCenter">
    <w:name w:val="NormalBoldCenter"/>
    <w:basedOn w:val="Normal"/>
    <w:rsid w:val="00250BE0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250BE0"/>
    <w:pPr>
      <w:spacing w:after="120"/>
    </w:pPr>
  </w:style>
  <w:style w:type="paragraph" w:customStyle="1" w:styleId="Normal12Italic">
    <w:name w:val="Normal12Italic"/>
    <w:basedOn w:val="Normal"/>
    <w:rsid w:val="00250BE0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250BE0"/>
    <w:rPr>
      <w:b/>
      <w:sz w:val="24"/>
      <w:lang w:val="pl-PL"/>
    </w:rPr>
  </w:style>
  <w:style w:type="paragraph" w:customStyle="1" w:styleId="JustificationTitle">
    <w:name w:val="JustificationTitle"/>
    <w:basedOn w:val="Normal"/>
    <w:next w:val="Normal"/>
    <w:rsid w:val="00250BE0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250BE0"/>
    <w:rPr>
      <w:sz w:val="24"/>
      <w:lang w:val="pl-PL"/>
    </w:rPr>
  </w:style>
  <w:style w:type="paragraph" w:customStyle="1" w:styleId="ColumnHeading">
    <w:name w:val="ColumnHeading"/>
    <w:basedOn w:val="Normal"/>
    <w:rsid w:val="00250BE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50B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50BE0"/>
    <w:pPr>
      <w:jc w:val="right"/>
    </w:pPr>
    <w:rPr>
      <w:lang w:val="pl-PL"/>
    </w:rPr>
  </w:style>
  <w:style w:type="paragraph" w:styleId="BodyText">
    <w:name w:val="Body Text"/>
    <w:basedOn w:val="Normal"/>
    <w:link w:val="BodyTextChar"/>
    <w:uiPriority w:val="1"/>
    <w:unhideWhenUsed/>
    <w:qFormat/>
    <w:rsid w:val="00250BE0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50BE0"/>
    <w:rPr>
      <w:sz w:val="24"/>
      <w:szCs w:val="24"/>
      <w:lang w:val="pl-PL" w:eastAsia="en-US"/>
    </w:rPr>
  </w:style>
  <w:style w:type="paragraph" w:styleId="CommentText">
    <w:name w:val="annotation text"/>
    <w:basedOn w:val="Normal"/>
    <w:link w:val="CommentTextChar"/>
    <w:unhideWhenUsed/>
    <w:rsid w:val="00250BE0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50BE0"/>
    <w:rPr>
      <w:lang w:val="pl-PL"/>
    </w:rPr>
  </w:style>
  <w:style w:type="character" w:styleId="CommentReference">
    <w:name w:val="annotation reference"/>
    <w:basedOn w:val="DefaultParagraphFont"/>
    <w:unhideWhenUsed/>
    <w:rsid w:val="00250BE0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250B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0BE0"/>
    <w:rPr>
      <w:rFonts w:ascii="Segoe UI" w:hAnsi="Segoe UI" w:cs="Segoe UI"/>
      <w:sz w:val="18"/>
      <w:szCs w:val="18"/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50BE0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0BE0"/>
    <w:rPr>
      <w:b/>
      <w:bCs/>
      <w:lang w:val="pl-PL"/>
    </w:rPr>
  </w:style>
  <w:style w:type="character" w:styleId="Hyperlink">
    <w:name w:val="Hyperlink"/>
    <w:basedOn w:val="DefaultParagraphFont"/>
    <w:uiPriority w:val="99"/>
    <w:rsid w:val="00250BE0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250BE0"/>
  </w:style>
  <w:style w:type="paragraph" w:styleId="Revision">
    <w:name w:val="Revision"/>
    <w:hidden/>
    <w:uiPriority w:val="99"/>
    <w:semiHidden/>
    <w:rsid w:val="00250BE0"/>
    <w:rPr>
      <w:sz w:val="24"/>
      <w:lang w:val="pl-PL"/>
    </w:rPr>
  </w:style>
  <w:style w:type="paragraph" w:customStyle="1" w:styleId="EntPE">
    <w:name w:val="EntPE"/>
    <w:basedOn w:val="Normal12"/>
    <w:rsid w:val="00250BE0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50BE0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250BE0"/>
    <w:rPr>
      <w:noProof/>
      <w:sz w:val="24"/>
      <w:lang w:val="pl-PL"/>
    </w:rPr>
  </w:style>
  <w:style w:type="paragraph" w:customStyle="1" w:styleId="CrossRef">
    <w:name w:val="CrossRef"/>
    <w:basedOn w:val="Normal"/>
    <w:rsid w:val="00250BE0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250BE0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250BE0"/>
    <w:rPr>
      <w:b/>
      <w:sz w:val="24"/>
      <w:lang w:val="pl-PL"/>
    </w:rPr>
  </w:style>
  <w:style w:type="paragraph" w:customStyle="1" w:styleId="Point0number">
    <w:name w:val="Point 0 (number)"/>
    <w:basedOn w:val="Normal"/>
    <w:rsid w:val="00250BE0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50BE0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250BE0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50BE0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50BE0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250BE0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50BE0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50BE0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50BE0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50BE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250BE0"/>
    <w:pPr>
      <w:spacing w:after="240"/>
    </w:pPr>
  </w:style>
  <w:style w:type="paragraph" w:customStyle="1" w:styleId="RollCallVotes">
    <w:name w:val="RollCallVotes"/>
    <w:basedOn w:val="Normal"/>
    <w:rsid w:val="00250BE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50BE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50BE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50BE0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250BE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50BE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Center12a">
    <w:name w:val="NormalCenter12a"/>
    <w:basedOn w:val="Normal"/>
    <w:rsid w:val="00D34052"/>
    <w:pPr>
      <w:spacing w:after="240"/>
      <w:jc w:val="center"/>
    </w:pPr>
  </w:style>
  <w:style w:type="paragraph" w:styleId="Footer">
    <w:name w:val="footer"/>
    <w:basedOn w:val="Normal"/>
    <w:link w:val="FooterChar"/>
    <w:uiPriority w:val="99"/>
    <w:rsid w:val="00D340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052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E55B9-BB12-41AF-BFA9-03B5F81E7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2024-07-31T09:21:00Z</dcterms:created>
  <dcterms:modified xsi:type="dcterms:W3CDTF">2024-07-31T09:21:00Z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