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3FC" w14:paraId="69F994F4" w14:textId="77777777" w:rsidTr="0010095E">
        <w:trPr>
          <w:trHeight w:hRule="exact" w:val="1418"/>
        </w:trPr>
        <w:tc>
          <w:tcPr>
            <w:tcW w:w="6804" w:type="dxa"/>
            <w:shd w:val="clear" w:color="auto" w:fill="auto"/>
            <w:vAlign w:val="center"/>
          </w:tcPr>
          <w:p w14:paraId="11B63EDB" w14:textId="77777777" w:rsidR="00751A4A" w:rsidRPr="00F933FC" w:rsidRDefault="00B81439" w:rsidP="0010095E">
            <w:pPr>
              <w:pStyle w:val="EPName"/>
            </w:pPr>
            <w:r w:rsidRPr="00F933FC">
              <w:t>Europa-Parlamentet</w:t>
            </w:r>
          </w:p>
          <w:p w14:paraId="17960BB6" w14:textId="77777777" w:rsidR="00751A4A" w:rsidRPr="00F933FC" w:rsidRDefault="00817416" w:rsidP="00756632">
            <w:pPr>
              <w:pStyle w:val="EPTerm"/>
              <w:rPr>
                <w:rStyle w:val="HideTWBExt"/>
                <w:noProof w:val="0"/>
                <w:vanish w:val="0"/>
                <w:color w:val="auto"/>
              </w:rPr>
            </w:pPr>
            <w:r w:rsidRPr="00F91906">
              <w:t>2019</w:t>
            </w:r>
            <w:r w:rsidRPr="00F933FC">
              <w:t>-</w:t>
            </w:r>
            <w:r w:rsidRPr="00F91906">
              <w:t>2024</w:t>
            </w:r>
          </w:p>
        </w:tc>
        <w:tc>
          <w:tcPr>
            <w:tcW w:w="2268" w:type="dxa"/>
            <w:shd w:val="clear" w:color="auto" w:fill="auto"/>
          </w:tcPr>
          <w:p w14:paraId="724C08C6" w14:textId="77777777" w:rsidR="00751A4A" w:rsidRPr="00F933FC" w:rsidRDefault="00187494" w:rsidP="0010095E">
            <w:pPr>
              <w:pStyle w:val="EPLogo"/>
            </w:pPr>
            <w:r w:rsidRPr="00F933FC">
              <w:rPr>
                <w:noProof/>
                <w:lang w:val="en-GB"/>
              </w:rPr>
              <w:drawing>
                <wp:inline distT="0" distB="0" distL="0" distR="0" wp14:anchorId="44511F06" wp14:editId="771FEF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D44CC1" w14:textId="77777777" w:rsidR="00D058B8" w:rsidRPr="00F933FC" w:rsidRDefault="00D058B8" w:rsidP="004C5D52">
      <w:pPr>
        <w:pStyle w:val="LineTop"/>
      </w:pPr>
    </w:p>
    <w:p w14:paraId="3991421C" w14:textId="77777777" w:rsidR="00680577" w:rsidRPr="00F933FC" w:rsidRDefault="00B81439" w:rsidP="00680577">
      <w:pPr>
        <w:pStyle w:val="EPBodyTA1"/>
      </w:pPr>
      <w:r w:rsidRPr="00F933FC">
        <w:t>VEDTAGNE TEKSTER</w:t>
      </w:r>
    </w:p>
    <w:p w14:paraId="14A1F647" w14:textId="77777777" w:rsidR="00D058B8" w:rsidRPr="00F933FC" w:rsidRDefault="00D058B8" w:rsidP="00D058B8">
      <w:pPr>
        <w:pStyle w:val="LineBottom"/>
      </w:pPr>
    </w:p>
    <w:p w14:paraId="2471CDEC" w14:textId="027473D5" w:rsidR="00B81439" w:rsidRPr="00F933FC" w:rsidRDefault="00B81439" w:rsidP="00B81439">
      <w:pPr>
        <w:pStyle w:val="ATHeading1"/>
      </w:pPr>
      <w:bookmarkStart w:id="0" w:name="TANumber"/>
      <w:r w:rsidRPr="00F933FC">
        <w:t>P</w:t>
      </w:r>
      <w:r w:rsidRPr="00F91906">
        <w:t>9</w:t>
      </w:r>
      <w:r w:rsidRPr="00F933FC">
        <w:t>_TA(</w:t>
      </w:r>
      <w:r w:rsidRPr="00F91906">
        <w:t>2024</w:t>
      </w:r>
      <w:r w:rsidRPr="00F933FC">
        <w:t>)</w:t>
      </w:r>
      <w:r w:rsidRPr="00F91906">
        <w:t>0</w:t>
      </w:r>
      <w:r w:rsidR="00CD4E76" w:rsidRPr="00F91906">
        <w:t>198</w:t>
      </w:r>
      <w:bookmarkEnd w:id="0"/>
    </w:p>
    <w:p w14:paraId="3CF59F31" w14:textId="77777777" w:rsidR="00B81439" w:rsidRPr="00F933FC" w:rsidRDefault="00B81439" w:rsidP="00B81439">
      <w:pPr>
        <w:pStyle w:val="ATHeading2"/>
      </w:pPr>
      <w:bookmarkStart w:id="1" w:name="title"/>
      <w:r w:rsidRPr="00F933FC">
        <w:t>Midlertidig undtagelse: bekæmpelse af seksuelt misbrug af børn online</w:t>
      </w:r>
      <w:bookmarkEnd w:id="1"/>
    </w:p>
    <w:p w14:paraId="35E8E714" w14:textId="77777777" w:rsidR="00B81439" w:rsidRPr="00F933FC" w:rsidRDefault="00B81439" w:rsidP="00B81439">
      <w:pPr>
        <w:rPr>
          <w:i/>
          <w:vanish/>
        </w:rPr>
      </w:pPr>
      <w:r w:rsidRPr="00F933FC">
        <w:rPr>
          <w:i/>
        </w:rPr>
        <w:fldChar w:fldCharType="begin"/>
      </w:r>
      <w:r w:rsidRPr="00F933FC">
        <w:rPr>
          <w:i/>
        </w:rPr>
        <w:instrText xml:space="preserve"> TC"(</w:instrText>
      </w:r>
      <w:bookmarkStart w:id="2" w:name="DocNumber"/>
      <w:r w:rsidRPr="00F933FC">
        <w:rPr>
          <w:i/>
        </w:rPr>
        <w:instrText>A</w:instrText>
      </w:r>
      <w:r w:rsidRPr="00F91906">
        <w:rPr>
          <w:i/>
        </w:rPr>
        <w:instrText>9</w:instrText>
      </w:r>
      <w:r w:rsidRPr="00F933FC">
        <w:rPr>
          <w:i/>
        </w:rPr>
        <w:instrText>-</w:instrText>
      </w:r>
      <w:r w:rsidRPr="00F91906">
        <w:rPr>
          <w:i/>
        </w:rPr>
        <w:instrText>0021</w:instrText>
      </w:r>
      <w:r w:rsidRPr="00F933FC">
        <w:rPr>
          <w:i/>
        </w:rPr>
        <w:instrText>/</w:instrText>
      </w:r>
      <w:r w:rsidRPr="00F91906">
        <w:rPr>
          <w:i/>
        </w:rPr>
        <w:instrText>2024</w:instrText>
      </w:r>
      <w:bookmarkEnd w:id="2"/>
      <w:r w:rsidRPr="00F933FC">
        <w:rPr>
          <w:i/>
        </w:rPr>
        <w:instrText xml:space="preserve"> - Ordfører: Birgit Sippel)"\l</w:instrText>
      </w:r>
      <w:r w:rsidRPr="00F91906">
        <w:rPr>
          <w:i/>
        </w:rPr>
        <w:instrText>3</w:instrText>
      </w:r>
      <w:r w:rsidRPr="00F933FC">
        <w:rPr>
          <w:i/>
        </w:rPr>
        <w:instrText xml:space="preserve"> \n&gt; \* MERGEFORMAT </w:instrText>
      </w:r>
      <w:r w:rsidRPr="00F933FC">
        <w:rPr>
          <w:i/>
        </w:rPr>
        <w:fldChar w:fldCharType="end"/>
      </w:r>
    </w:p>
    <w:p w14:paraId="42F5C0A8" w14:textId="77777777" w:rsidR="00B81439" w:rsidRPr="00F933FC" w:rsidRDefault="00B81439" w:rsidP="00B81439">
      <w:pPr>
        <w:rPr>
          <w:vanish/>
        </w:rPr>
      </w:pPr>
      <w:bookmarkStart w:id="3" w:name="Commission"/>
      <w:r w:rsidRPr="00F933FC">
        <w:rPr>
          <w:vanish/>
        </w:rPr>
        <w:t>Udvalget om Borgernes Rettigheder og Retlige og Indre Anliggender</w:t>
      </w:r>
      <w:bookmarkEnd w:id="3"/>
    </w:p>
    <w:p w14:paraId="68ECD76D" w14:textId="77777777" w:rsidR="00B81439" w:rsidRPr="00F933FC" w:rsidRDefault="00B81439" w:rsidP="00B81439">
      <w:pPr>
        <w:rPr>
          <w:vanish/>
        </w:rPr>
      </w:pPr>
      <w:bookmarkStart w:id="4" w:name="PE"/>
      <w:r w:rsidRPr="00F933FC">
        <w:rPr>
          <w:vanish/>
        </w:rPr>
        <w:t>PE</w:t>
      </w:r>
      <w:r w:rsidRPr="00F91906">
        <w:rPr>
          <w:vanish/>
        </w:rPr>
        <w:t>758</w:t>
      </w:r>
      <w:r w:rsidRPr="00F933FC">
        <w:rPr>
          <w:vanish/>
        </w:rPr>
        <w:t>.</w:t>
      </w:r>
      <w:r w:rsidRPr="00F91906">
        <w:rPr>
          <w:vanish/>
        </w:rPr>
        <w:t>054</w:t>
      </w:r>
      <w:bookmarkEnd w:id="4"/>
    </w:p>
    <w:p w14:paraId="61116E1A" w14:textId="5288EEC1" w:rsidR="00B81439" w:rsidRPr="00F933FC" w:rsidRDefault="00B81439" w:rsidP="00B81439">
      <w:pPr>
        <w:pStyle w:val="ATHeading3"/>
      </w:pPr>
      <w:bookmarkStart w:id="5" w:name="Sujet"/>
      <w:r w:rsidRPr="00F933FC">
        <w:t xml:space="preserve">Europa-Parlamentets lovgivningsmæssige beslutning af </w:t>
      </w:r>
      <w:r w:rsidR="001A0EA6" w:rsidRPr="00F91906">
        <w:t>10</w:t>
      </w:r>
      <w:r w:rsidRPr="00F933FC">
        <w:t xml:space="preserve">. april </w:t>
      </w:r>
      <w:r w:rsidRPr="00F91906">
        <w:t>2024</w:t>
      </w:r>
      <w:r w:rsidRPr="00F933FC">
        <w:t xml:space="preserve"> om forslag til Europa-Parlamentets og Rådets forordning om ændring af Europa-Parlamentets og Rådets forordning (EU) </w:t>
      </w:r>
      <w:r w:rsidRPr="00F91906">
        <w:t>2021</w:t>
      </w:r>
      <w:r w:rsidRPr="00F933FC">
        <w:t>/</w:t>
      </w:r>
      <w:r w:rsidRPr="00F91906">
        <w:t>1232</w:t>
      </w:r>
      <w:r w:rsidRPr="00F933FC">
        <w:t xml:space="preserve"> om en midlertidig undtagelse fra visse bestemmelser i direktiv </w:t>
      </w:r>
      <w:r w:rsidRPr="00F91906">
        <w:t>2002</w:t>
      </w:r>
      <w:r w:rsidRPr="00F933FC">
        <w:t>/</w:t>
      </w:r>
      <w:r w:rsidRPr="00F91906">
        <w:t>58</w:t>
      </w:r>
      <w:r w:rsidRPr="00F933FC">
        <w:t>/EF med det formål at bekæmpe seksuelt misbrug af børn online</w:t>
      </w:r>
      <w:bookmarkEnd w:id="5"/>
      <w:r w:rsidRPr="00F933FC">
        <w:t xml:space="preserve"> </w:t>
      </w:r>
      <w:bookmarkStart w:id="6" w:name="References"/>
      <w:r w:rsidRPr="00F933FC">
        <w:t>(</w:t>
      </w:r>
      <w:proofErr w:type="gramStart"/>
      <w:r w:rsidRPr="00F933FC">
        <w:t>COM(</w:t>
      </w:r>
      <w:proofErr w:type="gramEnd"/>
      <w:r w:rsidRPr="00F91906">
        <w:t>2023</w:t>
      </w:r>
      <w:r w:rsidRPr="00F933FC">
        <w:t>)</w:t>
      </w:r>
      <w:r w:rsidRPr="00F91906">
        <w:t>0777</w:t>
      </w:r>
      <w:r w:rsidRPr="00F933FC">
        <w:t xml:space="preserve"> – C</w:t>
      </w:r>
      <w:r w:rsidRPr="00F91906">
        <w:t>9</w:t>
      </w:r>
      <w:r w:rsidRPr="00F933FC">
        <w:t>-</w:t>
      </w:r>
      <w:r w:rsidRPr="00F91906">
        <w:t>0437</w:t>
      </w:r>
      <w:r w:rsidRPr="00F933FC">
        <w:t>/</w:t>
      </w:r>
      <w:r w:rsidRPr="00F91906">
        <w:t>2023</w:t>
      </w:r>
      <w:r w:rsidRPr="00F933FC">
        <w:t xml:space="preserve"> – </w:t>
      </w:r>
      <w:r w:rsidRPr="00F91906">
        <w:t>2023</w:t>
      </w:r>
      <w:r w:rsidRPr="00F933FC">
        <w:t>/</w:t>
      </w:r>
      <w:r w:rsidRPr="00F91906">
        <w:t>0452</w:t>
      </w:r>
      <w:r w:rsidRPr="00F933FC">
        <w:t>(COD))</w:t>
      </w:r>
      <w:bookmarkEnd w:id="6"/>
    </w:p>
    <w:p w14:paraId="14D992C5" w14:textId="77777777" w:rsidR="00452BB9" w:rsidRPr="00F933FC" w:rsidRDefault="00452BB9" w:rsidP="00452BB9">
      <w:pPr>
        <w:pStyle w:val="NormalBold"/>
      </w:pPr>
      <w:bookmarkStart w:id="7" w:name="TextBodyBegin"/>
      <w:bookmarkEnd w:id="7"/>
      <w:r w:rsidRPr="00F933FC">
        <w:t>(Almindelig lovgivningsprocedure: førstebehandling)</w:t>
      </w:r>
    </w:p>
    <w:p w14:paraId="79E05060" w14:textId="77777777" w:rsidR="00452BB9" w:rsidRPr="00F933FC" w:rsidRDefault="00452BB9" w:rsidP="00452BB9">
      <w:pPr>
        <w:pStyle w:val="EPComma"/>
      </w:pPr>
      <w:r w:rsidRPr="00F933FC">
        <w:rPr>
          <w:i/>
        </w:rPr>
        <w:t>Europa-Parlamentet</w:t>
      </w:r>
      <w:r w:rsidRPr="00F933FC">
        <w:t>,</w:t>
      </w:r>
    </w:p>
    <w:p w14:paraId="2D7877A6" w14:textId="77777777" w:rsidR="00452BB9" w:rsidRPr="00F933FC" w:rsidRDefault="00452BB9" w:rsidP="00452BB9">
      <w:pPr>
        <w:pStyle w:val="NormalHanging12a"/>
      </w:pPr>
      <w:r w:rsidRPr="00F933FC">
        <w:t>–</w:t>
      </w:r>
      <w:r w:rsidRPr="00F933FC">
        <w:tab/>
        <w:t>der henviser til Kommissionens forslag til Europa-Parlamentet og Rådet (</w:t>
      </w:r>
      <w:proofErr w:type="gramStart"/>
      <w:r w:rsidRPr="00F933FC">
        <w:t>COM(</w:t>
      </w:r>
      <w:proofErr w:type="gramEnd"/>
      <w:r w:rsidRPr="00F91906">
        <w:t>2023</w:t>
      </w:r>
      <w:r w:rsidRPr="00F933FC">
        <w:t>)</w:t>
      </w:r>
      <w:r w:rsidRPr="00F91906">
        <w:t>0777</w:t>
      </w:r>
      <w:r w:rsidRPr="00F933FC">
        <w:t>),</w:t>
      </w:r>
    </w:p>
    <w:p w14:paraId="0192F00D" w14:textId="77777777" w:rsidR="00452BB9" w:rsidRPr="00F933FC" w:rsidRDefault="00452BB9" w:rsidP="00452BB9">
      <w:pPr>
        <w:pStyle w:val="NormalHanging12a"/>
      </w:pPr>
      <w:r w:rsidRPr="00F933FC">
        <w:t>–</w:t>
      </w:r>
      <w:r w:rsidRPr="00F933FC">
        <w:tab/>
        <w:t xml:space="preserve">der henviser til artikel </w:t>
      </w:r>
      <w:r w:rsidRPr="00F91906">
        <w:t>294</w:t>
      </w:r>
      <w:r w:rsidRPr="00F933FC">
        <w:t xml:space="preserve">, stk. </w:t>
      </w:r>
      <w:r w:rsidRPr="00F91906">
        <w:t>2</w:t>
      </w:r>
      <w:r w:rsidRPr="00F933FC">
        <w:t xml:space="preserve">, artikel </w:t>
      </w:r>
      <w:r w:rsidRPr="00F91906">
        <w:t>16</w:t>
      </w:r>
      <w:r w:rsidRPr="00F933FC">
        <w:t xml:space="preserve">, stk. </w:t>
      </w:r>
      <w:r w:rsidRPr="00F91906">
        <w:t>2</w:t>
      </w:r>
      <w:r w:rsidRPr="00F933FC">
        <w:t xml:space="preserve">, og artikel </w:t>
      </w:r>
      <w:r w:rsidRPr="00F91906">
        <w:t>114</w:t>
      </w:r>
      <w:r w:rsidRPr="00F933FC">
        <w:t xml:space="preserve">, stk. </w:t>
      </w:r>
      <w:r w:rsidRPr="00F91906">
        <w:t>1</w:t>
      </w:r>
      <w:r w:rsidRPr="00F933FC">
        <w:t xml:space="preserve">, i traktaten om Den Europæiske Unions funktionsmåde, på grundlag af hvilke Kommissionen har forelagt forslaget </w:t>
      </w:r>
      <w:r w:rsidR="001A0EA6" w:rsidRPr="00F933FC">
        <w:t xml:space="preserve">for Parlamentet </w:t>
      </w:r>
      <w:r w:rsidRPr="00F933FC">
        <w:t>(C</w:t>
      </w:r>
      <w:r w:rsidRPr="00F91906">
        <w:t>9</w:t>
      </w:r>
      <w:r w:rsidRPr="00F933FC">
        <w:t>-</w:t>
      </w:r>
      <w:r w:rsidRPr="00F91906">
        <w:t>0437</w:t>
      </w:r>
      <w:r w:rsidRPr="00F933FC">
        <w:t>/</w:t>
      </w:r>
      <w:r w:rsidRPr="00F91906">
        <w:t>2023</w:t>
      </w:r>
      <w:r w:rsidRPr="00F933FC">
        <w:t>),</w:t>
      </w:r>
    </w:p>
    <w:p w14:paraId="7D0FE6E7" w14:textId="77777777" w:rsidR="00452BB9" w:rsidRPr="00F933FC" w:rsidRDefault="00452BB9" w:rsidP="00452BB9">
      <w:pPr>
        <w:pStyle w:val="NormalHanging12a"/>
      </w:pPr>
      <w:r w:rsidRPr="00F933FC">
        <w:t>–</w:t>
      </w:r>
      <w:r w:rsidRPr="00F933FC">
        <w:tab/>
        <w:t xml:space="preserve">der henviser til artikel </w:t>
      </w:r>
      <w:r w:rsidRPr="00F91906">
        <w:t>294</w:t>
      </w:r>
      <w:r w:rsidRPr="00F933FC">
        <w:t xml:space="preserve">, stk. </w:t>
      </w:r>
      <w:r w:rsidRPr="00F91906">
        <w:t>3</w:t>
      </w:r>
      <w:r w:rsidRPr="00F933FC">
        <w:t>, i traktaten om Den Europæiske Unions funktionsmåde,</w:t>
      </w:r>
    </w:p>
    <w:p w14:paraId="661A375C" w14:textId="21EFE6BC" w:rsidR="00452BB9" w:rsidRPr="00F933FC" w:rsidRDefault="00452BB9" w:rsidP="00452BB9">
      <w:pPr>
        <w:pStyle w:val="NormalHanging12a"/>
      </w:pPr>
      <w:r w:rsidRPr="00F933FC">
        <w:t>–</w:t>
      </w:r>
      <w:r w:rsidRPr="00F933FC">
        <w:tab/>
        <w:t>der henviser til udtalelse fra Det Europæiske Økonomiske og Sociale Udvalg</w:t>
      </w:r>
      <w:r w:rsidR="001A0EA6" w:rsidRPr="00F933FC">
        <w:rPr>
          <w:rStyle w:val="FootnoteReference"/>
        </w:rPr>
        <w:footnoteReference w:id="1"/>
      </w:r>
      <w:r w:rsidRPr="00F933FC">
        <w:t>,</w:t>
      </w:r>
    </w:p>
    <w:p w14:paraId="16CAAB27" w14:textId="77777777" w:rsidR="001A0EA6" w:rsidRPr="00F933FC" w:rsidRDefault="001A0EA6" w:rsidP="00452BB9">
      <w:pPr>
        <w:pStyle w:val="NormalHanging12a"/>
      </w:pPr>
      <w:r w:rsidRPr="00F933FC">
        <w:t>–</w:t>
      </w:r>
      <w:r w:rsidRPr="00F933FC">
        <w:tab/>
      </w:r>
      <w:r w:rsidRPr="00F933FC">
        <w:rPr>
          <w:noProof/>
          <w:szCs w:val="24"/>
        </w:rPr>
        <w:t xml:space="preserve">der henviser til, at det kompetente udvalg har godkendt den foreløbige aftale i henhold til forretningsordenens artikel </w:t>
      </w:r>
      <w:r w:rsidRPr="00F91906">
        <w:rPr>
          <w:noProof/>
          <w:szCs w:val="24"/>
        </w:rPr>
        <w:t>74</w:t>
      </w:r>
      <w:r w:rsidRPr="00F933FC">
        <w:rPr>
          <w:noProof/>
          <w:szCs w:val="24"/>
        </w:rPr>
        <w:t xml:space="preserve">, stk. </w:t>
      </w:r>
      <w:r w:rsidRPr="00F91906">
        <w:rPr>
          <w:noProof/>
          <w:szCs w:val="24"/>
        </w:rPr>
        <w:t>4</w:t>
      </w:r>
      <w:r w:rsidRPr="00F933FC">
        <w:rPr>
          <w:noProof/>
          <w:szCs w:val="24"/>
        </w:rPr>
        <w:t xml:space="preserve">, og at Rådets repræsentant ved skrivelse af </w:t>
      </w:r>
      <w:r w:rsidRPr="00F91906">
        <w:rPr>
          <w:noProof/>
          <w:szCs w:val="24"/>
        </w:rPr>
        <w:t>21</w:t>
      </w:r>
      <w:r w:rsidRPr="00F933FC">
        <w:rPr>
          <w:noProof/>
          <w:szCs w:val="24"/>
        </w:rPr>
        <w:t xml:space="preserve">. februar </w:t>
      </w:r>
      <w:r w:rsidRPr="00F91906">
        <w:rPr>
          <w:noProof/>
          <w:szCs w:val="24"/>
        </w:rPr>
        <w:t>2024</w:t>
      </w:r>
      <w:r w:rsidRPr="00F933FC">
        <w:rPr>
          <w:noProof/>
          <w:szCs w:val="24"/>
        </w:rPr>
        <w:t xml:space="preserve"> forpligtede sig til at godkende Europa-Parlamentets holdning, jf. artikel </w:t>
      </w:r>
      <w:r w:rsidRPr="00F91906">
        <w:rPr>
          <w:noProof/>
          <w:szCs w:val="24"/>
        </w:rPr>
        <w:t>294</w:t>
      </w:r>
      <w:r w:rsidRPr="00F933FC">
        <w:rPr>
          <w:noProof/>
          <w:szCs w:val="24"/>
        </w:rPr>
        <w:t xml:space="preserve">, stk. </w:t>
      </w:r>
      <w:r w:rsidRPr="00F91906">
        <w:rPr>
          <w:noProof/>
          <w:szCs w:val="24"/>
        </w:rPr>
        <w:t>4</w:t>
      </w:r>
      <w:r w:rsidRPr="00F933FC">
        <w:rPr>
          <w:noProof/>
          <w:szCs w:val="24"/>
        </w:rPr>
        <w:t>, i traktaten om Den Europæiske Unions funktionsmåde</w:t>
      </w:r>
      <w:r w:rsidRPr="00F933FC">
        <w:t xml:space="preserve">, </w:t>
      </w:r>
    </w:p>
    <w:p w14:paraId="7814ABC4" w14:textId="3116CE87" w:rsidR="00452BB9" w:rsidRPr="00F933FC" w:rsidRDefault="007B69F8" w:rsidP="00452BB9">
      <w:pPr>
        <w:pStyle w:val="NormalHanging12a"/>
      </w:pPr>
      <w:r>
        <w:t>–</w:t>
      </w:r>
      <w:bookmarkStart w:id="8" w:name="_GoBack"/>
      <w:bookmarkEnd w:id="8"/>
      <w:r w:rsidR="00452BB9" w:rsidRPr="00F933FC">
        <w:tab/>
        <w:t xml:space="preserve">der henviser til forretningsordenens artikel </w:t>
      </w:r>
      <w:r w:rsidR="00452BB9" w:rsidRPr="00F91906">
        <w:t>59</w:t>
      </w:r>
      <w:r w:rsidR="00452BB9" w:rsidRPr="00F933FC">
        <w:t>,</w:t>
      </w:r>
    </w:p>
    <w:p w14:paraId="4C0E6BAC" w14:textId="77777777" w:rsidR="00452BB9" w:rsidRPr="00F933FC" w:rsidRDefault="00452BB9" w:rsidP="00452BB9">
      <w:pPr>
        <w:pStyle w:val="NormalHanging12a"/>
      </w:pPr>
      <w:r w:rsidRPr="00F933FC">
        <w:t>–</w:t>
      </w:r>
      <w:r w:rsidRPr="00F933FC">
        <w:tab/>
        <w:t>der henviser til betænkning fra Udvalget om Borgernes Rettigheder og Retlige og Indre Anliggender (A</w:t>
      </w:r>
      <w:r w:rsidRPr="00F91906">
        <w:t>9</w:t>
      </w:r>
      <w:r w:rsidRPr="00F933FC">
        <w:t>-</w:t>
      </w:r>
      <w:r w:rsidRPr="00F91906">
        <w:t>0021</w:t>
      </w:r>
      <w:r w:rsidRPr="00F933FC">
        <w:t>/</w:t>
      </w:r>
      <w:r w:rsidRPr="00F91906">
        <w:t>2024</w:t>
      </w:r>
      <w:r w:rsidRPr="00F933FC">
        <w:t>),</w:t>
      </w:r>
    </w:p>
    <w:p w14:paraId="60458DDC" w14:textId="77777777" w:rsidR="00452BB9" w:rsidRPr="00F933FC" w:rsidRDefault="00452BB9" w:rsidP="00452BB9">
      <w:pPr>
        <w:pStyle w:val="NormalHanging12a"/>
      </w:pPr>
      <w:r w:rsidRPr="00F933FC">
        <w:t>–</w:t>
      </w:r>
      <w:r w:rsidRPr="00F933FC">
        <w:tab/>
        <w:t xml:space="preserve">der henviser til rapport fra Kommissionen om gennemførelse af Europa-Parlamentets og </w:t>
      </w:r>
      <w:r w:rsidRPr="00F933FC">
        <w:lastRenderedPageBreak/>
        <w:t xml:space="preserve">Rådets forordning (EU) </w:t>
      </w:r>
      <w:r w:rsidRPr="00F91906">
        <w:t>2021</w:t>
      </w:r>
      <w:r w:rsidRPr="00F933FC">
        <w:t>/</w:t>
      </w:r>
      <w:r w:rsidRPr="00F91906">
        <w:t>1232</w:t>
      </w:r>
      <w:r w:rsidRPr="00F933FC">
        <w:t xml:space="preserve"> af </w:t>
      </w:r>
      <w:r w:rsidRPr="00F91906">
        <w:t>14</w:t>
      </w:r>
      <w:r w:rsidRPr="00F933FC">
        <w:t>. juli </w:t>
      </w:r>
      <w:r w:rsidRPr="00F91906">
        <w:t>2021</w:t>
      </w:r>
      <w:r w:rsidRPr="00F933FC">
        <w:t xml:space="preserve"> om en midlertidig undtagelse fra visse bestemmelser i direktiv </w:t>
      </w:r>
      <w:r w:rsidRPr="00F91906">
        <w:t>2002</w:t>
      </w:r>
      <w:r w:rsidRPr="00F933FC">
        <w:t>/</w:t>
      </w:r>
      <w:r w:rsidRPr="00F91906">
        <w:t>58</w:t>
      </w:r>
      <w:r w:rsidRPr="00F933FC">
        <w:t>/EF, for så vidt angår den anvendelse af teknologier til behandling af personoplysninger og andre data, der foretages af udbydere af nummeruafhængige interpersonelle kommunikationstjenester med det formål at bekæmpe seksuelt misbrug af børn online (</w:t>
      </w:r>
      <w:proofErr w:type="gramStart"/>
      <w:r w:rsidRPr="00F933FC">
        <w:t>COM(</w:t>
      </w:r>
      <w:proofErr w:type="gramEnd"/>
      <w:r w:rsidRPr="00F91906">
        <w:t>2023</w:t>
      </w:r>
      <w:r w:rsidRPr="00F933FC">
        <w:t>)</w:t>
      </w:r>
      <w:r w:rsidRPr="00F91906">
        <w:t>0797</w:t>
      </w:r>
      <w:r w:rsidRPr="00F933FC">
        <w:t>),</w:t>
      </w:r>
    </w:p>
    <w:p w14:paraId="67600BBC" w14:textId="77777777" w:rsidR="00452BB9" w:rsidRPr="00F933FC" w:rsidRDefault="00452BB9" w:rsidP="00452BB9">
      <w:pPr>
        <w:pStyle w:val="NormalHanging12a"/>
      </w:pPr>
      <w:r w:rsidRPr="00F91906">
        <w:t>1</w:t>
      </w:r>
      <w:r w:rsidRPr="00F933FC">
        <w:t>.</w:t>
      </w:r>
      <w:r w:rsidRPr="00F933FC">
        <w:tab/>
        <w:t>vedtager nedenstående holdning ved førstebehandling;</w:t>
      </w:r>
    </w:p>
    <w:p w14:paraId="6AAF0AD4" w14:textId="77777777" w:rsidR="00452BB9" w:rsidRPr="00F933FC" w:rsidRDefault="00452BB9" w:rsidP="00452BB9">
      <w:pPr>
        <w:pStyle w:val="NormalHanging12a"/>
      </w:pPr>
      <w:r w:rsidRPr="00F91906">
        <w:t>2</w:t>
      </w:r>
      <w:r w:rsidRPr="00F933FC">
        <w:t>.</w:t>
      </w:r>
      <w:r w:rsidRPr="00F933FC">
        <w:tab/>
        <w:t>anmoder om fornyet forelæggelse, hvis Kommissionen erstatter, i væsentlig grad ændrer eller agter i væsentlig grad at ændre sit forslag;</w:t>
      </w:r>
    </w:p>
    <w:p w14:paraId="77D44868" w14:textId="77777777" w:rsidR="00F91906" w:rsidRDefault="00452BB9" w:rsidP="00452BB9">
      <w:pPr>
        <w:pStyle w:val="NormalHanging12a"/>
        <w:sectPr w:rsidR="00F91906" w:rsidSect="005C64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F91906">
        <w:t>3</w:t>
      </w:r>
      <w:r w:rsidRPr="00F933FC">
        <w:t>.</w:t>
      </w:r>
      <w:r w:rsidRPr="00F933FC">
        <w:tab/>
        <w:t>pålægger sin formand at sende Parlamentets holdning til Rådet og Kommissionen samt til de nationale parlamenter.</w:t>
      </w:r>
    </w:p>
    <w:p w14:paraId="5E8FA9EF" w14:textId="25EAB6CB" w:rsidR="00404323" w:rsidRPr="00F933FC" w:rsidRDefault="00404323" w:rsidP="00404323">
      <w:pPr>
        <w:autoSpaceDE w:val="0"/>
        <w:autoSpaceDN w:val="0"/>
        <w:adjustRightInd w:val="0"/>
        <w:spacing w:after="240"/>
        <w:rPr>
          <w:rFonts w:eastAsia="Calibri"/>
          <w:b/>
          <w:bCs/>
          <w:color w:val="000000"/>
        </w:rPr>
      </w:pPr>
      <w:r w:rsidRPr="00F933FC">
        <w:rPr>
          <w:rFonts w:eastAsia="Calibri"/>
          <w:b/>
          <w:bCs/>
          <w:color w:val="000000"/>
        </w:rPr>
        <w:lastRenderedPageBreak/>
        <w:t>P</w:t>
      </w:r>
      <w:r w:rsidRPr="00F91906">
        <w:rPr>
          <w:rFonts w:eastAsia="Calibri"/>
          <w:b/>
          <w:bCs/>
          <w:color w:val="000000"/>
        </w:rPr>
        <w:t>9</w:t>
      </w:r>
      <w:r w:rsidRPr="00F933FC">
        <w:rPr>
          <w:rFonts w:eastAsia="Calibri"/>
          <w:b/>
          <w:bCs/>
          <w:color w:val="000000"/>
        </w:rPr>
        <w:t>_TC</w:t>
      </w:r>
      <w:r w:rsidRPr="00F91906">
        <w:rPr>
          <w:rFonts w:eastAsia="Calibri"/>
          <w:b/>
          <w:bCs/>
          <w:color w:val="000000"/>
        </w:rPr>
        <w:t>1</w:t>
      </w:r>
      <w:r w:rsidRPr="00F933FC">
        <w:rPr>
          <w:rFonts w:eastAsia="Calibri"/>
          <w:b/>
          <w:bCs/>
          <w:color w:val="000000"/>
        </w:rPr>
        <w:t>-</w:t>
      </w:r>
      <w:proofErr w:type="gramStart"/>
      <w:r w:rsidRPr="00F933FC">
        <w:rPr>
          <w:rFonts w:eastAsia="Calibri"/>
          <w:b/>
          <w:bCs/>
          <w:color w:val="000000"/>
        </w:rPr>
        <w:t>COD(</w:t>
      </w:r>
      <w:proofErr w:type="gramEnd"/>
      <w:r w:rsidRPr="00F91906">
        <w:rPr>
          <w:rFonts w:eastAsia="Calibri"/>
          <w:b/>
          <w:bCs/>
          <w:color w:val="000000"/>
        </w:rPr>
        <w:t>2023</w:t>
      </w:r>
      <w:r w:rsidRPr="00F933FC">
        <w:rPr>
          <w:rFonts w:eastAsia="Calibri"/>
          <w:b/>
          <w:bCs/>
          <w:color w:val="000000"/>
        </w:rPr>
        <w:t>)</w:t>
      </w:r>
      <w:r w:rsidRPr="00F91906">
        <w:rPr>
          <w:rFonts w:eastAsia="Calibri"/>
          <w:b/>
          <w:bCs/>
          <w:color w:val="000000"/>
        </w:rPr>
        <w:t>0452</w:t>
      </w:r>
    </w:p>
    <w:p w14:paraId="69524E29" w14:textId="01EADC6A" w:rsidR="00404323" w:rsidRDefault="00404323" w:rsidP="00404323">
      <w:pPr>
        <w:widowControl/>
        <w:spacing w:before="120" w:after="120"/>
        <w:rPr>
          <w:rFonts w:eastAsia="Calibri"/>
          <w:b/>
          <w:color w:val="000000"/>
          <w:szCs w:val="22"/>
          <w:lang w:eastAsia="en-US"/>
        </w:rPr>
      </w:pPr>
      <w:r w:rsidRPr="00F933FC">
        <w:rPr>
          <w:b/>
        </w:rPr>
        <w:t xml:space="preserve">Europa-Parlamentets holdning fastlagt ved førstebehandlingen den </w:t>
      </w:r>
      <w:r w:rsidRPr="00F91906">
        <w:rPr>
          <w:b/>
        </w:rPr>
        <w:t>10</w:t>
      </w:r>
      <w:r w:rsidRPr="00F933FC">
        <w:rPr>
          <w:b/>
        </w:rPr>
        <w:t xml:space="preserve">. april </w:t>
      </w:r>
      <w:r w:rsidRPr="00F91906">
        <w:rPr>
          <w:b/>
        </w:rPr>
        <w:t>2024</w:t>
      </w:r>
      <w:r w:rsidRPr="00F933FC">
        <w:rPr>
          <w:b/>
        </w:rPr>
        <w:t xml:space="preserve"> med henblik på vedtagelse af Europa-Parlamentets og Rådets </w:t>
      </w:r>
      <w:r w:rsidRPr="00F933FC">
        <w:rPr>
          <w:rFonts w:eastAsia="Calibri"/>
          <w:b/>
        </w:rPr>
        <w:t xml:space="preserve">forordning </w:t>
      </w:r>
      <w:r w:rsidRPr="00F933FC">
        <w:rPr>
          <w:b/>
        </w:rPr>
        <w:t xml:space="preserve">(EU) </w:t>
      </w:r>
      <w:r w:rsidRPr="00F91906">
        <w:rPr>
          <w:rFonts w:eastAsia="Calibri"/>
          <w:b/>
        </w:rPr>
        <w:t>2024</w:t>
      </w:r>
      <w:r w:rsidRPr="00F933FC">
        <w:rPr>
          <w:rFonts w:eastAsia="Calibri"/>
          <w:b/>
        </w:rPr>
        <w:t xml:space="preserve">/... </w:t>
      </w:r>
      <w:r w:rsidRPr="00F933FC">
        <w:rPr>
          <w:rFonts w:eastAsia="Calibri"/>
          <w:b/>
          <w:color w:val="000000"/>
          <w:szCs w:val="22"/>
          <w:lang w:eastAsia="en-US"/>
        </w:rPr>
        <w:t xml:space="preserve">om ændring af forordning (EU) </w:t>
      </w:r>
      <w:r w:rsidRPr="00F91906">
        <w:rPr>
          <w:rFonts w:eastAsia="Calibri"/>
          <w:b/>
          <w:color w:val="000000"/>
          <w:szCs w:val="22"/>
          <w:lang w:eastAsia="en-US"/>
        </w:rPr>
        <w:t>2021</w:t>
      </w:r>
      <w:r w:rsidRPr="00F933FC">
        <w:rPr>
          <w:rFonts w:eastAsia="Calibri"/>
          <w:b/>
          <w:color w:val="000000"/>
          <w:szCs w:val="22"/>
          <w:lang w:eastAsia="en-US"/>
        </w:rPr>
        <w:t>/</w:t>
      </w:r>
      <w:r w:rsidRPr="00F91906">
        <w:rPr>
          <w:rFonts w:eastAsia="Calibri"/>
          <w:b/>
          <w:color w:val="000000"/>
          <w:szCs w:val="22"/>
          <w:lang w:eastAsia="en-US"/>
        </w:rPr>
        <w:t>1232</w:t>
      </w:r>
      <w:r w:rsidRPr="00F933FC">
        <w:rPr>
          <w:rFonts w:eastAsia="Calibri"/>
          <w:b/>
          <w:color w:val="000000"/>
          <w:szCs w:val="22"/>
          <w:lang w:eastAsia="en-US"/>
        </w:rPr>
        <w:t xml:space="preserve"> om en midlertidig undtagelse fra visse bestemmelser i direktiv </w:t>
      </w:r>
      <w:r w:rsidRPr="00F91906">
        <w:rPr>
          <w:rFonts w:eastAsia="Calibri"/>
          <w:b/>
          <w:color w:val="000000"/>
          <w:szCs w:val="22"/>
          <w:lang w:eastAsia="en-US"/>
        </w:rPr>
        <w:t>2002</w:t>
      </w:r>
      <w:r w:rsidRPr="00F933FC">
        <w:rPr>
          <w:rFonts w:eastAsia="Calibri"/>
          <w:b/>
          <w:color w:val="000000"/>
          <w:szCs w:val="22"/>
          <w:lang w:eastAsia="en-US"/>
        </w:rPr>
        <w:t>/</w:t>
      </w:r>
      <w:r w:rsidRPr="00F91906">
        <w:rPr>
          <w:rFonts w:eastAsia="Calibri"/>
          <w:b/>
          <w:color w:val="000000"/>
          <w:szCs w:val="22"/>
          <w:lang w:eastAsia="en-US"/>
        </w:rPr>
        <w:t>58</w:t>
      </w:r>
      <w:r w:rsidRPr="00F933FC">
        <w:rPr>
          <w:rFonts w:eastAsia="Calibri"/>
          <w:b/>
          <w:color w:val="000000"/>
          <w:szCs w:val="22"/>
          <w:lang w:eastAsia="en-US"/>
        </w:rPr>
        <w:t>/EF for så vidt angår den anvendelse af teknologier til behandling af personoplysninger og andre data, der foretages af udbydere af nummeruafhængige interpersonelle kommunikationstjenester med det formål at bekæmpe seksuelt misbrug af børn online</w:t>
      </w:r>
    </w:p>
    <w:p w14:paraId="2A16776C" w14:textId="74A843D5" w:rsidR="004E22FB" w:rsidRPr="00F933FC" w:rsidRDefault="004E22FB" w:rsidP="00404323">
      <w:pPr>
        <w:widowControl/>
        <w:spacing w:before="120" w:after="120"/>
        <w:rPr>
          <w:rFonts w:eastAsia="Calibri"/>
          <w:b/>
          <w:bCs/>
          <w:color w:val="000000"/>
          <w:szCs w:val="22"/>
          <w:lang w:eastAsia="en-US"/>
        </w:rPr>
      </w:pPr>
      <w:r w:rsidRPr="00DC166C">
        <w:rPr>
          <w:i/>
        </w:rPr>
        <w:t xml:space="preserve">(Eftersom der var indgået en aftale mellem Parlamentet og Rådet, svarer Parlamentets holdning til den endelige </w:t>
      </w:r>
      <w:r w:rsidRPr="004E22FB">
        <w:rPr>
          <w:i/>
        </w:rPr>
        <w:t xml:space="preserve">retsakt, forordning (EU) </w:t>
      </w:r>
      <w:r>
        <w:rPr>
          <w:i/>
        </w:rPr>
        <w:t>2024/1307</w:t>
      </w:r>
      <w:r w:rsidRPr="00DC166C">
        <w:rPr>
          <w:i/>
        </w:rPr>
        <w:t>.)</w:t>
      </w:r>
    </w:p>
    <w:sectPr w:rsidR="004E22FB" w:rsidRPr="00F933FC" w:rsidSect="005C64D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E9150" w14:textId="77777777" w:rsidR="00B81439" w:rsidRPr="005C64D3" w:rsidRDefault="00B81439">
      <w:r w:rsidRPr="005C64D3">
        <w:separator/>
      </w:r>
    </w:p>
  </w:endnote>
  <w:endnote w:type="continuationSeparator" w:id="0">
    <w:p w14:paraId="16D4A643" w14:textId="77777777" w:rsidR="00B81439" w:rsidRPr="005C64D3" w:rsidRDefault="00B81439">
      <w:r w:rsidRPr="005C64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3C789" w14:textId="77777777" w:rsidR="00064002" w:rsidRPr="005C64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41922" w14:textId="77777777" w:rsidR="00064002" w:rsidRPr="005C64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77D9" w14:textId="77777777" w:rsidR="00064002" w:rsidRPr="005C64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DBE89" w14:textId="77777777" w:rsidR="00B81439" w:rsidRPr="005C64D3" w:rsidRDefault="00B81439">
      <w:r w:rsidRPr="005C64D3">
        <w:separator/>
      </w:r>
    </w:p>
  </w:footnote>
  <w:footnote w:type="continuationSeparator" w:id="0">
    <w:p w14:paraId="1AF224FE" w14:textId="77777777" w:rsidR="00B81439" w:rsidRPr="005C64D3" w:rsidRDefault="00B81439">
      <w:r w:rsidRPr="005C64D3">
        <w:continuationSeparator/>
      </w:r>
    </w:p>
  </w:footnote>
  <w:footnote w:id="1">
    <w:p w14:paraId="616B4F27" w14:textId="77777777" w:rsidR="001A0EA6" w:rsidRPr="00F933FC" w:rsidRDefault="001A0EA6" w:rsidP="00F933FC">
      <w:pPr>
        <w:pStyle w:val="FootnoteText"/>
        <w:ind w:left="567" w:hanging="567"/>
        <w:rPr>
          <w:sz w:val="24"/>
          <w:lang w:val="da-DK"/>
        </w:rPr>
      </w:pPr>
      <w:r w:rsidRPr="00F933FC">
        <w:rPr>
          <w:rStyle w:val="FootnoteReference"/>
          <w:sz w:val="24"/>
        </w:rPr>
        <w:footnoteRef/>
      </w:r>
      <w:r w:rsidRPr="00F933FC">
        <w:rPr>
          <w:sz w:val="24"/>
          <w:lang w:val="da-DK"/>
        </w:rPr>
        <w:t xml:space="preserve"> </w:t>
      </w:r>
      <w:r w:rsidRPr="00F933FC">
        <w:rPr>
          <w:sz w:val="24"/>
          <w:lang w:val="da-DK"/>
        </w:rPr>
        <w:tab/>
        <w:t xml:space="preserve">Udtalelse af </w:t>
      </w:r>
      <w:r w:rsidRPr="00F91906">
        <w:rPr>
          <w:sz w:val="24"/>
          <w:lang w:val="da-DK"/>
        </w:rPr>
        <w:t>17</w:t>
      </w:r>
      <w:r w:rsidRPr="00F933FC">
        <w:rPr>
          <w:sz w:val="24"/>
          <w:lang w:val="da-DK"/>
        </w:rPr>
        <w:t>.</w:t>
      </w:r>
      <w:r w:rsidRPr="00F91906">
        <w:rPr>
          <w:sz w:val="24"/>
          <w:lang w:val="da-DK"/>
        </w:rPr>
        <w:t>1</w:t>
      </w:r>
      <w:r w:rsidRPr="00F933FC">
        <w:rPr>
          <w:sz w:val="24"/>
          <w:lang w:val="da-DK"/>
        </w:rPr>
        <w:t>.</w:t>
      </w:r>
      <w:r w:rsidRPr="00F91906">
        <w:rPr>
          <w:sz w:val="24"/>
          <w:lang w:val="da-DK"/>
        </w:rPr>
        <w:t>2024</w:t>
      </w:r>
      <w:r w:rsidRPr="00F933FC">
        <w:rPr>
          <w:sz w:val="24"/>
          <w:lang w:val="da-DK"/>
        </w:rPr>
        <w:t xml:space="preserve">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99CE" w14:textId="77777777" w:rsidR="00064002" w:rsidRPr="005C64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CC36" w14:textId="77777777" w:rsidR="00064002" w:rsidRPr="005C64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3DBF9" w14:textId="77777777" w:rsidR="00064002" w:rsidRPr="005C64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1/2024"/>
    <w:docVar w:name="dvlangue" w:val="DA"/>
    <w:docVar w:name="dvnumam" w:val="12"/>
    <w:docVar w:name="dvpe" w:val="758.054"/>
    <w:docVar w:name="dvrapporteur" w:val="Ordfører: "/>
    <w:docVar w:name="dvstar" w:val="***I"/>
    <w:docVar w:name="dvtitre" w:val="Europa-Parlamentets lovgivningsmæssige beslutning af xx. april 2024 om forslag til Europa-Parlamentets og Rådets forordning om ændring af Europa-Parlamentets og Rådets forordning (EU) 2021/1232 om en midlertidig undtagelse fra visse bestemmelser i direktiv 2002/58/EF med det formål at bekæmpe seksuelt misbrug af børn online(COM(2023)0777 – C9-0437/2023 – 2023/0452(COD))"/>
  </w:docVars>
  <w:rsids>
    <w:rsidRoot w:val="00B81439"/>
    <w:rsid w:val="00002272"/>
    <w:rsid w:val="00064002"/>
    <w:rsid w:val="000677B9"/>
    <w:rsid w:val="000831BA"/>
    <w:rsid w:val="000A42CC"/>
    <w:rsid w:val="000E7DD9"/>
    <w:rsid w:val="0010095E"/>
    <w:rsid w:val="00125B37"/>
    <w:rsid w:val="00187494"/>
    <w:rsid w:val="001A0EA6"/>
    <w:rsid w:val="001F32AE"/>
    <w:rsid w:val="00224EC6"/>
    <w:rsid w:val="00246864"/>
    <w:rsid w:val="002767FF"/>
    <w:rsid w:val="002B18FE"/>
    <w:rsid w:val="002B5493"/>
    <w:rsid w:val="00343214"/>
    <w:rsid w:val="00361C00"/>
    <w:rsid w:val="003718F6"/>
    <w:rsid w:val="00395FA1"/>
    <w:rsid w:val="003E15D4"/>
    <w:rsid w:val="00404323"/>
    <w:rsid w:val="00411CCE"/>
    <w:rsid w:val="0041666E"/>
    <w:rsid w:val="00421060"/>
    <w:rsid w:val="00452BB9"/>
    <w:rsid w:val="00471C19"/>
    <w:rsid w:val="004867E3"/>
    <w:rsid w:val="00494A28"/>
    <w:rsid w:val="004C0004"/>
    <w:rsid w:val="004C5D52"/>
    <w:rsid w:val="004E22FB"/>
    <w:rsid w:val="0050519A"/>
    <w:rsid w:val="005072A1"/>
    <w:rsid w:val="00514517"/>
    <w:rsid w:val="00545827"/>
    <w:rsid w:val="00560270"/>
    <w:rsid w:val="005C2568"/>
    <w:rsid w:val="005C64D3"/>
    <w:rsid w:val="006037C0"/>
    <w:rsid w:val="006631B6"/>
    <w:rsid w:val="00680577"/>
    <w:rsid w:val="006F74FA"/>
    <w:rsid w:val="00731ADD"/>
    <w:rsid w:val="00734777"/>
    <w:rsid w:val="00747932"/>
    <w:rsid w:val="00751A4A"/>
    <w:rsid w:val="00756632"/>
    <w:rsid w:val="00762C74"/>
    <w:rsid w:val="00786EC0"/>
    <w:rsid w:val="007B69F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439"/>
    <w:rsid w:val="00BD48FE"/>
    <w:rsid w:val="00BD7BD8"/>
    <w:rsid w:val="00BE6ADC"/>
    <w:rsid w:val="00C05BFE"/>
    <w:rsid w:val="00C23CD4"/>
    <w:rsid w:val="00C61C0C"/>
    <w:rsid w:val="00C941CB"/>
    <w:rsid w:val="00CC2357"/>
    <w:rsid w:val="00CD4E76"/>
    <w:rsid w:val="00CF071A"/>
    <w:rsid w:val="00D058B8"/>
    <w:rsid w:val="00D54A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906"/>
    <w:rsid w:val="00F933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B0BBB"/>
  <w15:chartTrackingRefBased/>
  <w15:docId w15:val="{17CD824F-5980-4E0C-A833-DFB3D3C2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52BB9"/>
    <w:pPr>
      <w:spacing w:after="120"/>
    </w:pPr>
  </w:style>
  <w:style w:type="paragraph" w:customStyle="1" w:styleId="NormalBold">
    <w:name w:val="NormalBold"/>
    <w:basedOn w:val="Normal"/>
    <w:link w:val="NormalBoldChar"/>
    <w:rsid w:val="00452BB9"/>
    <w:rPr>
      <w:b/>
    </w:rPr>
  </w:style>
  <w:style w:type="paragraph" w:customStyle="1" w:styleId="AmJustText">
    <w:name w:val="AmJustText"/>
    <w:basedOn w:val="Normal"/>
    <w:rsid w:val="00452BB9"/>
    <w:pPr>
      <w:spacing w:after="240"/>
    </w:pPr>
    <w:rPr>
      <w:i/>
    </w:rPr>
  </w:style>
  <w:style w:type="paragraph" w:customStyle="1" w:styleId="NormalHanging12a">
    <w:name w:val="NormalHanging12a"/>
    <w:basedOn w:val="Normal"/>
    <w:rsid w:val="00452BB9"/>
    <w:pPr>
      <w:spacing w:after="240"/>
      <w:ind w:left="567" w:hanging="567"/>
    </w:pPr>
  </w:style>
  <w:style w:type="paragraph" w:customStyle="1" w:styleId="AmOrLang">
    <w:name w:val="AmOrLang"/>
    <w:basedOn w:val="Normal"/>
    <w:rsid w:val="00452BB9"/>
    <w:pPr>
      <w:spacing w:before="240" w:after="240"/>
      <w:jc w:val="right"/>
    </w:pPr>
  </w:style>
  <w:style w:type="paragraph" w:customStyle="1" w:styleId="AmColumnHeading">
    <w:name w:val="AmColumnHeading"/>
    <w:basedOn w:val="Normal"/>
    <w:rsid w:val="00452BB9"/>
    <w:pPr>
      <w:spacing w:after="240"/>
      <w:jc w:val="center"/>
    </w:pPr>
    <w:rPr>
      <w:i/>
    </w:rPr>
  </w:style>
  <w:style w:type="paragraph" w:customStyle="1" w:styleId="AmNumberTabs">
    <w:name w:val="AmNumberTabs"/>
    <w:basedOn w:val="Normal"/>
    <w:link w:val="AmNumberTabsChar"/>
    <w:rsid w:val="00452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52BB9"/>
    <w:pPr>
      <w:spacing w:before="240"/>
    </w:pPr>
    <w:rPr>
      <w:b/>
    </w:rPr>
  </w:style>
  <w:style w:type="paragraph" w:customStyle="1" w:styleId="EPComma">
    <w:name w:val="EPComma"/>
    <w:basedOn w:val="Normal"/>
    <w:rsid w:val="00452BB9"/>
    <w:pPr>
      <w:spacing w:before="480" w:after="240"/>
    </w:pPr>
  </w:style>
  <w:style w:type="character" w:customStyle="1" w:styleId="NormalBoldChar">
    <w:name w:val="NormalBold Char"/>
    <w:basedOn w:val="DefaultParagraphFont"/>
    <w:link w:val="NormalBold"/>
    <w:rsid w:val="00452BB9"/>
    <w:rPr>
      <w:b/>
      <w:sz w:val="24"/>
      <w:lang w:val="da-DK"/>
    </w:rPr>
  </w:style>
  <w:style w:type="paragraph" w:customStyle="1" w:styleId="oj-normal">
    <w:name w:val="oj-normal"/>
    <w:basedOn w:val="Normal"/>
    <w:rsid w:val="00452BB9"/>
    <w:pPr>
      <w:widowControl/>
      <w:spacing w:before="100" w:beforeAutospacing="1" w:after="100" w:afterAutospacing="1"/>
    </w:pPr>
    <w:rPr>
      <w:szCs w:val="24"/>
    </w:rPr>
  </w:style>
  <w:style w:type="paragraph" w:customStyle="1" w:styleId="Default">
    <w:name w:val="Default"/>
    <w:rsid w:val="00452BB9"/>
    <w:pPr>
      <w:autoSpaceDE w:val="0"/>
      <w:autoSpaceDN w:val="0"/>
      <w:adjustRightInd w:val="0"/>
    </w:pPr>
    <w:rPr>
      <w:rFonts w:eastAsiaTheme="minorHAnsi"/>
      <w:color w:val="000000"/>
      <w:sz w:val="24"/>
      <w:szCs w:val="24"/>
      <w:lang w:val="da-DK" w:eastAsia="en-US"/>
    </w:rPr>
  </w:style>
  <w:style w:type="character" w:customStyle="1" w:styleId="Normal6Char">
    <w:name w:val="Normal6 Char"/>
    <w:basedOn w:val="DefaultParagraphFont"/>
    <w:link w:val="Normal6"/>
    <w:locked/>
    <w:rsid w:val="00452BB9"/>
    <w:rPr>
      <w:sz w:val="24"/>
      <w:lang w:val="da-DK"/>
    </w:rPr>
  </w:style>
  <w:style w:type="paragraph" w:customStyle="1" w:styleId="Normal6">
    <w:name w:val="Normal6"/>
    <w:basedOn w:val="Normal"/>
    <w:link w:val="Normal6Char"/>
    <w:rsid w:val="00452BB9"/>
    <w:pPr>
      <w:spacing w:after="120"/>
    </w:pPr>
  </w:style>
  <w:style w:type="paragraph" w:customStyle="1" w:styleId="Normal12Italic">
    <w:name w:val="Normal12Italic"/>
    <w:basedOn w:val="Normal"/>
    <w:rsid w:val="00452BB9"/>
    <w:pPr>
      <w:spacing w:after="240"/>
    </w:pPr>
    <w:rPr>
      <w:i/>
      <w:noProof/>
    </w:rPr>
  </w:style>
  <w:style w:type="paragraph" w:customStyle="1" w:styleId="JustificationTitle">
    <w:name w:val="JustificationTitle"/>
    <w:basedOn w:val="Normal"/>
    <w:next w:val="Normal"/>
    <w:rsid w:val="00452BB9"/>
    <w:pPr>
      <w:keepNext/>
      <w:spacing w:before="240" w:after="240"/>
      <w:jc w:val="center"/>
    </w:pPr>
    <w:rPr>
      <w:i/>
      <w:noProof/>
    </w:rPr>
  </w:style>
  <w:style w:type="paragraph" w:customStyle="1" w:styleId="ColumnHeading">
    <w:name w:val="ColumnHeading"/>
    <w:basedOn w:val="Normal"/>
    <w:rsid w:val="00452BB9"/>
    <w:pPr>
      <w:spacing w:after="240"/>
      <w:jc w:val="center"/>
    </w:pPr>
    <w:rPr>
      <w:i/>
    </w:rPr>
  </w:style>
  <w:style w:type="paragraph" w:customStyle="1" w:styleId="AMNumberTabs0">
    <w:name w:val="AMNumberTabs"/>
    <w:basedOn w:val="Normal"/>
    <w:rsid w:val="00452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52BB9"/>
    <w:rPr>
      <w:b/>
      <w:sz w:val="24"/>
      <w:lang w:val="da-DK"/>
    </w:rPr>
  </w:style>
  <w:style w:type="character" w:customStyle="1" w:styleId="NormalBold12bChar">
    <w:name w:val="NormalBold12b Char"/>
    <w:basedOn w:val="AmNumberTabsChar"/>
    <w:link w:val="NormalBold12b"/>
    <w:rsid w:val="00452BB9"/>
    <w:rPr>
      <w:b/>
      <w:sz w:val="24"/>
      <w:lang w:val="da-DK"/>
    </w:rPr>
  </w:style>
  <w:style w:type="character" w:styleId="CommentReference">
    <w:name w:val="annotation reference"/>
    <w:basedOn w:val="DefaultParagraphFont"/>
    <w:rsid w:val="001A0EA6"/>
    <w:rPr>
      <w:sz w:val="16"/>
      <w:szCs w:val="16"/>
    </w:rPr>
  </w:style>
  <w:style w:type="paragraph" w:styleId="CommentText">
    <w:name w:val="annotation text"/>
    <w:basedOn w:val="Normal"/>
    <w:link w:val="CommentTextChar"/>
    <w:rsid w:val="001A0EA6"/>
    <w:rPr>
      <w:sz w:val="20"/>
    </w:rPr>
  </w:style>
  <w:style w:type="character" w:customStyle="1" w:styleId="CommentTextChar">
    <w:name w:val="Comment Text Char"/>
    <w:basedOn w:val="DefaultParagraphFont"/>
    <w:link w:val="CommentText"/>
    <w:rsid w:val="001A0EA6"/>
    <w:rPr>
      <w:lang w:val="da-DK"/>
    </w:rPr>
  </w:style>
  <w:style w:type="paragraph" w:styleId="CommentSubject">
    <w:name w:val="annotation subject"/>
    <w:basedOn w:val="CommentText"/>
    <w:next w:val="CommentText"/>
    <w:link w:val="CommentSubjectChar"/>
    <w:rsid w:val="001A0EA6"/>
    <w:rPr>
      <w:b/>
      <w:bCs/>
    </w:rPr>
  </w:style>
  <w:style w:type="character" w:customStyle="1" w:styleId="CommentSubjectChar">
    <w:name w:val="Comment Subject Char"/>
    <w:basedOn w:val="CommentTextChar"/>
    <w:link w:val="CommentSubject"/>
    <w:rsid w:val="001A0EA6"/>
    <w:rPr>
      <w:b/>
      <w:bCs/>
      <w:lang w:val="da-DK"/>
    </w:rPr>
  </w:style>
  <w:style w:type="paragraph" w:styleId="BalloonText">
    <w:name w:val="Balloon Text"/>
    <w:basedOn w:val="Normal"/>
    <w:link w:val="BalloonTextChar"/>
    <w:rsid w:val="001A0EA6"/>
    <w:rPr>
      <w:rFonts w:ascii="Segoe UI" w:hAnsi="Segoe UI" w:cs="Segoe UI"/>
      <w:sz w:val="18"/>
      <w:szCs w:val="18"/>
    </w:rPr>
  </w:style>
  <w:style w:type="character" w:customStyle="1" w:styleId="BalloonTextChar">
    <w:name w:val="Balloon Text Char"/>
    <w:basedOn w:val="DefaultParagraphFont"/>
    <w:link w:val="BalloonText"/>
    <w:rsid w:val="001A0EA6"/>
    <w:rPr>
      <w:rFonts w:ascii="Segoe UI" w:hAnsi="Segoe UI" w:cs="Segoe UI"/>
      <w:sz w:val="18"/>
      <w:szCs w:val="18"/>
      <w:lang w:val="da-DK"/>
    </w:rPr>
  </w:style>
  <w:style w:type="paragraph" w:customStyle="1" w:styleId="NormalCenter12a">
    <w:name w:val="NormalCenter12a"/>
    <w:basedOn w:val="Normal"/>
    <w:rsid w:val="00404323"/>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C888D-7F21-430D-BA23-71A0C995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401</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Karina Pesa</cp:lastModifiedBy>
  <cp:revision>3</cp:revision>
  <cp:lastPrinted>2004-11-19T15:42:00Z</cp:lastPrinted>
  <dcterms:created xsi:type="dcterms:W3CDTF">2024-07-23T06:44:00Z</dcterms:created>
  <dcterms:modified xsi:type="dcterms:W3CDTF">2024-10-03T16:05:00Z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P9_TA(2024)0198_</vt:lpwstr>
  </property>
  <property fmtid="{D5CDD505-2E9C-101B-9397-08002B2CF9AE}" pid="4" name="&lt;Type&gt;">
    <vt:lpwstr>RR</vt:lpwstr>
  </property>
</Properties>
</file>