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A120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A1202" w:rsidRDefault="00B66D0F">
            <w:pPr>
              <w:pStyle w:val="EPName"/>
            </w:pPr>
            <w:r>
              <w:t>Európsky parlament</w:t>
            </w:r>
          </w:p>
          <w:p w:rsidR="00FA1202" w:rsidRDefault="00B66D0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FA1202" w:rsidRDefault="00B66D0F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1202" w:rsidRDefault="00FA1202">
      <w:pPr>
        <w:pStyle w:val="LineTop"/>
      </w:pPr>
    </w:p>
    <w:p w:rsidR="00FA1202" w:rsidRDefault="00B66D0F">
      <w:pPr>
        <w:pStyle w:val="EPBodyTA1"/>
      </w:pPr>
      <w:r>
        <w:t>PRIJATÉ TEXTY</w:t>
      </w:r>
    </w:p>
    <w:p w:rsidR="00FA1202" w:rsidRDefault="00FA1202">
      <w:pPr>
        <w:pStyle w:val="LineBottom"/>
      </w:pPr>
    </w:p>
    <w:p w:rsidR="00FA1202" w:rsidRDefault="00B66D0F">
      <w:pPr>
        <w:pStyle w:val="ATHeading1"/>
      </w:pPr>
      <w:bookmarkStart w:id="0" w:name="TANumber"/>
      <w:r>
        <w:t>P9_TA(2024)0199</w:t>
      </w:r>
      <w:bookmarkEnd w:id="0"/>
    </w:p>
    <w:p w:rsidR="00FA1202" w:rsidRDefault="00B66D0F">
      <w:pPr>
        <w:pStyle w:val="ATHeading2"/>
      </w:pPr>
      <w:r>
        <w:t>Ochranné, riadiace a kontrolné opatrenia uplatniteľné v oblasti, na ktorú sa vzťahuje dohovor NEAFC</w:t>
      </w:r>
    </w:p>
    <w:p w:rsidR="00FA1202" w:rsidRDefault="00B66D0F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1" w:name="DocNumber"/>
      <w:r>
        <w:rPr>
          <w:i/>
        </w:rPr>
        <w:instrText>A9-0004/2024</w:instrText>
      </w:r>
      <w:bookmarkEnd w:id="1"/>
      <w:r>
        <w:rPr>
          <w:i/>
        </w:rPr>
        <w:instrText xml:space="preserve"> - Spravodajca: Francisco Guerreiro)"\l3 \n&gt; \* MERGEFORMAT </w:instrText>
      </w:r>
      <w:r>
        <w:rPr>
          <w:i/>
        </w:rPr>
        <w:fldChar w:fldCharType="end"/>
      </w:r>
    </w:p>
    <w:p w:rsidR="00FA1202" w:rsidRDefault="00B66D0F">
      <w:pPr>
        <w:rPr>
          <w:vanish/>
        </w:rPr>
      </w:pPr>
      <w:bookmarkStart w:id="2" w:name="Commission"/>
      <w:r>
        <w:rPr>
          <w:vanish/>
        </w:rPr>
        <w:t xml:space="preserve">Výbor pre </w:t>
      </w:r>
      <w:r>
        <w:rPr>
          <w:vanish/>
        </w:rPr>
        <w:t>rybárstvo</w:t>
      </w:r>
      <w:bookmarkEnd w:id="2"/>
    </w:p>
    <w:p w:rsidR="00FA1202" w:rsidRDefault="00B66D0F">
      <w:pPr>
        <w:rPr>
          <w:vanish/>
        </w:rPr>
      </w:pPr>
      <w:bookmarkStart w:id="3" w:name="PE"/>
      <w:r>
        <w:rPr>
          <w:vanish/>
        </w:rPr>
        <w:t>PE756.019</w:t>
      </w:r>
      <w:bookmarkEnd w:id="3"/>
    </w:p>
    <w:p w:rsidR="00FA1202" w:rsidRDefault="00B66D0F">
      <w:pPr>
        <w:pStyle w:val="ATHeading3"/>
      </w:pPr>
      <w:bookmarkStart w:id="4" w:name="Sujet"/>
      <w:r>
        <w:t>Legislatívne uznesenie Európskeho parlamentu z 10. apríla 2024 o návrhu nariadenia Európskeho parlamentu a Rady, ktorým sa stanovujú ochranné, riadiace a kontrolné opatrenia uplatniteľné v oblasti, na ktorú sa vzťahuje Dohovor o budúcej</w:t>
      </w:r>
      <w:r>
        <w:t xml:space="preserve"> viacstrannej spolupráci pri rybolove v severovýchodnom Atlantiku, mení nariadenie Európskeho parlamentu a Rady (EÚ) 2019/1241 a nariadenie Rady (ES) č. 1224/2009 a zrušuje nariadenie Rady (EHS) č. 1899/85 a nariadenie (EÚ) č. 1236/2010</w:t>
      </w:r>
      <w:bookmarkEnd w:id="4"/>
      <w:r>
        <w:t xml:space="preserve"> </w:t>
      </w:r>
      <w:bookmarkStart w:id="5" w:name="References"/>
      <w:r>
        <w:t>(COM(2023)0362 – C9</w:t>
      </w:r>
      <w:r>
        <w:t>-0221/2023 – 2023/0206(COD))</w:t>
      </w:r>
      <w:bookmarkEnd w:id="5"/>
    </w:p>
    <w:p w:rsidR="00FA1202" w:rsidRDefault="00FA1202"/>
    <w:p w:rsidR="00FA1202" w:rsidRDefault="00B66D0F">
      <w:pPr>
        <w:pStyle w:val="NormalBold"/>
      </w:pPr>
      <w:bookmarkStart w:id="6" w:name="TextBodyBegin"/>
      <w:bookmarkEnd w:id="6"/>
      <w:r>
        <w:t>(Riadny legislatívny postup: prvé čítanie)</w:t>
      </w:r>
    </w:p>
    <w:p w:rsidR="00FA1202" w:rsidRDefault="00B66D0F">
      <w:pPr>
        <w:pStyle w:val="EPComma"/>
      </w:pPr>
      <w:r>
        <w:rPr>
          <w:i/>
        </w:rPr>
        <w:t>Európsky parlament</w:t>
      </w:r>
      <w:r>
        <w:t>,</w:t>
      </w:r>
    </w:p>
    <w:p w:rsidR="00FA1202" w:rsidRDefault="00B66D0F">
      <w:pPr>
        <w:pStyle w:val="NormalHanging12a"/>
      </w:pPr>
      <w:r>
        <w:t>–</w:t>
      </w:r>
      <w:r>
        <w:tab/>
        <w:t>so zreteľom na návrh Komisie pre Európsky parlament a Radu (COM(2023)0362),</w:t>
      </w:r>
    </w:p>
    <w:p w:rsidR="00FA1202" w:rsidRDefault="00B66D0F">
      <w:pPr>
        <w:pStyle w:val="NormalHanging12a"/>
      </w:pPr>
      <w:r>
        <w:t>–</w:t>
      </w:r>
      <w:r>
        <w:tab/>
        <w:t xml:space="preserve">so zreteľom na článok 294 ods. 2 a článok 43 ods. 2 Zmluvy o fungovaní Európskej </w:t>
      </w:r>
      <w:r>
        <w:t>únie, v súlade s ktorými Komisia predložila návrh Európskemu parlamentu (C9</w:t>
      </w:r>
      <w:r>
        <w:noBreakHyphen/>
        <w:t>0221/2023),</w:t>
      </w:r>
    </w:p>
    <w:p w:rsidR="00FA1202" w:rsidRDefault="00B66D0F">
      <w:pPr>
        <w:pStyle w:val="NormalHanging12a"/>
      </w:pPr>
      <w:r>
        <w:t>–</w:t>
      </w:r>
      <w:r>
        <w:tab/>
        <w:t>so zreteľom na článok 294 ods. 3 Zmluvy o fungovaní Európskej únie,</w:t>
      </w:r>
    </w:p>
    <w:p w:rsidR="00FA1202" w:rsidRDefault="00B66D0F">
      <w:pPr>
        <w:pStyle w:val="NormalHanging12a"/>
      </w:pPr>
      <w:r>
        <w:t>–</w:t>
      </w:r>
      <w:r>
        <w:tab/>
        <w:t>so zreteľom na stanovisko Európskeho hospodárskeho a sociálneho výboru z 20. septembra 2023</w:t>
      </w:r>
      <w:r>
        <w:rPr>
          <w:rStyle w:val="FootnoteReference"/>
        </w:rPr>
        <w:footnoteReference w:id="1"/>
      </w:r>
      <w:r>
        <w:t>,</w:t>
      </w:r>
    </w:p>
    <w:p w:rsidR="00FA1202" w:rsidRDefault="00B66D0F">
      <w:pPr>
        <w:pStyle w:val="NormalHanging12a"/>
      </w:pPr>
      <w:r>
        <w:t>–</w:t>
      </w:r>
      <w:r>
        <w:tab/>
      </w:r>
      <w:r>
        <w:t>so zreteľom na predbežnú dohodu schválenú gestorským výborom podľa článku 74 ods. 4 rokovacieho poriadku, a na záväzok zástupcu Rady, vyjadrený v liste zo 14. februára 2024, schváliť pozíciu Európskeho parlamentu v súlade s článkom 294 ods. 4 Zmluvy o fung</w:t>
      </w:r>
      <w:r>
        <w:t>ovaní Európskej únie,</w:t>
      </w:r>
    </w:p>
    <w:p w:rsidR="00FA1202" w:rsidRDefault="00B66D0F">
      <w:pPr>
        <w:pStyle w:val="NormalHanging12a"/>
      </w:pPr>
      <w:r>
        <w:t>–</w:t>
      </w:r>
      <w:r>
        <w:tab/>
        <w:t>so zreteľom na článok 59 rokovacieho poriadku,</w:t>
      </w:r>
    </w:p>
    <w:p w:rsidR="00FA1202" w:rsidRDefault="00B66D0F">
      <w:pPr>
        <w:pStyle w:val="NormalHanging12a"/>
      </w:pPr>
      <w:r>
        <w:lastRenderedPageBreak/>
        <w:t>–</w:t>
      </w:r>
      <w:r>
        <w:tab/>
        <w:t>so zreteľom na správu Výboru pre rybárstvo (A9-0004/2024),</w:t>
      </w:r>
    </w:p>
    <w:p w:rsidR="00FA1202" w:rsidRDefault="00B66D0F">
      <w:pPr>
        <w:pStyle w:val="NormalHanging12a"/>
      </w:pPr>
      <w:r>
        <w:t>1.</w:t>
      </w:r>
      <w:r>
        <w:tab/>
        <w:t>prijíma nasledujúcu pozíciu v prvom čítaní;</w:t>
      </w:r>
    </w:p>
    <w:p w:rsidR="00FA1202" w:rsidRDefault="00B66D0F">
      <w:pPr>
        <w:pStyle w:val="NormalHanging12a"/>
      </w:pPr>
      <w:r>
        <w:t>2.</w:t>
      </w:r>
      <w:r>
        <w:tab/>
        <w:t>žiada Komisiu, aby mu vec znovu predložila, ak nahrádza, podstatne mení al</w:t>
      </w:r>
      <w:r>
        <w:t>ebo má v úmysle podstatne zmeniť svoj návrh;</w:t>
      </w:r>
    </w:p>
    <w:p w:rsidR="00FA1202" w:rsidRDefault="00B66D0F">
      <w:pPr>
        <w:pStyle w:val="NormalHanging12a"/>
      </w:pPr>
      <w:r>
        <w:t>3.</w:t>
      </w:r>
      <w:r>
        <w:tab/>
        <w:t>poveruje svoje predsedníčku, aby postúpila túto pozíciu Rade, Komisii a národným parlamentom.</w:t>
      </w:r>
    </w:p>
    <w:p w:rsidR="00FA1202" w:rsidRDefault="00FA1202">
      <w:pPr>
        <w:sectPr w:rsidR="00FA12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A1202" w:rsidRDefault="00B66D0F">
      <w:pPr>
        <w:pStyle w:val="Institutionquiagit"/>
        <w:keepNext w:val="0"/>
        <w:spacing w:before="120"/>
        <w:jc w:val="left"/>
        <w:outlineLvl w:val="0"/>
        <w:rPr>
          <w:b/>
        </w:rPr>
      </w:pPr>
      <w:r>
        <w:rPr>
          <w:b/>
        </w:rPr>
        <w:lastRenderedPageBreak/>
        <w:t>P9_TC1-COD(</w:t>
      </w:r>
      <w:r>
        <w:rPr>
          <w:b/>
        </w:rPr>
        <w:t>2023)0206</w:t>
      </w:r>
    </w:p>
    <w:p w:rsidR="00FA1202" w:rsidRPr="00B66D0F" w:rsidRDefault="00B66D0F">
      <w:pPr>
        <w:rPr>
          <w:rFonts w:eastAsia="Calibri"/>
          <w:b/>
          <w:bCs/>
          <w:iCs/>
          <w:szCs w:val="22"/>
          <w:lang w:eastAsia="en-US"/>
        </w:rPr>
      </w:pPr>
      <w:r>
        <w:rPr>
          <w:b/>
        </w:rPr>
        <w:t xml:space="preserve">Pozícia Európskeho parlamentu prijatá v prvom čítaní 10. apríla 2024 na účely prijatia nariadenia Európskeho parlamentu a Rady (EÚ) 2024/..., </w:t>
      </w:r>
      <w:r w:rsidRPr="00B66D0F">
        <w:rPr>
          <w:rFonts w:eastAsia="Calibri"/>
          <w:b/>
          <w:bCs/>
          <w:szCs w:val="22"/>
          <w:lang w:eastAsia="en-US"/>
        </w:rPr>
        <w:t xml:space="preserve">ktorým sa </w:t>
      </w:r>
      <w:r w:rsidRPr="00B66D0F">
        <w:rPr>
          <w:rFonts w:eastAsiaTheme="minorHAnsi"/>
          <w:b/>
          <w:szCs w:val="22"/>
          <w:lang w:eastAsia="en-US"/>
        </w:rPr>
        <w:t>stanovujú</w:t>
      </w:r>
      <w:r w:rsidRPr="00B66D0F">
        <w:rPr>
          <w:rFonts w:eastAsia="Calibri"/>
          <w:b/>
          <w:bCs/>
          <w:szCs w:val="22"/>
          <w:lang w:eastAsia="en-US"/>
        </w:rPr>
        <w:t xml:space="preserve"> ochranné, riadiace a kontrolné opatrenia uplatniteľné v oblasti, na ktorú sa vzťahuj</w:t>
      </w:r>
      <w:r w:rsidRPr="00B66D0F">
        <w:rPr>
          <w:rFonts w:eastAsia="Calibri"/>
          <w:b/>
          <w:bCs/>
          <w:szCs w:val="22"/>
          <w:lang w:eastAsia="en-US"/>
        </w:rPr>
        <w:t>e Dohovor o budúcej viacstrannej spolupráci pri rybolove v severovýchodnom Atlantiku, mení nariadenie Európskeho parlamentu a Rady (EÚ) 2019/1241 a nariadenie Rady (ES) č. 1224/2009 a zrušuje nariadenie Európskeho p</w:t>
      </w:r>
      <w:bookmarkStart w:id="7" w:name="_GoBack"/>
      <w:bookmarkEnd w:id="7"/>
      <w:r w:rsidRPr="00B66D0F">
        <w:rPr>
          <w:rFonts w:eastAsia="Calibri"/>
          <w:b/>
          <w:bCs/>
          <w:szCs w:val="22"/>
          <w:lang w:eastAsia="en-US"/>
        </w:rPr>
        <w:t>arlamentu a Rady (EÚ) č. 1236/2010 a </w:t>
      </w:r>
      <w:r w:rsidRPr="00B66D0F">
        <w:rPr>
          <w:rFonts w:eastAsia="Calibri"/>
          <w:b/>
          <w:bCs/>
          <w:iCs/>
          <w:szCs w:val="22"/>
          <w:lang w:eastAsia="en-US"/>
        </w:rPr>
        <w:t>nari</w:t>
      </w:r>
      <w:r w:rsidRPr="00B66D0F">
        <w:rPr>
          <w:rFonts w:eastAsia="Calibri"/>
          <w:b/>
          <w:bCs/>
          <w:iCs/>
          <w:szCs w:val="22"/>
          <w:lang w:eastAsia="en-US"/>
        </w:rPr>
        <w:t>adenia</w:t>
      </w:r>
      <w:r w:rsidRPr="00B66D0F">
        <w:rPr>
          <w:rFonts w:eastAsia="Calibri"/>
          <w:b/>
          <w:bCs/>
          <w:szCs w:val="22"/>
          <w:lang w:eastAsia="en-US"/>
        </w:rPr>
        <w:t xml:space="preserve"> Rady (EHS) č. 1899/85 a </w:t>
      </w:r>
      <w:r w:rsidRPr="00B66D0F">
        <w:rPr>
          <w:rFonts w:eastAsia="Calibri"/>
          <w:b/>
          <w:bCs/>
          <w:iCs/>
          <w:szCs w:val="22"/>
          <w:lang w:eastAsia="en-US"/>
        </w:rPr>
        <w:t>(EHS) č. 1638/87</w:t>
      </w:r>
    </w:p>
    <w:p w:rsidR="00B66D0F" w:rsidRDefault="00B66D0F">
      <w:pPr>
        <w:rPr>
          <w:rFonts w:eastAsia="Calibri"/>
          <w:b/>
          <w:bCs/>
          <w:i/>
          <w:iCs/>
          <w:szCs w:val="22"/>
          <w:lang w:eastAsia="en-US"/>
        </w:rPr>
      </w:pPr>
    </w:p>
    <w:p w:rsidR="00B66D0F" w:rsidRDefault="00B66D0F">
      <w:pPr>
        <w:rPr>
          <w:rFonts w:eastAsia="Calibri"/>
          <w:b/>
          <w:bCs/>
          <w:i/>
          <w:iCs/>
          <w:szCs w:val="22"/>
          <w:lang w:eastAsia="en-US"/>
        </w:rPr>
      </w:pPr>
    </w:p>
    <w:p w:rsidR="00B66D0F" w:rsidRPr="00731EF8" w:rsidRDefault="00B66D0F" w:rsidP="00B66D0F">
      <w:r w:rsidRPr="00731EF8">
        <w:rPr>
          <w:i/>
          <w:iCs/>
        </w:rPr>
        <w:t xml:space="preserve">(Keďže bola dosiahnutá dohoda medzi Európskym parlamentom a Radou, pozícia </w:t>
      </w:r>
      <w:r w:rsidRPr="0099788D">
        <w:rPr>
          <w:i/>
          <w:iCs/>
        </w:rPr>
        <w:t>Európskeho parlamentu zodpovedá záverečnému legislatívnemu aktu, nariadeniu (EÚ) 2024/</w:t>
      </w:r>
      <w:r>
        <w:rPr>
          <w:i/>
          <w:iCs/>
        </w:rPr>
        <w:t>2594</w:t>
      </w:r>
      <w:r w:rsidRPr="0099788D">
        <w:rPr>
          <w:i/>
          <w:iCs/>
        </w:rPr>
        <w:t>.)</w:t>
      </w:r>
    </w:p>
    <w:p w:rsidR="00B66D0F" w:rsidRDefault="00B66D0F">
      <w:pPr>
        <w:rPr>
          <w:rFonts w:eastAsia="Calibri"/>
          <w:b/>
          <w:bCs/>
          <w:i/>
          <w:iCs/>
          <w:szCs w:val="22"/>
          <w:lang w:eastAsia="en-US"/>
        </w:rPr>
      </w:pPr>
    </w:p>
    <w:sectPr w:rsidR="00B66D0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202" w:rsidRDefault="00B66D0F">
      <w:r>
        <w:separator/>
      </w:r>
    </w:p>
  </w:endnote>
  <w:endnote w:type="continuationSeparator" w:id="0">
    <w:p w:rsidR="00FA1202" w:rsidRDefault="00B6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202" w:rsidRDefault="00FA12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202" w:rsidRDefault="00FA12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202" w:rsidRDefault="00FA12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202" w:rsidRDefault="00B66D0F">
      <w:r>
        <w:separator/>
      </w:r>
    </w:p>
  </w:footnote>
  <w:footnote w:type="continuationSeparator" w:id="0">
    <w:p w:rsidR="00FA1202" w:rsidRDefault="00B66D0F">
      <w:r>
        <w:continuationSeparator/>
      </w:r>
    </w:p>
  </w:footnote>
  <w:footnote w:id="1">
    <w:p w:rsidR="00FA1202" w:rsidRDefault="00B66D0F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 v. C, C/2023/871, 8.12.2023,</w:t>
      </w:r>
      <w:r>
        <w:rPr>
          <w:sz w:val="24"/>
          <w:lang w:val="fi-FI"/>
        </w:rPr>
        <w:t xml:space="preserve"> ELI: http://data.europa.eu/eli/C/2023/871/oj</w:t>
      </w:r>
      <w:r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202" w:rsidRDefault="00FA12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202" w:rsidRDefault="00FA12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202" w:rsidRDefault="00FA12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8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19" w15:restartNumberingAfterBreak="0">
    <w:nsid w:val="42FE4F90"/>
    <w:multiLevelType w:val="hybridMultilevel"/>
    <w:tmpl w:val="C210786C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4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7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8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1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4"/>
  </w:num>
  <w:num w:numId="2">
    <w:abstractNumId w:val="15"/>
  </w:num>
  <w:num w:numId="3">
    <w:abstractNumId w:val="31"/>
  </w:num>
  <w:num w:numId="4">
    <w:abstractNumId w:val="3"/>
  </w:num>
  <w:num w:numId="5">
    <w:abstractNumId w:val="32"/>
  </w:num>
  <w:num w:numId="6">
    <w:abstractNumId w:val="28"/>
  </w:num>
  <w:num w:numId="7">
    <w:abstractNumId w:val="5"/>
  </w:num>
  <w:num w:numId="8">
    <w:abstractNumId w:val="34"/>
  </w:num>
  <w:num w:numId="9">
    <w:abstractNumId w:val="39"/>
  </w:num>
  <w:num w:numId="10">
    <w:abstractNumId w:val="25"/>
  </w:num>
  <w:num w:numId="11">
    <w:abstractNumId w:val="33"/>
  </w:num>
  <w:num w:numId="12">
    <w:abstractNumId w:val="29"/>
  </w:num>
  <w:num w:numId="13">
    <w:abstractNumId w:val="20"/>
  </w:num>
  <w:num w:numId="14">
    <w:abstractNumId w:val="11"/>
  </w:num>
  <w:num w:numId="15">
    <w:abstractNumId w:val="9"/>
  </w:num>
  <w:num w:numId="16">
    <w:abstractNumId w:val="30"/>
  </w:num>
  <w:num w:numId="17">
    <w:abstractNumId w:val="35"/>
  </w:num>
  <w:num w:numId="18">
    <w:abstractNumId w:val="2"/>
  </w:num>
  <w:num w:numId="19">
    <w:abstractNumId w:val="12"/>
  </w:num>
  <w:num w:numId="20">
    <w:abstractNumId w:val="8"/>
  </w:num>
  <w:num w:numId="21">
    <w:abstractNumId w:val="13"/>
  </w:num>
  <w:num w:numId="22">
    <w:abstractNumId w:val="26"/>
  </w:num>
  <w:num w:numId="23">
    <w:abstractNumId w:val="7"/>
  </w:num>
  <w:num w:numId="24">
    <w:abstractNumId w:val="21"/>
  </w:num>
  <w:num w:numId="25">
    <w:abstractNumId w:val="24"/>
  </w:num>
  <w:num w:numId="26">
    <w:abstractNumId w:val="23"/>
  </w:num>
  <w:num w:numId="27">
    <w:abstractNumId w:val="40"/>
  </w:num>
  <w:num w:numId="28">
    <w:abstractNumId w:val="16"/>
  </w:num>
  <w:num w:numId="29">
    <w:abstractNumId w:val="17"/>
  </w:num>
  <w:num w:numId="30">
    <w:abstractNumId w:val="18"/>
  </w:num>
  <w:num w:numId="31">
    <w:abstractNumId w:val="22"/>
  </w:num>
  <w:num w:numId="32">
    <w:abstractNumId w:val="10"/>
  </w:num>
  <w:num w:numId="33">
    <w:abstractNumId w:val="14"/>
  </w:num>
  <w:num w:numId="34">
    <w:abstractNumId w:val="27"/>
  </w:num>
  <w:num w:numId="35">
    <w:abstractNumId w:val="37"/>
  </w:num>
  <w:num w:numId="36">
    <w:abstractNumId w:val="36"/>
  </w:num>
  <w:num w:numId="37">
    <w:abstractNumId w:val="38"/>
  </w:num>
  <w:num w:numId="38">
    <w:abstractNumId w:val="6"/>
  </w:num>
  <w:num w:numId="39">
    <w:abstractNumId w:val="0"/>
  </w:num>
  <w:num w:numId="40">
    <w:abstractNumId w:val="1"/>
  </w:num>
  <w:num w:numId="41">
    <w:abstractNumId w:val="41"/>
  </w:num>
  <w:num w:numId="42">
    <w:abstractNumId w:val="1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SK"/>
    <w:docVar w:name="dvnumam" w:val="60"/>
    <w:docVar w:name="dvpe" w:val="756.019"/>
    <w:docVar w:name="dvrapporteur" w:val="Spravodajca: "/>
    <w:docVar w:name="dvstar" w:val="***I"/>
    <w:docVar w:name="dvtitre" w:val="Legislatívne uznesenie Európskeho parlamentu z xx. apríla 2024 o návrhu nariadenia Európskeho parlamentu a Rady, ktorým sa stanovujú ochranné, riadiace a kontrolné opatrenia uplatniteľné v oblasti, na ktorú sa vzťahuje Dohovor o budúcej viacstrannej spolupráci pri rybolove v severovýchodnom Atlantiku, mení nariadenie Európskeho parlamentu a Rady (EÚ) 2019/1241 a nariadenie Rady (ES) č. 1224/2009 a zrušuje nariadenie Rady (EHS) č. 1899/85 a nariadenie (EÚ) č. 1236/2010(COM(2023)0362 – C9-0221/2023 – 2023/0206(COD))"/>
  </w:docVars>
  <w:rsids>
    <w:rsidRoot w:val="00FA1202"/>
    <w:rsid w:val="00B66D0F"/>
    <w:rsid w:val="00FA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197DF"/>
  <w15:chartTrackingRefBased/>
  <w15:docId w15:val="{72A03D5B-206D-4669-92DC-A96D746F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pPr>
      <w:jc w:val="right"/>
    </w:pPr>
    <w:rPr>
      <w:lang w:val="sk-SK"/>
    </w:rPr>
  </w:style>
  <w:style w:type="paragraph" w:styleId="NormalWeb">
    <w:name w:val="Normal (Web)"/>
    <w:basedOn w:val="Normal"/>
    <w:unhideWhenUsed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customStyle="1" w:styleId="normalBold0">
    <w:name w:val="normal + Bold"/>
    <w:aliases w:val="Italic,Left"/>
    <w:basedOn w:val="Olang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NormalCentered">
    <w:name w:val="Normal Centered"/>
    <w:basedOn w:val="Normal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pPr>
      <w:jc w:val="center"/>
    </w:pPr>
  </w:style>
  <w:style w:type="paragraph" w:customStyle="1" w:styleId="Jardin">
    <w:name w:val="Jardin"/>
    <w:basedOn w:val="Normal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Pr>
      <w:b/>
    </w:rPr>
  </w:style>
  <w:style w:type="paragraph" w:customStyle="1" w:styleId="Annex">
    <w:name w:val="Annex"/>
    <w:basedOn w:val="Normal"/>
    <w:next w:val="Normal"/>
    <w:uiPriority w:val="99"/>
    <w:qFormat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Applicationdirecte">
    <w:name w:val="Application directe"/>
    <w:basedOn w:val="Normal"/>
    <w:next w:val="Fait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 w:eastAsia="fr-BE"/>
      <w14:ligatures w14:val="standardContextual"/>
    </w:rPr>
  </w:style>
  <w:style w:type="paragraph" w:styleId="TOC4">
    <w:name w:val="toc 4"/>
    <w:basedOn w:val="Normal"/>
    <w:next w:val="Normal"/>
    <w:uiPriority w:val="39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nnexetitre">
    <w:name w:val="Annexe titre"/>
    <w:basedOn w:val="Normal"/>
    <w:next w:val="Normal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sk-SK" w:eastAsia="fr-BE"/>
      <w14:ligatures w14:val="standardContextual"/>
    </w:rPr>
  </w:style>
  <w:style w:type="paragraph" w:customStyle="1" w:styleId="CommentFwdQuotedText">
    <w:name w:val="CommentFwdQuotedText"/>
    <w:basedOn w:val="Normal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paragraph" w:styleId="ListParagraph">
    <w:name w:val="List Paragraph"/>
    <w:basedOn w:val="Normal"/>
    <w:uiPriority w:val="34"/>
    <w:qFormat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</w:style>
  <w:style w:type="character" w:customStyle="1" w:styleId="footnotereference0">
    <w:name w:val="footnotereference"/>
    <w:basedOn w:val="DefaultParagraphFont"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tab">
    <w:name w:val="tab"/>
    <w:basedOn w:val="DefaultParagraphFont"/>
  </w:style>
  <w:style w:type="paragraph" w:customStyle="1" w:styleId="ti-grseq-1">
    <w:name w:val="ti-grseq-1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</w:style>
  <w:style w:type="paragraph" w:customStyle="1" w:styleId="tbl-hdr">
    <w:name w:val="tbl-hdr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</w:style>
  <w:style w:type="character" w:customStyle="1" w:styleId="markedcontent">
    <w:name w:val="markedcontent"/>
    <w:basedOn w:val="DefaultParagraphFont"/>
  </w:style>
  <w:style w:type="character" w:customStyle="1" w:styleId="Other1">
    <w:name w:val="Other|1_"/>
    <w:basedOn w:val="DefaultParagraphFont"/>
    <w:rPr>
      <w:lang w:val="sk-SK"/>
    </w:rPr>
  </w:style>
  <w:style w:type="paragraph" w:customStyle="1" w:styleId="Other10">
    <w:name w:val="Other|1"/>
    <w:basedOn w:val="Normal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MidstillTegn">
    <w:name w:val="Midstill Tegn"/>
    <w:rPr>
      <w:sz w:val="24"/>
    </w:rPr>
  </w:style>
  <w:style w:type="paragraph" w:customStyle="1" w:styleId="Midstill">
    <w:name w:val="Midstill"/>
    <w:basedOn w:val="Normal"/>
    <w:qFormat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Pr>
      <w:i/>
    </w:rPr>
  </w:style>
  <w:style w:type="paragraph" w:customStyle="1" w:styleId="noscreenshow">
    <w:name w:val="no_screen_show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</w:style>
  <w:style w:type="character" w:customStyle="1" w:styleId="element-invisible">
    <w:name w:val="element-invisible"/>
    <w:basedOn w:val="DefaultParagraphFont"/>
  </w:style>
  <w:style w:type="paragraph" w:customStyle="1" w:styleId="views-row-even">
    <w:name w:val="views-row-even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pPr>
      <w:spacing w:line="360" w:lineRule="auto"/>
    </w:pPr>
  </w:style>
  <w:style w:type="paragraph" w:customStyle="1" w:styleId="S02">
    <w:name w:val="S02"/>
    <w:basedOn w:val="Titrearticle"/>
    <w:uiPriority w:val="99"/>
    <w:qFormat/>
    <w:pPr>
      <w:spacing w:line="360" w:lineRule="auto"/>
    </w:pPr>
  </w:style>
  <w:style w:type="paragraph" w:customStyle="1" w:styleId="S04">
    <w:name w:val="S04"/>
    <w:basedOn w:val="Titrearticle"/>
    <w:uiPriority w:val="99"/>
    <w:qFormat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pPr>
      <w:spacing w:line="360" w:lineRule="auto"/>
    </w:pPr>
  </w:style>
  <w:style w:type="paragraph" w:customStyle="1" w:styleId="S05">
    <w:name w:val="S05"/>
    <w:basedOn w:val="Titrearticle"/>
    <w:uiPriority w:val="99"/>
    <w:qFormat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Pr>
      <w:color w:val="605E5C"/>
      <w:shd w:val="clear" w:color="auto" w:fill="E1DFDD"/>
    </w:rPr>
  </w:style>
  <w:style w:type="paragraph" w:customStyle="1" w:styleId="Normal2">
    <w:name w:val="Normal2"/>
    <w:basedOn w:val="Normal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</w:style>
  <w:style w:type="character" w:customStyle="1" w:styleId="UnresolvedMention5">
    <w:name w:val="Unresolved Mention5"/>
    <w:basedOn w:val="DefaultParagraphFont"/>
    <w:uiPriority w:val="99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Pr>
      <w:color w:val="FF0000"/>
    </w:rPr>
  </w:style>
  <w:style w:type="paragraph" w:customStyle="1" w:styleId="Nomdelinstitution">
    <w:name w:val="Nom de l'institution"/>
    <w:basedOn w:val="Normal"/>
    <w:next w:val="Emission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Pr>
      <w:b/>
      <w:u w:val="single"/>
    </w:rPr>
  </w:style>
  <w:style w:type="character" w:customStyle="1" w:styleId="Deleted">
    <w:name w:val="Deleted"/>
    <w:basedOn w:val="DefaultParagraphFont"/>
    <w:rPr>
      <w:strike/>
    </w:rPr>
  </w:style>
  <w:style w:type="paragraph" w:customStyle="1" w:styleId="Address">
    <w:name w:val="Address"/>
    <w:basedOn w:val="Normal"/>
    <w:next w:val="Normal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</w:style>
  <w:style w:type="paragraph" w:customStyle="1" w:styleId="msonormal0">
    <w:name w:val="msonormal"/>
    <w:basedOn w:val="Normal"/>
    <w:uiPriority w:val="9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Pr>
      <w:rFonts w:eastAsia="Calibri"/>
      <w:sz w:val="24"/>
      <w:szCs w:val="22"/>
      <w:lang w:val="sk-SK" w:eastAsia="en-US"/>
    </w:rPr>
  </w:style>
  <w:style w:type="paragraph" w:customStyle="1" w:styleId="nbbordered">
    <w:name w:val="nb bordered"/>
    <w:basedOn w:val="TechnicalBlock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Pr>
      <w:rFonts w:eastAsia="Calibri"/>
      <w:b/>
      <w:sz w:val="24"/>
      <w:szCs w:val="22"/>
      <w:lang w:val="sk-SK" w:eastAsia="en-US"/>
    </w:rPr>
  </w:style>
  <w:style w:type="character" w:customStyle="1" w:styleId="HeaderCouncilChar">
    <w:name w:val="Header Council Char"/>
    <w:basedOn w:val="DefaultParagraphFont"/>
    <w:rPr>
      <w:rFonts w:ascii="Times New Roman" w:hAnsi="Times New Roman" w:cs="Times New Roman"/>
      <w:sz w:val="2"/>
      <w:lang w:val="sk-SK"/>
    </w:rPr>
  </w:style>
  <w:style w:type="character" w:customStyle="1" w:styleId="FooterCouncilChar">
    <w:name w:val="Footer Council Char"/>
    <w:basedOn w:val="DefaultParagraphFont"/>
    <w:rPr>
      <w:rFonts w:ascii="Times New Roman" w:hAnsi="Times New Roman" w:cs="Times New Roman"/>
      <w:sz w:val="2"/>
      <w:lang w:val="sk-SK"/>
    </w:rPr>
  </w:style>
  <w:style w:type="paragraph" w:customStyle="1" w:styleId="DeltaViewTableHeading">
    <w:name w:val="DeltaView Table Heading"/>
    <w:basedOn w:val="Normal"/>
    <w:uiPriority w:val="99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sk-SK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Pr>
      <w:b/>
      <w:i/>
      <w:color w:val="000000"/>
    </w:rPr>
  </w:style>
  <w:style w:type="character" w:customStyle="1" w:styleId="DeltaViewDeletion">
    <w:name w:val="DeltaView Deletion"/>
    <w:uiPriority w:val="99"/>
    <w:rPr>
      <w:strike/>
      <w:color w:val="000000"/>
    </w:rPr>
  </w:style>
  <w:style w:type="character" w:customStyle="1" w:styleId="DeltaViewMoveSource">
    <w:name w:val="DeltaView Move Source"/>
    <w:uiPriority w:val="99"/>
    <w:rPr>
      <w:strike/>
      <w:color w:val="000000"/>
    </w:rPr>
  </w:style>
  <w:style w:type="character" w:customStyle="1" w:styleId="DeltaViewMoveDestination">
    <w:name w:val="DeltaView Move Destination"/>
    <w:uiPriority w:val="99"/>
    <w:rPr>
      <w:color w:val="000000"/>
      <w:u w:val="double"/>
    </w:rPr>
  </w:style>
  <w:style w:type="character" w:customStyle="1" w:styleId="DeltaViewChangeNumber">
    <w:name w:val="DeltaView Change Number"/>
    <w:uiPriority w:val="99"/>
    <w:rPr>
      <w:color w:val="000000"/>
      <w:vertAlign w:val="superscript"/>
    </w:rPr>
  </w:style>
  <w:style w:type="character" w:customStyle="1" w:styleId="DeltaViewDelimiter">
    <w:name w:val="DeltaView Delimiter"/>
    <w:uiPriority w:val="99"/>
  </w:style>
  <w:style w:type="paragraph" w:customStyle="1" w:styleId="DocumentMap1">
    <w:name w:val="Document Map1"/>
    <w:basedOn w:val="Normal"/>
    <w:next w:val="HeaderCouncil"/>
    <w:uiPriority w:val="99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Pr>
      <w:color w:val="000000"/>
    </w:rPr>
  </w:style>
  <w:style w:type="character" w:customStyle="1" w:styleId="DeltaViewMovedDeletion">
    <w:name w:val="DeltaView Moved Deletion"/>
    <w:uiPriority w:val="99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Pr>
      <w:color w:val="000000"/>
    </w:rPr>
  </w:style>
  <w:style w:type="character" w:customStyle="1" w:styleId="DeltaViewStyleChangeText">
    <w:name w:val="DeltaView Style Change Text"/>
    <w:uiPriority w:val="99"/>
    <w:rPr>
      <w:color w:val="000000"/>
      <w:u w:val="double"/>
    </w:rPr>
  </w:style>
  <w:style w:type="character" w:customStyle="1" w:styleId="DeltaViewStyleChangeLabel">
    <w:name w:val="DeltaView Style Change Label"/>
    <w:uiPriority w:val="99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Pr>
      <w:sz w:val="24"/>
      <w:lang w:val="sk-SK"/>
    </w:rPr>
  </w:style>
  <w:style w:type="paragraph" w:styleId="DocumentMap">
    <w:name w:val="Document Map"/>
    <w:basedOn w:val="Normal"/>
    <w:link w:val="DocumentMapChar"/>
    <w:uiPriority w:val="99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Pr>
      <w:rFonts w:ascii="Segoe UI" w:hAnsi="Segoe UI" w:cs="Segoe UI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95E33-D272-48D7-B554-1AEB877B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371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2025-01-20T15:24:00Z</dcterms:created>
  <dcterms:modified xsi:type="dcterms:W3CDTF">2025-01-20T15:24:00Z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