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69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69B4" w:rsidRDefault="00EE4B58" w:rsidP="0010095E">
            <w:pPr>
              <w:pStyle w:val="EPName"/>
            </w:pPr>
            <w:r w:rsidRPr="006369B4">
              <w:t>Europski parlament</w:t>
            </w:r>
          </w:p>
          <w:p w:rsidR="00751A4A" w:rsidRPr="006369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761E">
              <w:t>2019</w:t>
            </w:r>
            <w:r w:rsidRPr="006369B4">
              <w:t>-</w:t>
            </w:r>
            <w:r w:rsidRPr="00F9761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369B4" w:rsidRDefault="00187494" w:rsidP="0010095E">
            <w:pPr>
              <w:pStyle w:val="EPLogo"/>
            </w:pPr>
            <w:r w:rsidRPr="006369B4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69B4" w:rsidRDefault="00D058B8" w:rsidP="004C5D52">
      <w:pPr>
        <w:pStyle w:val="LineTop"/>
      </w:pPr>
    </w:p>
    <w:p w:rsidR="00680577" w:rsidRPr="006369B4" w:rsidRDefault="00EE4B58" w:rsidP="00680577">
      <w:pPr>
        <w:pStyle w:val="EPBodyTA1"/>
      </w:pPr>
      <w:r w:rsidRPr="006369B4">
        <w:t>USVOJENI TEKSTOVI</w:t>
      </w:r>
    </w:p>
    <w:p w:rsidR="00D058B8" w:rsidRPr="006369B4" w:rsidRDefault="00D058B8" w:rsidP="00D058B8">
      <w:pPr>
        <w:pStyle w:val="LineBottom"/>
      </w:pPr>
    </w:p>
    <w:p w:rsidR="00EE4B58" w:rsidRPr="006369B4" w:rsidRDefault="00EE4B58" w:rsidP="00EE4B58">
      <w:pPr>
        <w:pStyle w:val="ATHeading1"/>
      </w:pPr>
      <w:bookmarkStart w:id="0" w:name="TANumber"/>
      <w:r w:rsidRPr="006369B4">
        <w:t>P</w:t>
      </w:r>
      <w:r w:rsidRPr="00F9761E">
        <w:t>9</w:t>
      </w:r>
      <w:r w:rsidRPr="006369B4">
        <w:t>_TA(</w:t>
      </w:r>
      <w:r w:rsidRPr="00F9761E">
        <w:t>2024</w:t>
      </w:r>
      <w:r w:rsidRPr="006369B4">
        <w:t>)</w:t>
      </w:r>
      <w:r w:rsidRPr="00F9761E">
        <w:t>0</w:t>
      </w:r>
      <w:r w:rsidR="005B3ED1" w:rsidRPr="00F9761E">
        <w:t>203</w:t>
      </w:r>
      <w:bookmarkEnd w:id="0"/>
    </w:p>
    <w:p w:rsidR="00EE4B58" w:rsidRPr="006369B4" w:rsidRDefault="00EE4B58" w:rsidP="00EE4B58">
      <w:pPr>
        <w:pStyle w:val="ATHeading2"/>
      </w:pPr>
      <w:bookmarkStart w:id="1" w:name="title"/>
      <w:r w:rsidRPr="006369B4">
        <w:t xml:space="preserve">Izmjena Direktive </w:t>
      </w:r>
      <w:r w:rsidRPr="00F9761E">
        <w:t>2009</w:t>
      </w:r>
      <w:r w:rsidRPr="006369B4">
        <w:t>/</w:t>
      </w:r>
      <w:r w:rsidRPr="00F9761E">
        <w:t>21</w:t>
      </w:r>
      <w:r w:rsidRPr="006369B4">
        <w:t>/EZ o ispunjavanju zahtjeva države zastave</w:t>
      </w:r>
      <w:bookmarkEnd w:id="1"/>
    </w:p>
    <w:p w:rsidR="00EE4B58" w:rsidRPr="006369B4" w:rsidRDefault="00EE4B58" w:rsidP="00EE4B58">
      <w:pPr>
        <w:rPr>
          <w:i/>
          <w:vanish/>
        </w:rPr>
      </w:pPr>
      <w:r w:rsidRPr="006369B4">
        <w:rPr>
          <w:i/>
        </w:rPr>
        <w:fldChar w:fldCharType="begin"/>
      </w:r>
      <w:r w:rsidRPr="006369B4">
        <w:rPr>
          <w:i/>
        </w:rPr>
        <w:instrText xml:space="preserve"> TC"(</w:instrText>
      </w:r>
      <w:bookmarkStart w:id="2" w:name="DocNumber"/>
      <w:r w:rsidRPr="006369B4">
        <w:rPr>
          <w:i/>
        </w:rPr>
        <w:instrText>A</w:instrText>
      </w:r>
      <w:r w:rsidRPr="00F9761E">
        <w:rPr>
          <w:i/>
        </w:rPr>
        <w:instrText>9</w:instrText>
      </w:r>
      <w:r w:rsidRPr="006369B4">
        <w:rPr>
          <w:i/>
        </w:rPr>
        <w:instrText>-</w:instrText>
      </w:r>
      <w:r w:rsidRPr="00F9761E">
        <w:rPr>
          <w:i/>
        </w:rPr>
        <w:instrText>0418</w:instrText>
      </w:r>
      <w:r w:rsidRPr="006369B4">
        <w:rPr>
          <w:i/>
        </w:rPr>
        <w:instrText>/</w:instrText>
      </w:r>
      <w:r w:rsidRPr="00F9761E">
        <w:rPr>
          <w:i/>
        </w:rPr>
        <w:instrText>2023</w:instrText>
      </w:r>
      <w:bookmarkEnd w:id="2"/>
      <w:r w:rsidRPr="006369B4">
        <w:rPr>
          <w:i/>
        </w:rPr>
        <w:instrText xml:space="preserve"> - Izvjestiteljica: Vera </w:instrText>
      </w:r>
      <w:proofErr w:type="spellStart"/>
      <w:r w:rsidRPr="006369B4">
        <w:rPr>
          <w:i/>
        </w:rPr>
        <w:instrText>Tax</w:instrText>
      </w:r>
      <w:proofErr w:type="spellEnd"/>
      <w:r w:rsidRPr="006369B4">
        <w:rPr>
          <w:i/>
        </w:rPr>
        <w:instrText>)"\l</w:instrText>
      </w:r>
      <w:r w:rsidRPr="00F9761E">
        <w:rPr>
          <w:i/>
        </w:rPr>
        <w:instrText>3</w:instrText>
      </w:r>
      <w:r w:rsidRPr="006369B4">
        <w:rPr>
          <w:i/>
        </w:rPr>
        <w:instrText xml:space="preserve"> \n&gt; \* MERGEFORMAT </w:instrText>
      </w:r>
      <w:r w:rsidRPr="006369B4">
        <w:rPr>
          <w:i/>
        </w:rPr>
        <w:fldChar w:fldCharType="end"/>
      </w:r>
    </w:p>
    <w:p w:rsidR="00EE4B58" w:rsidRPr="006369B4" w:rsidRDefault="00EE4B58" w:rsidP="00EE4B58">
      <w:pPr>
        <w:rPr>
          <w:vanish/>
        </w:rPr>
      </w:pPr>
      <w:bookmarkStart w:id="3" w:name="Commission"/>
      <w:r w:rsidRPr="006369B4">
        <w:rPr>
          <w:vanish/>
        </w:rPr>
        <w:t>Odbor za promet i turizam</w:t>
      </w:r>
      <w:bookmarkEnd w:id="3"/>
    </w:p>
    <w:p w:rsidR="00EE4B58" w:rsidRPr="006369B4" w:rsidRDefault="00EE4B58" w:rsidP="00EE4B58">
      <w:pPr>
        <w:rPr>
          <w:vanish/>
        </w:rPr>
      </w:pPr>
      <w:bookmarkStart w:id="4" w:name="PE"/>
      <w:r w:rsidRPr="006369B4">
        <w:rPr>
          <w:vanish/>
        </w:rPr>
        <w:t>PE</w:t>
      </w:r>
      <w:r w:rsidRPr="00F9761E">
        <w:rPr>
          <w:vanish/>
        </w:rPr>
        <w:t>753</w:t>
      </w:r>
      <w:r w:rsidRPr="006369B4">
        <w:rPr>
          <w:vanish/>
        </w:rPr>
        <w:t>.</w:t>
      </w:r>
      <w:r w:rsidRPr="00F9761E">
        <w:rPr>
          <w:vanish/>
        </w:rPr>
        <w:t>548</w:t>
      </w:r>
      <w:bookmarkEnd w:id="4"/>
    </w:p>
    <w:p w:rsidR="00EE4B58" w:rsidRPr="006369B4" w:rsidRDefault="00EE4B58" w:rsidP="00EE4B58">
      <w:pPr>
        <w:pStyle w:val="ATHeading3"/>
      </w:pPr>
      <w:bookmarkStart w:id="5" w:name="Sujet"/>
      <w:r w:rsidRPr="006369B4">
        <w:t>Zakonodavna rezolu</w:t>
      </w:r>
      <w:r w:rsidR="006369B4">
        <w:t xml:space="preserve">cija Europskog parlamenta od </w:t>
      </w:r>
      <w:r w:rsidR="006369B4" w:rsidRPr="00F9761E">
        <w:t>10</w:t>
      </w:r>
      <w:r w:rsidRPr="006369B4">
        <w:t xml:space="preserve">. </w:t>
      </w:r>
      <w:r w:rsidR="006369B4">
        <w:t xml:space="preserve">travnja </w:t>
      </w:r>
      <w:r w:rsidRPr="00F9761E">
        <w:t>2024</w:t>
      </w:r>
      <w:r w:rsidRPr="006369B4">
        <w:t xml:space="preserve">. o Prijedlogu direktive Europskog parlamenta i Vijeća o izmjeni Direktive </w:t>
      </w:r>
      <w:r w:rsidRPr="00F9761E">
        <w:t>2009</w:t>
      </w:r>
      <w:r w:rsidRPr="006369B4">
        <w:t>/</w:t>
      </w:r>
      <w:r w:rsidRPr="00F9761E">
        <w:t>21</w:t>
      </w:r>
      <w:r w:rsidRPr="006369B4">
        <w:t>/EZ o ispunjavanju zahtjeva države zastave</w:t>
      </w:r>
      <w:bookmarkEnd w:id="5"/>
      <w:r w:rsidRPr="006369B4">
        <w:t xml:space="preserve"> </w:t>
      </w:r>
      <w:bookmarkStart w:id="6" w:name="References"/>
      <w:r w:rsidRPr="006369B4">
        <w:t>(COM(</w:t>
      </w:r>
      <w:r w:rsidRPr="00F9761E">
        <w:t>2023</w:t>
      </w:r>
      <w:r w:rsidRPr="006369B4">
        <w:t>)</w:t>
      </w:r>
      <w:r w:rsidRPr="00F9761E">
        <w:t>0272</w:t>
      </w:r>
      <w:r w:rsidRPr="006369B4">
        <w:t xml:space="preserve"> – C</w:t>
      </w:r>
      <w:r w:rsidRPr="00F9761E">
        <w:t>9</w:t>
      </w:r>
      <w:r w:rsidRPr="006369B4">
        <w:t>-</w:t>
      </w:r>
      <w:r w:rsidRPr="00F9761E">
        <w:t>0188</w:t>
      </w:r>
      <w:r w:rsidRPr="006369B4">
        <w:t>/</w:t>
      </w:r>
      <w:r w:rsidRPr="00F9761E">
        <w:t>2023</w:t>
      </w:r>
      <w:r w:rsidRPr="006369B4">
        <w:t xml:space="preserve"> – </w:t>
      </w:r>
      <w:r w:rsidRPr="00F9761E">
        <w:t>2023</w:t>
      </w:r>
      <w:r w:rsidRPr="006369B4">
        <w:t>/</w:t>
      </w:r>
      <w:r w:rsidRPr="00F9761E">
        <w:t>0172</w:t>
      </w:r>
      <w:r w:rsidRPr="006369B4">
        <w:t>(COD))</w:t>
      </w:r>
      <w:bookmarkEnd w:id="6"/>
    </w:p>
    <w:p w:rsidR="00834AAA" w:rsidRPr="006369B4" w:rsidRDefault="00834AAA" w:rsidP="00834AAA">
      <w:pPr>
        <w:pStyle w:val="NormalBold"/>
      </w:pPr>
      <w:bookmarkStart w:id="7" w:name="TextBodyBegin"/>
      <w:bookmarkEnd w:id="7"/>
      <w:r w:rsidRPr="006369B4">
        <w:t>(Redovni zakonodavni postupak: prvo čitanje)</w:t>
      </w:r>
    </w:p>
    <w:p w:rsidR="00834AAA" w:rsidRPr="006369B4" w:rsidRDefault="00834AAA" w:rsidP="00834AAA">
      <w:pPr>
        <w:pStyle w:val="EPComma"/>
      </w:pPr>
      <w:r w:rsidRPr="006369B4">
        <w:rPr>
          <w:i/>
        </w:rPr>
        <w:t>Europski parlament</w:t>
      </w:r>
      <w:r w:rsidRPr="006369B4">
        <w:t>,</w:t>
      </w:r>
    </w:p>
    <w:p w:rsidR="00834AAA" w:rsidRPr="006369B4" w:rsidRDefault="00834AAA" w:rsidP="00834AAA">
      <w:pPr>
        <w:pStyle w:val="NormalHanging12a"/>
      </w:pPr>
      <w:r w:rsidRPr="006369B4">
        <w:t>–</w:t>
      </w:r>
      <w:r w:rsidRPr="006369B4">
        <w:tab/>
        <w:t>uzimajući u obzir Prijedlog Komisije upućen Europskom parlamentu i Vijeću (COM(</w:t>
      </w:r>
      <w:r w:rsidRPr="00F9761E">
        <w:t>2023</w:t>
      </w:r>
      <w:r w:rsidRPr="006369B4">
        <w:t>)</w:t>
      </w:r>
      <w:r w:rsidRPr="00F9761E">
        <w:t>0272</w:t>
      </w:r>
      <w:r w:rsidRPr="006369B4">
        <w:t>),</w:t>
      </w:r>
    </w:p>
    <w:p w:rsidR="00834AAA" w:rsidRPr="006369B4" w:rsidRDefault="00834AAA" w:rsidP="00834AAA">
      <w:pPr>
        <w:pStyle w:val="NormalHanging12a"/>
      </w:pPr>
      <w:r w:rsidRPr="006369B4">
        <w:t>–</w:t>
      </w:r>
      <w:r w:rsidRPr="006369B4">
        <w:tab/>
        <w:t xml:space="preserve">uzimajući u obzir članak </w:t>
      </w:r>
      <w:r w:rsidRPr="00F9761E">
        <w:t>294</w:t>
      </w:r>
      <w:r w:rsidRPr="006369B4">
        <w:t xml:space="preserve">. stavak </w:t>
      </w:r>
      <w:r w:rsidRPr="00F9761E">
        <w:t>2</w:t>
      </w:r>
      <w:r w:rsidRPr="006369B4">
        <w:t xml:space="preserve">. i članak </w:t>
      </w:r>
      <w:r w:rsidRPr="00F9761E">
        <w:t>100</w:t>
      </w:r>
      <w:r w:rsidRPr="006369B4">
        <w:t xml:space="preserve">. stavak </w:t>
      </w:r>
      <w:r w:rsidRPr="00F9761E">
        <w:t>2</w:t>
      </w:r>
      <w:r w:rsidRPr="006369B4">
        <w:t>. Ugovora o funkcioniranju Europske unije, u skladu s kojima je Komisija podnijela Prijedlog Parlamentu (C</w:t>
      </w:r>
      <w:r w:rsidRPr="00F9761E">
        <w:t>9</w:t>
      </w:r>
      <w:r w:rsidRPr="006369B4">
        <w:noBreakHyphen/>
      </w:r>
      <w:r w:rsidRPr="00F9761E">
        <w:t>0188</w:t>
      </w:r>
      <w:r w:rsidRPr="006369B4">
        <w:t>/</w:t>
      </w:r>
      <w:r w:rsidRPr="00F9761E">
        <w:t>2023</w:t>
      </w:r>
      <w:r w:rsidRPr="006369B4">
        <w:t>),</w:t>
      </w:r>
    </w:p>
    <w:p w:rsidR="00834AAA" w:rsidRPr="006369B4" w:rsidRDefault="00834AAA" w:rsidP="00834AAA">
      <w:pPr>
        <w:pStyle w:val="NormalHanging12a"/>
      </w:pPr>
      <w:r w:rsidRPr="006369B4">
        <w:t>–</w:t>
      </w:r>
      <w:r w:rsidRPr="006369B4">
        <w:tab/>
        <w:t xml:space="preserve">uzimajući u obzir članak </w:t>
      </w:r>
      <w:r w:rsidRPr="00F9761E">
        <w:t>294</w:t>
      </w:r>
      <w:r w:rsidRPr="006369B4">
        <w:t xml:space="preserve">. stavak </w:t>
      </w:r>
      <w:r w:rsidRPr="00F9761E">
        <w:t>3</w:t>
      </w:r>
      <w:r w:rsidRPr="006369B4">
        <w:t>. Ugovora o funkcioniranju Europske unije,</w:t>
      </w:r>
    </w:p>
    <w:p w:rsidR="00834AAA" w:rsidRPr="006369B4" w:rsidRDefault="00834AAA" w:rsidP="00834AAA">
      <w:pPr>
        <w:pStyle w:val="NormalHanging12a"/>
      </w:pPr>
      <w:r w:rsidRPr="006369B4">
        <w:t>–</w:t>
      </w:r>
      <w:r w:rsidRPr="006369B4">
        <w:tab/>
        <w:t>uzimajući u obzir mišljenje Europskog</w:t>
      </w:r>
      <w:r w:rsidR="006369B4">
        <w:t>a</w:t>
      </w:r>
      <w:r w:rsidRPr="006369B4">
        <w:t xml:space="preserve"> gospodarskog i socijalnog odbora od </w:t>
      </w:r>
      <w:r w:rsidRPr="00F9761E">
        <w:t>20</w:t>
      </w:r>
      <w:r w:rsidRPr="006369B4">
        <w:t>. rujna </w:t>
      </w:r>
      <w:r w:rsidRPr="00F9761E">
        <w:t>2023</w:t>
      </w:r>
      <w:r w:rsidRPr="006369B4">
        <w:t>.</w:t>
      </w:r>
      <w:r w:rsidRPr="006369B4">
        <w:rPr>
          <w:rStyle w:val="FootnoteReference"/>
        </w:rPr>
        <w:footnoteReference w:id="1"/>
      </w:r>
      <w:r w:rsidR="006369B4">
        <w:t>,</w:t>
      </w:r>
    </w:p>
    <w:p w:rsidR="00834AAA" w:rsidRDefault="00834AAA" w:rsidP="00834AAA">
      <w:pPr>
        <w:pStyle w:val="NormalHanging12a"/>
      </w:pPr>
      <w:r w:rsidRPr="006369B4">
        <w:t>–</w:t>
      </w:r>
      <w:r w:rsidRPr="006369B4">
        <w:tab/>
        <w:t>nakon savjetovanja s Odborom regija,</w:t>
      </w:r>
    </w:p>
    <w:p w:rsidR="002270E6" w:rsidRPr="006369B4" w:rsidRDefault="002270E6" w:rsidP="00834AAA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F9761E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F9761E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F9761E">
        <w:rPr>
          <w:szCs w:val="24"/>
        </w:rPr>
        <w:t>15</w:t>
      </w:r>
      <w:r>
        <w:rPr>
          <w:szCs w:val="24"/>
        </w:rPr>
        <w:t>. ožujka</w:t>
      </w:r>
      <w:r w:rsidRPr="002F0A61">
        <w:rPr>
          <w:szCs w:val="24"/>
        </w:rPr>
        <w:t xml:space="preserve"> </w:t>
      </w:r>
      <w:r w:rsidRPr="00F9761E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F9761E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F9761E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834AAA" w:rsidRPr="006369B4" w:rsidRDefault="00834AAA" w:rsidP="00834AAA">
      <w:pPr>
        <w:pStyle w:val="NormalHanging12a"/>
      </w:pPr>
      <w:r w:rsidRPr="006369B4">
        <w:t>–</w:t>
      </w:r>
      <w:r w:rsidRPr="006369B4">
        <w:tab/>
        <w:t xml:space="preserve">uzimajući u obzir članak </w:t>
      </w:r>
      <w:r w:rsidRPr="00F9761E">
        <w:t>59</w:t>
      </w:r>
      <w:r w:rsidRPr="006369B4">
        <w:t>. Poslovnika,</w:t>
      </w:r>
    </w:p>
    <w:p w:rsidR="00834AAA" w:rsidRPr="006369B4" w:rsidRDefault="00834AAA" w:rsidP="00834AAA">
      <w:pPr>
        <w:pStyle w:val="NormalHanging12a"/>
      </w:pPr>
      <w:r w:rsidRPr="006369B4">
        <w:t>–</w:t>
      </w:r>
      <w:r w:rsidRPr="006369B4">
        <w:tab/>
        <w:t>uzimajući u obzir mišljenje Odbora za ribarstvo,</w:t>
      </w:r>
    </w:p>
    <w:p w:rsidR="00834AAA" w:rsidRPr="006369B4" w:rsidRDefault="00834AAA" w:rsidP="00834AAA">
      <w:pPr>
        <w:pStyle w:val="NormalHanging12a"/>
      </w:pPr>
      <w:r w:rsidRPr="006369B4">
        <w:t>–</w:t>
      </w:r>
      <w:r w:rsidRPr="006369B4">
        <w:tab/>
        <w:t>uzimajući u obzir izvješće Odbora za promet i turizam (A</w:t>
      </w:r>
      <w:r w:rsidRPr="00F9761E">
        <w:t>9</w:t>
      </w:r>
      <w:r w:rsidRPr="006369B4">
        <w:noBreakHyphen/>
      </w:r>
      <w:r w:rsidRPr="00F9761E">
        <w:t>0418</w:t>
      </w:r>
      <w:r w:rsidRPr="006369B4">
        <w:t>/</w:t>
      </w:r>
      <w:r w:rsidRPr="00F9761E">
        <w:t>2023</w:t>
      </w:r>
      <w:r w:rsidRPr="006369B4">
        <w:t>),</w:t>
      </w:r>
    </w:p>
    <w:p w:rsidR="00834AAA" w:rsidRPr="006369B4" w:rsidRDefault="00834AAA" w:rsidP="00834AAA">
      <w:pPr>
        <w:pStyle w:val="NormalHanging12a"/>
      </w:pPr>
      <w:r w:rsidRPr="00F9761E">
        <w:lastRenderedPageBreak/>
        <w:t>1</w:t>
      </w:r>
      <w:r w:rsidRPr="006369B4">
        <w:t>.</w:t>
      </w:r>
      <w:r w:rsidRPr="006369B4">
        <w:tab/>
        <w:t>usvaja sljedeće stajalište u prvom čitanju;</w:t>
      </w:r>
    </w:p>
    <w:p w:rsidR="00834AAA" w:rsidRPr="006369B4" w:rsidRDefault="00834AAA" w:rsidP="00834AAA">
      <w:pPr>
        <w:pStyle w:val="NormalHanging12a"/>
      </w:pPr>
      <w:r w:rsidRPr="00F9761E">
        <w:t>2</w:t>
      </w:r>
      <w:r w:rsidRPr="006369B4">
        <w:t>.</w:t>
      </w:r>
      <w:r w:rsidRPr="006369B4">
        <w:tab/>
        <w:t>poziva Komisiju da predmet ponovno uputi Parlamentu ako zamijeni, bitno izmijeni ili namjerava bitno izmijeniti svoj Prijedlog</w:t>
      </w:r>
      <w:r w:rsidR="00BC7083">
        <w:t>;</w:t>
      </w:r>
    </w:p>
    <w:p w:rsidR="00834AAA" w:rsidRPr="006369B4" w:rsidRDefault="002270E6" w:rsidP="00834AAA">
      <w:pPr>
        <w:pStyle w:val="NormalHanging12a"/>
      </w:pPr>
      <w:r w:rsidRPr="00F9761E">
        <w:t>3</w:t>
      </w:r>
      <w:r>
        <w:t>.</w:t>
      </w:r>
      <w:r w:rsidR="00834AAA" w:rsidRPr="006369B4">
        <w:tab/>
        <w:t>nalaže svojoj predsjednici da stajalište Parlamenta proslijedi Vijeću, Komisiji i nacionalnim parlamentima.</w:t>
      </w:r>
    </w:p>
    <w:p w:rsidR="00BC7083" w:rsidRDefault="00BC7083" w:rsidP="00834AAA">
      <w:pPr>
        <w:pStyle w:val="AmNumberTabs"/>
        <w:sectPr w:rsidR="00BC7083" w:rsidSect="00F105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270E6" w:rsidRPr="00FE195E" w:rsidRDefault="002270E6" w:rsidP="00AC355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F9761E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F9761E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FE195E">
        <w:rPr>
          <w:b/>
          <w:bCs/>
          <w:color w:val="000000"/>
        </w:rPr>
        <w:t>COD(</w:t>
      </w:r>
      <w:r w:rsidRPr="00F9761E">
        <w:rPr>
          <w:b/>
          <w:bCs/>
          <w:color w:val="000000"/>
        </w:rPr>
        <w:t>2023</w:t>
      </w:r>
      <w:r w:rsidRPr="00FE195E">
        <w:rPr>
          <w:b/>
          <w:bCs/>
          <w:color w:val="000000"/>
        </w:rPr>
        <w:t>)</w:t>
      </w:r>
      <w:r w:rsidRPr="00F9761E">
        <w:rPr>
          <w:b/>
          <w:bCs/>
          <w:color w:val="000000"/>
        </w:rPr>
        <w:t>0172</w:t>
      </w:r>
    </w:p>
    <w:p w:rsidR="00AC3552" w:rsidRDefault="002270E6" w:rsidP="00AC3552">
      <w:pPr>
        <w:widowControl/>
        <w:spacing w:after="120"/>
        <w:rPr>
          <w:rFonts w:eastAsia="Calibri"/>
          <w:b/>
          <w:szCs w:val="22"/>
          <w:lang w:eastAsia="en-US"/>
        </w:rPr>
      </w:pPr>
      <w:r w:rsidRPr="00467344">
        <w:rPr>
          <w:b/>
        </w:rPr>
        <w:t xml:space="preserve">Stajalište Europskog parlamenta usvojeno u prvom čitanju </w:t>
      </w:r>
      <w:r w:rsidRPr="00F9761E">
        <w:rPr>
          <w:b/>
        </w:rPr>
        <w:t>10</w:t>
      </w:r>
      <w:r w:rsidRPr="00467344">
        <w:rPr>
          <w:b/>
        </w:rPr>
        <w:t xml:space="preserve">. travnja </w:t>
      </w:r>
      <w:r w:rsidRPr="00F9761E">
        <w:rPr>
          <w:b/>
        </w:rPr>
        <w:t>2024</w:t>
      </w:r>
      <w:r w:rsidRPr="00467344">
        <w:rPr>
          <w:b/>
        </w:rPr>
        <w:t xml:space="preserve">. radi donošenja </w:t>
      </w:r>
      <w:r w:rsidRPr="00467344">
        <w:rPr>
          <w:b/>
          <w:lang w:eastAsia="fr-BE"/>
        </w:rPr>
        <w:t xml:space="preserve">Direktive (EU) </w:t>
      </w:r>
      <w:r w:rsidRPr="00F9761E">
        <w:rPr>
          <w:b/>
          <w:lang w:eastAsia="fr-BE"/>
        </w:rPr>
        <w:t>2024</w:t>
      </w:r>
      <w:r w:rsidRPr="00467344">
        <w:rPr>
          <w:b/>
          <w:lang w:eastAsia="fr-BE"/>
        </w:rPr>
        <w:t xml:space="preserve">/… Europskog parlamenta i Vijeća </w:t>
      </w:r>
      <w:r w:rsidRPr="002270E6">
        <w:rPr>
          <w:rFonts w:eastAsia="Calibri"/>
          <w:b/>
          <w:szCs w:val="22"/>
          <w:lang w:eastAsia="en-US"/>
        </w:rPr>
        <w:t xml:space="preserve">o </w:t>
      </w:r>
      <w:r w:rsidR="00AC3552" w:rsidRPr="00EA72A9">
        <w:rPr>
          <w:rFonts w:eastAsia="Calibri"/>
          <w:b/>
          <w:szCs w:val="22"/>
          <w:lang w:eastAsia="en-US"/>
        </w:rPr>
        <w:t>izmjeni Direktive 2009/21/EZ o ispunjavanju zahtjeva države zastave</w:t>
      </w:r>
    </w:p>
    <w:p w:rsidR="00314BA3" w:rsidRPr="00CD5E92" w:rsidRDefault="00314BA3" w:rsidP="00314BA3">
      <w:pPr>
        <w:spacing w:before="240"/>
        <w:rPr>
          <w:rFonts w:eastAsia="Calibri"/>
          <w:i/>
          <w:szCs w:val="24"/>
          <w:lang w:eastAsia="en-US"/>
        </w:rPr>
      </w:pPr>
      <w:r w:rsidRPr="00CD5E92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</w:t>
      </w:r>
      <w:r>
        <w:rPr>
          <w:rFonts w:eastAsia="Calibri"/>
          <w:i/>
          <w:szCs w:val="24"/>
          <w:lang w:eastAsia="en-US"/>
        </w:rPr>
        <w:t>u, Direktivi (EU) 2024/3100</w:t>
      </w:r>
      <w:r>
        <w:rPr>
          <w:rFonts w:eastAsia="Calibri"/>
          <w:i/>
          <w:szCs w:val="24"/>
          <w:lang w:eastAsia="en-US"/>
        </w:rPr>
        <w:t>.</w:t>
      </w:r>
      <w:r w:rsidRPr="00CD5E92">
        <w:rPr>
          <w:rFonts w:eastAsia="Calibri"/>
          <w:i/>
          <w:szCs w:val="24"/>
          <w:lang w:eastAsia="en-US"/>
        </w:rPr>
        <w:t>)</w:t>
      </w:r>
      <w:bookmarkStart w:id="8" w:name="_GoBack"/>
      <w:bookmarkEnd w:id="8"/>
    </w:p>
    <w:sectPr w:rsidR="00314BA3" w:rsidRPr="00CD5E92" w:rsidSect="00F1056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B58" w:rsidRPr="00F10561" w:rsidRDefault="00EE4B58">
      <w:r w:rsidRPr="00F10561">
        <w:separator/>
      </w:r>
    </w:p>
  </w:endnote>
  <w:endnote w:type="continuationSeparator" w:id="0">
    <w:p w:rsidR="00EE4B58" w:rsidRPr="00F10561" w:rsidRDefault="00EE4B58">
      <w:r w:rsidRPr="00F105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5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5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5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B58" w:rsidRPr="00F10561" w:rsidRDefault="00EE4B58">
      <w:r w:rsidRPr="00F10561">
        <w:separator/>
      </w:r>
    </w:p>
  </w:footnote>
  <w:footnote w:type="continuationSeparator" w:id="0">
    <w:p w:rsidR="00EE4B58" w:rsidRPr="00F10561" w:rsidRDefault="00EE4B58">
      <w:r w:rsidRPr="00F10561">
        <w:continuationSeparator/>
      </w:r>
    </w:p>
  </w:footnote>
  <w:footnote w:id="1">
    <w:p w:rsidR="00834AAA" w:rsidRPr="002270E6" w:rsidRDefault="00834AAA" w:rsidP="002270E6">
      <w:pPr>
        <w:pStyle w:val="FootnoteText"/>
        <w:ind w:left="567" w:hanging="567"/>
        <w:rPr>
          <w:sz w:val="24"/>
          <w:szCs w:val="24"/>
          <w:lang w:val="hr-HR"/>
        </w:rPr>
      </w:pPr>
      <w:r w:rsidRPr="002270E6">
        <w:rPr>
          <w:rStyle w:val="FootnoteReference"/>
          <w:sz w:val="24"/>
          <w:szCs w:val="24"/>
          <w:lang w:val="hr-HR"/>
        </w:rPr>
        <w:footnoteRef/>
      </w:r>
      <w:r w:rsidR="00F10561" w:rsidRPr="002270E6">
        <w:rPr>
          <w:sz w:val="24"/>
          <w:lang w:val="hr-HR"/>
        </w:rPr>
        <w:t xml:space="preserve"> </w:t>
      </w:r>
      <w:r w:rsidR="00F10561" w:rsidRPr="002270E6">
        <w:rPr>
          <w:sz w:val="24"/>
          <w:lang w:val="hr-HR"/>
        </w:rPr>
        <w:tab/>
      </w:r>
      <w:r w:rsidR="002270E6" w:rsidRPr="002270E6">
        <w:rPr>
          <w:sz w:val="24"/>
          <w:szCs w:val="24"/>
          <w:lang w:val="hr-HR"/>
        </w:rPr>
        <w:t>SL</w:t>
      </w:r>
      <w:r w:rsidR="002270E6" w:rsidRPr="005B3ED1">
        <w:rPr>
          <w:sz w:val="24"/>
          <w:szCs w:val="24"/>
          <w:lang w:val="hr-HR"/>
        </w:rPr>
        <w:t xml:space="preserve"> C, C/</w:t>
      </w:r>
      <w:r w:rsidR="002270E6" w:rsidRPr="00F9761E">
        <w:rPr>
          <w:sz w:val="24"/>
          <w:szCs w:val="24"/>
          <w:lang w:val="hr-HR"/>
        </w:rPr>
        <w:t>2023</w:t>
      </w:r>
      <w:r w:rsidR="002270E6" w:rsidRPr="005B3ED1">
        <w:rPr>
          <w:sz w:val="24"/>
          <w:szCs w:val="24"/>
          <w:lang w:val="hr-HR"/>
        </w:rPr>
        <w:t>/</w:t>
      </w:r>
      <w:r w:rsidR="002270E6" w:rsidRPr="00F9761E">
        <w:rPr>
          <w:sz w:val="24"/>
          <w:szCs w:val="24"/>
          <w:lang w:val="hr-HR"/>
        </w:rPr>
        <w:t>877</w:t>
      </w:r>
      <w:r w:rsidR="002270E6" w:rsidRPr="005B3ED1">
        <w:rPr>
          <w:sz w:val="24"/>
          <w:szCs w:val="24"/>
          <w:lang w:val="hr-HR"/>
        </w:rPr>
        <w:t xml:space="preserve">, </w:t>
      </w:r>
      <w:r w:rsidR="002270E6" w:rsidRPr="00F9761E">
        <w:rPr>
          <w:sz w:val="24"/>
          <w:szCs w:val="24"/>
          <w:lang w:val="hr-HR"/>
        </w:rPr>
        <w:t>8</w:t>
      </w:r>
      <w:r w:rsidR="002270E6" w:rsidRPr="005B3ED1">
        <w:rPr>
          <w:sz w:val="24"/>
          <w:szCs w:val="24"/>
          <w:lang w:val="hr-HR"/>
        </w:rPr>
        <w:t>.</w:t>
      </w:r>
      <w:r w:rsidR="002270E6" w:rsidRPr="00F9761E">
        <w:rPr>
          <w:sz w:val="24"/>
          <w:szCs w:val="24"/>
          <w:lang w:val="hr-HR"/>
        </w:rPr>
        <w:t>12</w:t>
      </w:r>
      <w:r w:rsidR="002270E6" w:rsidRPr="005B3ED1">
        <w:rPr>
          <w:sz w:val="24"/>
          <w:szCs w:val="24"/>
          <w:lang w:val="hr-HR"/>
        </w:rPr>
        <w:t>.</w:t>
      </w:r>
      <w:r w:rsidR="002270E6" w:rsidRPr="00F9761E">
        <w:rPr>
          <w:sz w:val="24"/>
          <w:szCs w:val="24"/>
          <w:lang w:val="hr-HR"/>
        </w:rPr>
        <w:t>2023</w:t>
      </w:r>
      <w:r w:rsidR="002270E6" w:rsidRPr="002270E6">
        <w:rPr>
          <w:sz w:val="24"/>
          <w:szCs w:val="24"/>
          <w:lang w:val="hr-HR"/>
        </w:rPr>
        <w:t>.</w:t>
      </w:r>
      <w:r w:rsidR="002270E6" w:rsidRPr="005B3ED1">
        <w:rPr>
          <w:sz w:val="24"/>
          <w:szCs w:val="24"/>
          <w:lang w:val="hr-HR"/>
        </w:rPr>
        <w:t xml:space="preserve">, ELI: </w:t>
      </w:r>
      <w:hyperlink r:id="rId1" w:history="1">
        <w:r w:rsidR="002270E6" w:rsidRPr="00AC3552">
          <w:rPr>
            <w:rStyle w:val="Hyperlink"/>
            <w:sz w:val="24"/>
            <w:szCs w:val="24"/>
            <w:lang w:val="hr-HR"/>
          </w:rPr>
          <w:t>http://data.europa.eu/eli/C/2023/877/oj</w:t>
        </w:r>
      </w:hyperlink>
      <w:r w:rsidRPr="002270E6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5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5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5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HR"/>
    <w:docVar w:name="dvnumam" w:val="74"/>
    <w:docVar w:name="dvpe" w:val="753.548"/>
    <w:docVar w:name="dvrapporteur" w:val="Izvjestiteljica: "/>
    <w:docVar w:name="dvstar" w:val="***I"/>
    <w:docVar w:name="dvtitre" w:val="Zakonodavna rezolucija Europskog parlamenta od .... 2024. o Prijedlogu direktive Europskog parlamenta i Vijeća o izmjeni Direktive 2009/21/EZ o ispunjavanju zahtjeva države zastave(COM(2023)0272 – C9-0188/2023 – 2023/0172(COD))"/>
  </w:docVars>
  <w:rsids>
    <w:rsidRoot w:val="00EE4B5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0E6"/>
    <w:rsid w:val="002767FF"/>
    <w:rsid w:val="002B18FE"/>
    <w:rsid w:val="002B5493"/>
    <w:rsid w:val="00314BA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ED1"/>
    <w:rsid w:val="005C2568"/>
    <w:rsid w:val="006037C0"/>
    <w:rsid w:val="006369B4"/>
    <w:rsid w:val="006631B6"/>
    <w:rsid w:val="00680577"/>
    <w:rsid w:val="006F74FA"/>
    <w:rsid w:val="00731ADD"/>
    <w:rsid w:val="00732D93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AA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552"/>
    <w:rsid w:val="00AE0928"/>
    <w:rsid w:val="00AF3B82"/>
    <w:rsid w:val="00B12E95"/>
    <w:rsid w:val="00B22876"/>
    <w:rsid w:val="00B558F0"/>
    <w:rsid w:val="00BC708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B58"/>
    <w:rsid w:val="00F04346"/>
    <w:rsid w:val="00F075DC"/>
    <w:rsid w:val="00F10561"/>
    <w:rsid w:val="00F149E9"/>
    <w:rsid w:val="00F5134D"/>
    <w:rsid w:val="00F74202"/>
    <w:rsid w:val="00F87713"/>
    <w:rsid w:val="00F9761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8270D"/>
  <w15:chartTrackingRefBased/>
  <w15:docId w15:val="{352064A1-80CA-4D03-AC30-ACC2892D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34AA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834AAA"/>
    <w:rPr>
      <w:b/>
    </w:rPr>
  </w:style>
  <w:style w:type="paragraph" w:customStyle="1" w:styleId="NormalHanging12a">
    <w:name w:val="NormalHanging12a"/>
    <w:basedOn w:val="Normal"/>
    <w:rsid w:val="00834AA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34A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4AAA"/>
    <w:rPr>
      <w:sz w:val="24"/>
      <w:lang w:val="hr-HR"/>
    </w:rPr>
  </w:style>
  <w:style w:type="paragraph" w:customStyle="1" w:styleId="AmNumberTabs">
    <w:name w:val="AmNumberTabs"/>
    <w:basedOn w:val="Normal"/>
    <w:link w:val="AmNumberTabsChar"/>
    <w:rsid w:val="00834A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834AA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4AA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834AAA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834AAA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834AAA"/>
    <w:pPr>
      <w:spacing w:after="120"/>
    </w:pPr>
  </w:style>
  <w:style w:type="paragraph" w:customStyle="1" w:styleId="ColumnHeading">
    <w:name w:val="ColumnHeading"/>
    <w:basedOn w:val="Normal"/>
    <w:rsid w:val="00834AAA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834AAA"/>
    <w:rPr>
      <w:b/>
      <w:sz w:val="24"/>
      <w:lang w:val="hr-HR"/>
    </w:rPr>
  </w:style>
  <w:style w:type="paragraph" w:styleId="Footer">
    <w:name w:val="footer"/>
    <w:basedOn w:val="Normal"/>
    <w:link w:val="FooterChar"/>
    <w:rsid w:val="006369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69B4"/>
    <w:rPr>
      <w:sz w:val="24"/>
      <w:lang w:val="hr-HR"/>
    </w:rPr>
  </w:style>
  <w:style w:type="paragraph" w:styleId="BalloonText">
    <w:name w:val="Balloon Text"/>
    <w:basedOn w:val="Normal"/>
    <w:link w:val="BalloonTextChar"/>
    <w:rsid w:val="00227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70E6"/>
    <w:rPr>
      <w:rFonts w:ascii="Segoe UI" w:hAnsi="Segoe UI" w:cs="Segoe UI"/>
      <w:sz w:val="18"/>
      <w:szCs w:val="18"/>
      <w:lang w:val="hr-HR"/>
    </w:rPr>
  </w:style>
  <w:style w:type="paragraph" w:customStyle="1" w:styleId="Normal12a">
    <w:name w:val="Normal12a"/>
    <w:basedOn w:val="Normal"/>
    <w:rsid w:val="00AC3552"/>
    <w:pPr>
      <w:spacing w:after="240"/>
    </w:pPr>
  </w:style>
  <w:style w:type="character" w:styleId="Hyperlink">
    <w:name w:val="Hyperlink"/>
    <w:basedOn w:val="DefaultParagraphFont"/>
    <w:rsid w:val="00AC355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C35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EBEBC-323F-4AD5-8BD2-136865CB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2025-01-21T15:32:00Z</dcterms:created>
  <dcterms:modified xsi:type="dcterms:W3CDTF">2025-01-21T15:32:00Z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