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136C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136CD" w:rsidRDefault="00CF6C12">
            <w:pPr>
              <w:pStyle w:val="EPName"/>
            </w:pPr>
            <w:r>
              <w:t>Európsky parlament</w:t>
            </w:r>
          </w:p>
          <w:p w:rsidR="00C136CD" w:rsidRDefault="00CF6C1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136CD" w:rsidRDefault="00CF6C12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36CD" w:rsidRDefault="00C136CD">
      <w:pPr>
        <w:pStyle w:val="LineTop"/>
      </w:pPr>
    </w:p>
    <w:p w:rsidR="00C136CD" w:rsidRDefault="00CF6C12">
      <w:pPr>
        <w:pStyle w:val="EPBodyTA1"/>
      </w:pPr>
      <w:r>
        <w:t>PRIJATÉ TEXTY</w:t>
      </w:r>
    </w:p>
    <w:p w:rsidR="00C136CD" w:rsidRDefault="00C136CD">
      <w:pPr>
        <w:pStyle w:val="LineBottom"/>
      </w:pPr>
    </w:p>
    <w:p w:rsidR="00C136CD" w:rsidRDefault="00CF6C12">
      <w:pPr>
        <w:pStyle w:val="ATHeading1"/>
      </w:pPr>
      <w:bookmarkStart w:id="0" w:name="TANumber"/>
      <w:r>
        <w:t>P9_TA(2024)0203</w:t>
      </w:r>
      <w:bookmarkEnd w:id="0"/>
    </w:p>
    <w:p w:rsidR="00C136CD" w:rsidRDefault="00CF6C12">
      <w:pPr>
        <w:pStyle w:val="ATHeading2"/>
      </w:pPr>
      <w:bookmarkStart w:id="1" w:name="title"/>
      <w:r>
        <w:t xml:space="preserve">Zmena smernice 2009/21/ES o plnení povinností vlajkového štátu </w:t>
      </w:r>
      <w:bookmarkEnd w:id="1"/>
    </w:p>
    <w:p w:rsidR="00C136CD" w:rsidRDefault="00CF6C12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A9-0418/2023</w:instrText>
      </w:r>
      <w:bookmarkEnd w:id="2"/>
      <w:r>
        <w:rPr>
          <w:i/>
        </w:rPr>
        <w:instrText xml:space="preserve"> - Spravodajkyňa: Vera Tax)"\l3 \n&gt; \* MERGEFORMAT </w:instrText>
      </w:r>
      <w:r>
        <w:rPr>
          <w:i/>
        </w:rPr>
        <w:fldChar w:fldCharType="end"/>
      </w:r>
    </w:p>
    <w:p w:rsidR="00C136CD" w:rsidRDefault="00CF6C12">
      <w:pPr>
        <w:rPr>
          <w:vanish/>
        </w:rPr>
      </w:pPr>
      <w:bookmarkStart w:id="3" w:name="Commission"/>
      <w:r>
        <w:rPr>
          <w:vanish/>
        </w:rPr>
        <w:t>Výbor pre dopravu a cestovný ruch</w:t>
      </w:r>
      <w:bookmarkEnd w:id="3"/>
    </w:p>
    <w:p w:rsidR="00C136CD" w:rsidRDefault="00CF6C12">
      <w:pPr>
        <w:rPr>
          <w:vanish/>
        </w:rPr>
      </w:pPr>
      <w:bookmarkStart w:id="4" w:name="PE"/>
      <w:r>
        <w:rPr>
          <w:vanish/>
        </w:rPr>
        <w:t>PE753.548</w:t>
      </w:r>
      <w:bookmarkEnd w:id="4"/>
    </w:p>
    <w:p w:rsidR="00C136CD" w:rsidRDefault="00CF6C12">
      <w:pPr>
        <w:pStyle w:val="ATHeading3"/>
      </w:pPr>
      <w:bookmarkStart w:id="5" w:name="Sujet"/>
      <w:r>
        <w:t>Legislatívne uznesenie Európskeho parlamentu z 10. apríla 2024 o návrhu smernice Európskeho parlamentu a Rady, ktorou sa mení smernica 2009/21/ES o plnení povinností vlajkových štátov</w:t>
      </w:r>
      <w:bookmarkEnd w:id="5"/>
      <w:r>
        <w:t xml:space="preserve"> </w:t>
      </w:r>
      <w:bookmarkStart w:id="6" w:name="References"/>
      <w:r>
        <w:t>(COM(2023)0272 – C9-0188/2023 – 2023/0172(COD))</w:t>
      </w:r>
      <w:bookmarkEnd w:id="6"/>
    </w:p>
    <w:p w:rsidR="00C136CD" w:rsidRDefault="00CF6C12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C136CD" w:rsidRDefault="00CF6C12">
      <w:pPr>
        <w:pStyle w:val="EPComma"/>
      </w:pPr>
      <w:r>
        <w:rPr>
          <w:i/>
        </w:rPr>
        <w:t>Európsky parlament</w:t>
      </w:r>
      <w:r>
        <w:t>,</w:t>
      </w:r>
    </w:p>
    <w:p w:rsidR="00C136CD" w:rsidRDefault="00CF6C12">
      <w:pPr>
        <w:pStyle w:val="NormalHanging12a"/>
      </w:pPr>
      <w:r>
        <w:t>–</w:t>
      </w:r>
      <w:r>
        <w:tab/>
        <w:t>so zreteľom na návrh Komisie pre Európsky parlament a Radu (COM(2023)0272),</w:t>
      </w:r>
    </w:p>
    <w:p w:rsidR="00C136CD" w:rsidRDefault="00CF6C12">
      <w:pPr>
        <w:pStyle w:val="NormalHanging12a"/>
      </w:pPr>
      <w:r>
        <w:t>–</w:t>
      </w:r>
      <w:r>
        <w:tab/>
        <w:t>so zreteľom na článok 294 ods. 2 a článok 100 ods. 2 Zmluvy o fungovaní Európskej únie, v súlade s ktorými Komisia predložila návrh Európskemu parlamentu (C9-0188/2023),</w:t>
      </w:r>
    </w:p>
    <w:p w:rsidR="00C136CD" w:rsidRDefault="00CF6C12">
      <w:pPr>
        <w:pStyle w:val="NormalHanging12a"/>
      </w:pPr>
      <w:r>
        <w:t>–</w:t>
      </w:r>
      <w:r>
        <w:tab/>
        <w:t>so zreteľom na článok 294 ods. 3 Zmluvy o fungovaní Európskej únie,</w:t>
      </w:r>
    </w:p>
    <w:p w:rsidR="00C136CD" w:rsidRDefault="00CF6C12">
      <w:pPr>
        <w:pStyle w:val="NormalHanging12a"/>
      </w:pPr>
      <w:r>
        <w:t>–</w:t>
      </w:r>
      <w:r>
        <w:tab/>
        <w:t>so zreteľom na stanovisko Európskeho hospodárskeho a sociálneho výboru z 20. septembra 2023</w:t>
      </w:r>
      <w:r>
        <w:rPr>
          <w:rStyle w:val="FootnoteReference"/>
        </w:rPr>
        <w:footnoteReference w:id="1"/>
      </w:r>
      <w:r>
        <w:t xml:space="preserve">, </w:t>
      </w:r>
    </w:p>
    <w:p w:rsidR="00C136CD" w:rsidRDefault="00CF6C12">
      <w:pPr>
        <w:pStyle w:val="NormalHanging12a"/>
      </w:pPr>
      <w:r>
        <w:t>–</w:t>
      </w:r>
      <w:r>
        <w:tab/>
        <w:t>po porade s Výborom regiónov,</w:t>
      </w:r>
    </w:p>
    <w:p w:rsidR="00C136CD" w:rsidRDefault="00CF6C12"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 15. marca 2024, schváliť pozíciu Európskeho parlamentu v súlade s článkom 294 ods. 4 Zmluvy o fungovaní Európskej únie,</w:t>
      </w:r>
    </w:p>
    <w:p w:rsidR="00C136CD" w:rsidRDefault="00CF6C12">
      <w:pPr>
        <w:pStyle w:val="NormalHanging12a"/>
      </w:pPr>
      <w:r>
        <w:t>–</w:t>
      </w:r>
      <w:r>
        <w:tab/>
        <w:t>so zreteľom na článok 59 rokovacieho poriadku,</w:t>
      </w:r>
    </w:p>
    <w:p w:rsidR="00C136CD" w:rsidRDefault="00CF6C12">
      <w:pPr>
        <w:pStyle w:val="NormalHanging12a"/>
      </w:pPr>
      <w:r>
        <w:t>–</w:t>
      </w:r>
      <w:r>
        <w:tab/>
        <w:t>so zreteľom na stanovisko Výboru pre rybárstvo,</w:t>
      </w:r>
    </w:p>
    <w:p w:rsidR="00C136CD" w:rsidRDefault="00CF6C12">
      <w:pPr>
        <w:pStyle w:val="NormalHanging12a"/>
      </w:pPr>
      <w:r>
        <w:t>–</w:t>
      </w:r>
      <w:r>
        <w:tab/>
        <w:t>so zreteľom na správu Výboru pre dopravu a cestovný ruch (A9-0418/2023),</w:t>
      </w:r>
    </w:p>
    <w:p w:rsidR="00C136CD" w:rsidRDefault="00CF6C12">
      <w:pPr>
        <w:pStyle w:val="NormalHanging12a"/>
      </w:pPr>
      <w:r>
        <w:t>1.</w:t>
      </w:r>
      <w:r>
        <w:tab/>
        <w:t>prijíma nasledujúcu pozíciu v prvom čítaní;</w:t>
      </w:r>
    </w:p>
    <w:p w:rsidR="00C136CD" w:rsidRDefault="00CF6C12">
      <w:pPr>
        <w:pStyle w:val="NormalHanging12a"/>
      </w:pPr>
      <w:r>
        <w:lastRenderedPageBreak/>
        <w:t>2.</w:t>
      </w:r>
      <w:r>
        <w:tab/>
        <w:t>žiada Komisiu, aby mu vec znovu predložila, ak nahrádza, podstatne mení alebo má v úmysle podstatne zmeniť svoj návrh;</w:t>
      </w:r>
    </w:p>
    <w:p w:rsidR="00C136CD" w:rsidRDefault="00CF6C12">
      <w:pPr>
        <w:pStyle w:val="NormalHanging12a"/>
      </w:pPr>
      <w:r>
        <w:t>3.</w:t>
      </w:r>
      <w:r>
        <w:tab/>
        <w:t>poveruje svoju predsedníčku, aby postúpila túto pozíciu Rade, Komisii a národným parlamentom.</w:t>
      </w:r>
    </w:p>
    <w:p w:rsidR="00C136CD" w:rsidRDefault="00C136CD">
      <w:pPr>
        <w:sectPr w:rsidR="00C136C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136CD" w:rsidRDefault="00CF6C12">
      <w:pPr>
        <w:pStyle w:val="Institutionquiagit"/>
        <w:keepNext w:val="0"/>
        <w:spacing w:before="120"/>
        <w:jc w:val="left"/>
        <w:outlineLvl w:val="0"/>
        <w:rPr>
          <w:b/>
        </w:rPr>
      </w:pPr>
      <w:bookmarkStart w:id="8" w:name="TextBodyEnd"/>
      <w:bookmarkEnd w:id="8"/>
      <w:r>
        <w:rPr>
          <w:b/>
        </w:rPr>
        <w:lastRenderedPageBreak/>
        <w:t>P9_TC1-COD(2023)0172</w:t>
      </w:r>
    </w:p>
    <w:p w:rsidR="00C136CD" w:rsidRDefault="00CF6C12">
      <w:pPr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10. apríla 2024 na účely prijatia smernice Európskeho parlamentu a Rady (EÚ) 2024/..., </w:t>
      </w:r>
      <w:r>
        <w:rPr>
          <w:rFonts w:eastAsia="Calibri"/>
          <w:b/>
          <w:szCs w:val="22"/>
          <w:lang w:eastAsia="en-US"/>
        </w:rPr>
        <w:t>ktorou sa mení smernica 2009/21/ES o plnení povinností vlajkového štátu</w:t>
      </w:r>
    </w:p>
    <w:p w:rsidR="00EC601D" w:rsidRDefault="00EC601D">
      <w:pPr>
        <w:rPr>
          <w:rFonts w:eastAsia="Calibri"/>
          <w:b/>
          <w:szCs w:val="22"/>
          <w:lang w:eastAsia="en-US"/>
        </w:rPr>
      </w:pPr>
    </w:p>
    <w:p w:rsidR="00EC601D" w:rsidRDefault="00EC601D">
      <w:pPr>
        <w:rPr>
          <w:rFonts w:eastAsia="Calibri"/>
          <w:b/>
          <w:szCs w:val="22"/>
          <w:lang w:eastAsia="en-US"/>
        </w:rPr>
      </w:pPr>
    </w:p>
    <w:p w:rsidR="00EC601D" w:rsidRPr="00731EF8" w:rsidRDefault="00EC601D" w:rsidP="00EC601D">
      <w:r w:rsidRPr="00731EF8">
        <w:rPr>
          <w:i/>
          <w:iCs/>
        </w:rPr>
        <w:t xml:space="preserve">(Keďže bola dosiahnutá dohoda medzi Európskym parlamentom a Radou, pozícia </w:t>
      </w:r>
      <w:r w:rsidRPr="0099788D">
        <w:rPr>
          <w:i/>
          <w:iCs/>
        </w:rPr>
        <w:t xml:space="preserve">Európskeho parlamentu zodpovedá záverečnému legislatívnemu aktu, </w:t>
      </w:r>
      <w:r>
        <w:rPr>
          <w:i/>
          <w:iCs/>
        </w:rPr>
        <w:t>smernici</w:t>
      </w:r>
      <w:r w:rsidRPr="0099788D">
        <w:rPr>
          <w:i/>
          <w:iCs/>
        </w:rPr>
        <w:t xml:space="preserve"> (EÚ) 2024/</w:t>
      </w:r>
      <w:r>
        <w:rPr>
          <w:i/>
          <w:iCs/>
        </w:rPr>
        <w:t>3</w:t>
      </w:r>
      <w:r>
        <w:rPr>
          <w:i/>
          <w:iCs/>
        </w:rPr>
        <w:t>100</w:t>
      </w:r>
      <w:bookmarkStart w:id="9" w:name="_GoBack"/>
      <w:bookmarkEnd w:id="9"/>
      <w:r w:rsidRPr="0099788D">
        <w:rPr>
          <w:i/>
          <w:iCs/>
        </w:rPr>
        <w:t>.)</w:t>
      </w:r>
    </w:p>
    <w:p w:rsidR="00EC601D" w:rsidRDefault="00EC601D">
      <w:pPr>
        <w:rPr>
          <w:rFonts w:eastAsia="Calibri"/>
          <w:b/>
          <w:szCs w:val="22"/>
          <w:lang w:eastAsia="en-US"/>
        </w:rPr>
      </w:pPr>
    </w:p>
    <w:sectPr w:rsidR="00EC601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6CD" w:rsidRDefault="00CF6C12">
      <w:r>
        <w:separator/>
      </w:r>
    </w:p>
  </w:endnote>
  <w:endnote w:type="continuationSeparator" w:id="0">
    <w:p w:rsidR="00C136CD" w:rsidRDefault="00CF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6CD" w:rsidRDefault="00C136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6CD" w:rsidRDefault="00C136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6CD" w:rsidRDefault="00C136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6CD" w:rsidRDefault="00CF6C12">
      <w:r>
        <w:separator/>
      </w:r>
    </w:p>
  </w:footnote>
  <w:footnote w:type="continuationSeparator" w:id="0">
    <w:p w:rsidR="00C136CD" w:rsidRDefault="00CF6C12">
      <w:r>
        <w:continuationSeparator/>
      </w:r>
    </w:p>
  </w:footnote>
  <w:footnote w:id="1">
    <w:p w:rsidR="00C136CD" w:rsidRDefault="00CF6C12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szCs w:val="24"/>
          <w:lang w:val="sk-SK"/>
        </w:rPr>
        <w:t xml:space="preserve">Ú. v. EÚ C, C/2023/877, 8.12.2023, ELI: </w:t>
      </w:r>
      <w:hyperlink r:id="rId1" w:history="1">
        <w:r>
          <w:rPr>
            <w:rStyle w:val="Hyperlink"/>
            <w:sz w:val="24"/>
            <w:szCs w:val="24"/>
            <w:lang w:val="sk-SK"/>
          </w:rPr>
          <w:t>http://data.europa.eu/eli/C/2023/877/oj</w:t>
        </w:r>
      </w:hyperlink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6CD" w:rsidRDefault="00C136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6CD" w:rsidRDefault="00C136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6CD" w:rsidRDefault="00C136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SK"/>
    <w:docVar w:name="dvnumam" w:val="74"/>
    <w:docVar w:name="dvpe" w:val="753.548"/>
    <w:docVar w:name="dvrapporteur" w:val="Spravodajkyňa: "/>
    <w:docVar w:name="dvstar" w:val="***I"/>
    <w:docVar w:name="dvtitre" w:val="Legislatívne uznesenie Európskeho parlamentu z xx. apríla 2024 o návrhu smernice Európskeho parlamentu a Rady, ktorou sa mení smernica 2009/21/ES o plnení povinností vlajkových štátov(COM(2023)0272 – C9-0188/2023 – 2023/0172(COD))"/>
  </w:docVars>
  <w:rsids>
    <w:rsidRoot w:val="00C136CD"/>
    <w:rsid w:val="00C136CD"/>
    <w:rsid w:val="00CF6C12"/>
    <w:rsid w:val="00EC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ADFF7"/>
  <w15:chartTrackingRefBased/>
  <w15:docId w15:val="{5922CB24-393D-48BD-BEEC-DAE54389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Normal12a">
    <w:name w:val="Normal12a"/>
    <w:basedOn w:val="Normal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2C19A-6A5F-4A2F-9224-0E00AB34D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2025-01-20T15:28:00Z</dcterms:created>
  <dcterms:modified xsi:type="dcterms:W3CDTF">2025-01-20T15:28:00Z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